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adjustRightInd w:val="0"/>
        <w:snapToGrid w:val="0"/>
        <w:jc w:val="center"/>
        <w:rPr>
          <w:bCs/>
          <w:color w:val="auto"/>
          <w:sz w:val="72"/>
          <w:szCs w:val="72"/>
        </w:rPr>
      </w:pPr>
    </w:p>
    <w:p>
      <w:pPr>
        <w:wordWrap w:val="0"/>
        <w:adjustRightInd w:val="0"/>
        <w:snapToGrid w:val="0"/>
        <w:jc w:val="center"/>
        <w:rPr>
          <w:bCs/>
          <w:color w:val="auto"/>
          <w:sz w:val="72"/>
          <w:szCs w:val="72"/>
        </w:rPr>
      </w:pPr>
    </w:p>
    <w:p>
      <w:pPr>
        <w:wordWrap w:val="0"/>
        <w:adjustRightInd w:val="0"/>
        <w:snapToGrid w:val="0"/>
        <w:jc w:val="center"/>
        <w:rPr>
          <w:bCs/>
          <w:color w:val="auto"/>
          <w:sz w:val="72"/>
          <w:szCs w:val="72"/>
        </w:rPr>
      </w:pPr>
      <w:r>
        <w:rPr>
          <w:bCs/>
          <w:color w:val="auto"/>
          <w:sz w:val="72"/>
          <w:szCs w:val="72"/>
        </w:rPr>
        <w:t>建设项目环境影响报告表</w:t>
      </w:r>
    </w:p>
    <w:p>
      <w:pPr>
        <w:wordWrap w:val="0"/>
        <w:adjustRightInd w:val="0"/>
        <w:snapToGrid w:val="0"/>
        <w:spacing w:before="192" w:beforeLines="80"/>
        <w:jc w:val="center"/>
        <w:rPr>
          <w:bCs/>
          <w:color w:val="auto"/>
          <w:sz w:val="48"/>
          <w:szCs w:val="48"/>
        </w:rPr>
      </w:pPr>
      <w:r>
        <w:rPr>
          <w:bCs/>
          <w:color w:val="auto"/>
          <w:sz w:val="48"/>
          <w:szCs w:val="48"/>
        </w:rPr>
        <w:t>（污染影响类）</w:t>
      </w:r>
    </w:p>
    <w:p>
      <w:pPr>
        <w:wordWrap w:val="0"/>
        <w:jc w:val="center"/>
        <w:rPr>
          <w:color w:val="auto"/>
        </w:rPr>
      </w:pPr>
    </w:p>
    <w:p>
      <w:pPr>
        <w:wordWrap w:val="0"/>
        <w:jc w:val="center"/>
        <w:rPr>
          <w:color w:val="auto"/>
          <w:sz w:val="52"/>
          <w:szCs w:val="52"/>
        </w:rPr>
      </w:pPr>
    </w:p>
    <w:p>
      <w:pPr>
        <w:wordWrap w:val="0"/>
        <w:jc w:val="center"/>
        <w:rPr>
          <w:color w:val="auto"/>
          <w:sz w:val="52"/>
          <w:szCs w:val="52"/>
        </w:rPr>
      </w:pPr>
    </w:p>
    <w:p>
      <w:pPr>
        <w:wordWrap w:val="0"/>
        <w:jc w:val="center"/>
        <w:rPr>
          <w:color w:val="auto"/>
          <w:sz w:val="52"/>
          <w:szCs w:val="52"/>
        </w:rPr>
      </w:pPr>
    </w:p>
    <w:p>
      <w:pPr>
        <w:wordWrap w:val="0"/>
        <w:jc w:val="center"/>
        <w:rPr>
          <w:color w:val="auto"/>
          <w:sz w:val="52"/>
          <w:szCs w:val="52"/>
        </w:rPr>
      </w:pPr>
    </w:p>
    <w:p>
      <w:pPr>
        <w:wordWrap w:val="0"/>
        <w:jc w:val="center"/>
        <w:rPr>
          <w:color w:val="auto"/>
          <w:sz w:val="52"/>
          <w:szCs w:val="52"/>
        </w:rPr>
      </w:pPr>
    </w:p>
    <w:p>
      <w:pPr>
        <w:widowControl/>
        <w:wordWrap w:val="0"/>
        <w:snapToGrid w:val="0"/>
        <w:spacing w:before="60" w:after="160" w:line="259" w:lineRule="auto"/>
        <w:ind w:right="113"/>
        <w:rPr>
          <w:color w:val="auto"/>
          <w:kern w:val="0"/>
          <w:sz w:val="52"/>
          <w:szCs w:val="52"/>
        </w:rPr>
      </w:pPr>
    </w:p>
    <w:p>
      <w:pPr>
        <w:wordWrap w:val="0"/>
        <w:rPr>
          <w:color w:val="auto"/>
        </w:rPr>
      </w:pPr>
    </w:p>
    <w:p>
      <w:pPr>
        <w:wordWrap w:val="0"/>
        <w:adjustRightInd w:val="0"/>
        <w:snapToGrid w:val="0"/>
        <w:spacing w:line="360" w:lineRule="auto"/>
        <w:ind w:firstLine="320" w:firstLineChars="100"/>
        <w:jc w:val="center"/>
        <w:rPr>
          <w:color w:val="auto"/>
          <w:sz w:val="32"/>
          <w:szCs w:val="32"/>
          <w:u w:val="single"/>
        </w:rPr>
      </w:pPr>
      <w:r>
        <w:rPr>
          <w:color w:val="auto"/>
          <w:sz w:val="32"/>
          <w:szCs w:val="32"/>
        </w:rPr>
        <w:t>项目名称：</w:t>
      </w:r>
      <w:r>
        <w:rPr>
          <w:color w:val="auto"/>
          <w:sz w:val="32"/>
          <w:szCs w:val="32"/>
          <w:u w:val="single"/>
        </w:rPr>
        <w:t>淮安嘉帅重工科技有限公司年产2万吨钢结构项目</w:t>
      </w:r>
    </w:p>
    <w:p>
      <w:pPr>
        <w:wordWrap w:val="0"/>
        <w:adjustRightInd w:val="0"/>
        <w:snapToGrid w:val="0"/>
        <w:spacing w:line="360" w:lineRule="auto"/>
        <w:ind w:firstLine="320" w:firstLineChars="100"/>
        <w:rPr>
          <w:color w:val="auto"/>
          <w:sz w:val="32"/>
          <w:szCs w:val="32"/>
          <w:u w:val="single"/>
        </w:rPr>
      </w:pPr>
      <w:r>
        <w:rPr>
          <w:color w:val="auto"/>
          <w:sz w:val="32"/>
          <w:szCs w:val="32"/>
        </w:rPr>
        <w:t>建设单位（盖章）：</w:t>
      </w:r>
      <w:r>
        <w:rPr>
          <w:color w:val="auto"/>
          <w:sz w:val="32"/>
          <w:szCs w:val="32"/>
          <w:u w:val="single"/>
        </w:rPr>
        <w:t xml:space="preserve">    淮安嘉帅重工科技有限公司    </w:t>
      </w:r>
    </w:p>
    <w:p>
      <w:pPr>
        <w:wordWrap w:val="0"/>
        <w:adjustRightInd w:val="0"/>
        <w:snapToGrid w:val="0"/>
        <w:spacing w:line="360" w:lineRule="auto"/>
        <w:ind w:firstLine="320" w:firstLineChars="100"/>
        <w:rPr>
          <w:color w:val="auto"/>
          <w:sz w:val="32"/>
          <w:szCs w:val="32"/>
          <w:u w:val="single"/>
        </w:rPr>
      </w:pPr>
      <w:r>
        <w:rPr>
          <w:color w:val="auto"/>
          <w:sz w:val="32"/>
          <w:szCs w:val="32"/>
        </w:rPr>
        <w:t>编制日期：</w:t>
      </w:r>
      <w:r>
        <w:rPr>
          <w:color w:val="auto"/>
          <w:sz w:val="32"/>
          <w:szCs w:val="32"/>
          <w:u w:val="single"/>
        </w:rPr>
        <w:t xml:space="preserve">                202</w:t>
      </w:r>
      <w:r>
        <w:rPr>
          <w:rFonts w:hint="eastAsia"/>
          <w:color w:val="auto"/>
          <w:sz w:val="32"/>
          <w:szCs w:val="32"/>
          <w:u w:val="single"/>
          <w:lang w:val="en-US" w:eastAsia="zh-CN"/>
        </w:rPr>
        <w:t>5</w:t>
      </w:r>
      <w:r>
        <w:rPr>
          <w:color w:val="auto"/>
          <w:sz w:val="32"/>
          <w:szCs w:val="32"/>
          <w:u w:val="single"/>
        </w:rPr>
        <w:t>年</w:t>
      </w:r>
      <w:r>
        <w:rPr>
          <w:rFonts w:hint="eastAsia"/>
          <w:color w:val="auto"/>
          <w:sz w:val="32"/>
          <w:szCs w:val="32"/>
          <w:u w:val="single"/>
          <w:lang w:val="en-US" w:eastAsia="zh-CN"/>
        </w:rPr>
        <w:t>2</w:t>
      </w:r>
      <w:r>
        <w:rPr>
          <w:color w:val="auto"/>
          <w:sz w:val="32"/>
          <w:szCs w:val="32"/>
          <w:u w:val="single"/>
        </w:rPr>
        <w:t xml:space="preserve">月             </w:t>
      </w:r>
    </w:p>
    <w:p>
      <w:pPr>
        <w:wordWrap w:val="0"/>
        <w:adjustRightInd w:val="0"/>
        <w:snapToGrid w:val="0"/>
        <w:spacing w:line="360" w:lineRule="auto"/>
        <w:ind w:firstLine="320" w:firstLineChars="100"/>
        <w:rPr>
          <w:color w:val="auto"/>
          <w:sz w:val="32"/>
          <w:szCs w:val="32"/>
          <w:u w:val="single"/>
        </w:rPr>
      </w:pPr>
    </w:p>
    <w:p>
      <w:pPr>
        <w:wordWrap w:val="0"/>
        <w:rPr>
          <w:color w:val="auto"/>
          <w:sz w:val="36"/>
          <w:szCs w:val="36"/>
        </w:rPr>
      </w:pPr>
      <w:bookmarkStart w:id="0" w:name="_Hlk57884087"/>
    </w:p>
    <w:p>
      <w:pPr>
        <w:widowControl/>
        <w:wordWrap w:val="0"/>
        <w:snapToGrid w:val="0"/>
        <w:spacing w:before="60" w:after="160" w:line="259" w:lineRule="auto"/>
        <w:ind w:right="113"/>
        <w:rPr>
          <w:color w:val="auto"/>
          <w:kern w:val="0"/>
          <w:sz w:val="18"/>
          <w:szCs w:val="20"/>
        </w:rPr>
      </w:pPr>
    </w:p>
    <w:p>
      <w:pPr>
        <w:wordWrap w:val="0"/>
        <w:adjustRightInd w:val="0"/>
        <w:snapToGrid w:val="0"/>
        <w:spacing w:line="288" w:lineRule="auto"/>
        <w:ind w:firstLine="1040"/>
        <w:rPr>
          <w:color w:val="auto"/>
          <w:sz w:val="36"/>
          <w:szCs w:val="36"/>
        </w:rPr>
      </w:pPr>
    </w:p>
    <w:bookmarkEnd w:id="0"/>
    <w:p>
      <w:pPr>
        <w:wordWrap w:val="0"/>
        <w:adjustRightInd w:val="0"/>
        <w:snapToGrid w:val="0"/>
        <w:spacing w:line="288" w:lineRule="auto"/>
        <w:jc w:val="center"/>
        <w:rPr>
          <w:color w:val="auto"/>
          <w:sz w:val="36"/>
          <w:szCs w:val="36"/>
        </w:rPr>
      </w:pPr>
      <w:r>
        <w:rPr>
          <w:color w:val="auto"/>
          <w:sz w:val="36"/>
          <w:szCs w:val="36"/>
        </w:rPr>
        <w:t>中华人民共和国生态环境部制</w:t>
      </w:r>
    </w:p>
    <w:p>
      <w:pPr>
        <w:wordWrap w:val="0"/>
        <w:spacing w:line="360" w:lineRule="auto"/>
        <w:jc w:val="center"/>
        <w:rPr>
          <w:b/>
          <w:bCs/>
          <w:color w:val="auto"/>
          <w:sz w:val="28"/>
          <w:szCs w:val="28"/>
        </w:rPr>
        <w:sectPr>
          <w:footerReference r:id="rId4" w:type="first"/>
          <w:footerReference r:id="rId3" w:type="default"/>
          <w:pgSz w:w="11905" w:h="16838"/>
          <w:pgMar w:top="1383" w:right="1797" w:bottom="1327" w:left="1797" w:header="851" w:footer="850" w:gutter="0"/>
          <w:pgBorders>
            <w:top w:val="none" w:sz="0" w:space="0"/>
            <w:left w:val="none" w:sz="0" w:space="0"/>
            <w:bottom w:val="none" w:sz="0" w:space="0"/>
            <w:right w:val="none" w:sz="0" w:space="0"/>
          </w:pgBorders>
          <w:cols w:space="720" w:num="1"/>
          <w:docGrid w:linePitch="312" w:charSpace="0"/>
        </w:sectPr>
      </w:pPr>
    </w:p>
    <w:p>
      <w:pPr>
        <w:wordWrap w:val="0"/>
        <w:spacing w:line="480" w:lineRule="auto"/>
        <w:jc w:val="center"/>
        <w:rPr>
          <w:b/>
          <w:bCs/>
          <w:color w:val="auto"/>
          <w:sz w:val="32"/>
          <w:szCs w:val="32"/>
        </w:rPr>
      </w:pPr>
      <w:r>
        <w:rPr>
          <w:b/>
          <w:bCs/>
          <w:color w:val="auto"/>
          <w:sz w:val="32"/>
          <w:szCs w:val="32"/>
        </w:rPr>
        <w:t>目  录</w:t>
      </w:r>
    </w:p>
    <w:p>
      <w:pPr>
        <w:pStyle w:val="11"/>
        <w:tabs>
          <w:tab w:val="right" w:leader="dot" w:pos="8305"/>
        </w:tabs>
        <w:rPr>
          <w:color w:val="auto"/>
        </w:rPr>
      </w:pPr>
      <w:r>
        <w:rPr>
          <w:b/>
          <w:bCs/>
          <w:snapToGrid w:val="0"/>
          <w:color w:val="auto"/>
          <w:sz w:val="28"/>
          <w:szCs w:val="28"/>
        </w:rPr>
        <w:fldChar w:fldCharType="begin"/>
      </w:r>
      <w:r>
        <w:rPr>
          <w:b/>
          <w:bCs/>
          <w:snapToGrid w:val="0"/>
          <w:color w:val="auto"/>
          <w:sz w:val="28"/>
          <w:szCs w:val="28"/>
        </w:rPr>
        <w:instrText xml:space="preserve">TOC \o "1-1" \h \u </w:instrText>
      </w:r>
      <w:r>
        <w:rPr>
          <w:b/>
          <w:bCs/>
          <w:snapToGrid w:val="0"/>
          <w:color w:val="auto"/>
          <w:sz w:val="28"/>
          <w:szCs w:val="28"/>
        </w:rPr>
        <w:fldChar w:fldCharType="separate"/>
      </w:r>
      <w:r>
        <w:rPr>
          <w:bCs/>
          <w:snapToGrid w:val="0"/>
          <w:color w:val="auto"/>
          <w:szCs w:val="28"/>
        </w:rPr>
        <w:fldChar w:fldCharType="begin"/>
      </w:r>
      <w:r>
        <w:rPr>
          <w:bCs/>
          <w:snapToGrid w:val="0"/>
          <w:color w:val="auto"/>
          <w:szCs w:val="28"/>
        </w:rPr>
        <w:instrText xml:space="preserve"> HYPERLINK \l _Toc26149 </w:instrText>
      </w:r>
      <w:r>
        <w:rPr>
          <w:bCs/>
          <w:snapToGrid w:val="0"/>
          <w:color w:val="auto"/>
          <w:szCs w:val="28"/>
        </w:rPr>
        <w:fldChar w:fldCharType="separate"/>
      </w:r>
      <w:r>
        <w:rPr>
          <w:rFonts w:hint="eastAsia"/>
          <w:bCs/>
          <w:snapToGrid w:val="0"/>
          <w:color w:val="auto"/>
          <w:szCs w:val="30"/>
        </w:rPr>
        <w:t>一、</w:t>
      </w:r>
      <w:r>
        <w:rPr>
          <w:bCs/>
          <w:snapToGrid w:val="0"/>
          <w:color w:val="auto"/>
          <w:szCs w:val="30"/>
        </w:rPr>
        <w:t>建设项目基本情况</w:t>
      </w:r>
      <w:r>
        <w:rPr>
          <w:color w:val="auto"/>
        </w:rPr>
        <w:tab/>
      </w:r>
      <w:r>
        <w:rPr>
          <w:color w:val="auto"/>
        </w:rPr>
        <w:fldChar w:fldCharType="begin"/>
      </w:r>
      <w:r>
        <w:rPr>
          <w:color w:val="auto"/>
        </w:rPr>
        <w:instrText xml:space="preserve"> PAGEREF _Toc26149 \h </w:instrText>
      </w:r>
      <w:r>
        <w:rPr>
          <w:color w:val="auto"/>
        </w:rPr>
        <w:fldChar w:fldCharType="separate"/>
      </w:r>
      <w:r>
        <w:rPr>
          <w:color w:val="auto"/>
        </w:rPr>
        <w:t>1</w:t>
      </w:r>
      <w:r>
        <w:rPr>
          <w:color w:val="auto"/>
        </w:rPr>
        <w:fldChar w:fldCharType="end"/>
      </w:r>
      <w:r>
        <w:rPr>
          <w:bCs/>
          <w:snapToGrid w:val="0"/>
          <w:color w:val="auto"/>
          <w:szCs w:val="28"/>
        </w:rPr>
        <w:fldChar w:fldCharType="end"/>
      </w:r>
    </w:p>
    <w:p>
      <w:pPr>
        <w:pStyle w:val="11"/>
        <w:tabs>
          <w:tab w:val="right" w:leader="dot" w:pos="8305"/>
        </w:tabs>
        <w:rPr>
          <w:color w:val="auto"/>
        </w:rPr>
      </w:pPr>
      <w:r>
        <w:rPr>
          <w:rFonts w:ascii="Times New Roman" w:hAnsi="Times New Roman"/>
          <w:bCs/>
          <w:snapToGrid w:val="0"/>
          <w:color w:val="auto"/>
          <w:szCs w:val="28"/>
        </w:rPr>
        <w:fldChar w:fldCharType="begin"/>
      </w:r>
      <w:r>
        <w:rPr>
          <w:rFonts w:ascii="Times New Roman" w:hAnsi="Times New Roman"/>
          <w:bCs/>
          <w:snapToGrid w:val="0"/>
          <w:color w:val="auto"/>
          <w:szCs w:val="28"/>
        </w:rPr>
        <w:instrText xml:space="preserve"> HYPERLINK \l _Toc6799 </w:instrText>
      </w:r>
      <w:r>
        <w:rPr>
          <w:rFonts w:ascii="Times New Roman" w:hAnsi="Times New Roman"/>
          <w:bCs/>
          <w:snapToGrid w:val="0"/>
          <w:color w:val="auto"/>
          <w:szCs w:val="28"/>
        </w:rPr>
        <w:fldChar w:fldCharType="separate"/>
      </w:r>
      <w:r>
        <w:rPr>
          <w:rFonts w:hint="eastAsia"/>
          <w:bCs/>
          <w:snapToGrid w:val="0"/>
          <w:color w:val="auto"/>
          <w:szCs w:val="30"/>
        </w:rPr>
        <w:t>三、</w:t>
      </w:r>
      <w:r>
        <w:rPr>
          <w:bCs/>
          <w:snapToGrid w:val="0"/>
          <w:color w:val="auto"/>
          <w:szCs w:val="30"/>
        </w:rPr>
        <w:t>区域环境质量现状、环境保护目标及评价标准</w:t>
      </w:r>
      <w:r>
        <w:rPr>
          <w:color w:val="auto"/>
        </w:rPr>
        <w:tab/>
      </w:r>
      <w:r>
        <w:rPr>
          <w:color w:val="auto"/>
        </w:rPr>
        <w:fldChar w:fldCharType="begin"/>
      </w:r>
      <w:r>
        <w:rPr>
          <w:color w:val="auto"/>
        </w:rPr>
        <w:instrText xml:space="preserve"> PAGEREF _Toc6799 \h </w:instrText>
      </w:r>
      <w:r>
        <w:rPr>
          <w:color w:val="auto"/>
        </w:rPr>
        <w:fldChar w:fldCharType="separate"/>
      </w:r>
      <w:r>
        <w:rPr>
          <w:color w:val="auto"/>
        </w:rPr>
        <w:t>40</w:t>
      </w:r>
      <w:r>
        <w:rPr>
          <w:color w:val="auto"/>
        </w:rPr>
        <w:fldChar w:fldCharType="end"/>
      </w:r>
      <w:r>
        <w:rPr>
          <w:rFonts w:ascii="Times New Roman" w:hAnsi="Times New Roman"/>
          <w:bCs/>
          <w:snapToGrid w:val="0"/>
          <w:color w:val="auto"/>
          <w:szCs w:val="28"/>
        </w:rPr>
        <w:fldChar w:fldCharType="end"/>
      </w:r>
    </w:p>
    <w:p>
      <w:pPr>
        <w:pStyle w:val="11"/>
        <w:tabs>
          <w:tab w:val="right" w:leader="dot" w:pos="8305"/>
        </w:tabs>
        <w:rPr>
          <w:color w:val="auto"/>
        </w:rPr>
      </w:pPr>
      <w:r>
        <w:rPr>
          <w:rFonts w:ascii="Times New Roman" w:hAnsi="Times New Roman"/>
          <w:bCs/>
          <w:snapToGrid w:val="0"/>
          <w:color w:val="auto"/>
          <w:szCs w:val="28"/>
        </w:rPr>
        <w:fldChar w:fldCharType="begin"/>
      </w:r>
      <w:r>
        <w:rPr>
          <w:rFonts w:ascii="Times New Roman" w:hAnsi="Times New Roman"/>
          <w:bCs/>
          <w:snapToGrid w:val="0"/>
          <w:color w:val="auto"/>
          <w:szCs w:val="28"/>
        </w:rPr>
        <w:instrText xml:space="preserve"> HYPERLINK \l _Toc31279 </w:instrText>
      </w:r>
      <w:r>
        <w:rPr>
          <w:rFonts w:ascii="Times New Roman" w:hAnsi="Times New Roman"/>
          <w:bCs/>
          <w:snapToGrid w:val="0"/>
          <w:color w:val="auto"/>
          <w:szCs w:val="28"/>
        </w:rPr>
        <w:fldChar w:fldCharType="separate"/>
      </w:r>
      <w:r>
        <w:rPr>
          <w:rFonts w:hint="eastAsia"/>
          <w:bCs/>
          <w:snapToGrid w:val="0"/>
          <w:color w:val="auto"/>
          <w:szCs w:val="30"/>
        </w:rPr>
        <w:t>四、主要环境影响和保护措施</w:t>
      </w:r>
      <w:r>
        <w:rPr>
          <w:color w:val="auto"/>
        </w:rPr>
        <w:tab/>
      </w:r>
      <w:r>
        <w:rPr>
          <w:color w:val="auto"/>
        </w:rPr>
        <w:fldChar w:fldCharType="begin"/>
      </w:r>
      <w:r>
        <w:rPr>
          <w:color w:val="auto"/>
        </w:rPr>
        <w:instrText xml:space="preserve"> PAGEREF _Toc31279 \h </w:instrText>
      </w:r>
      <w:r>
        <w:rPr>
          <w:color w:val="auto"/>
        </w:rPr>
        <w:fldChar w:fldCharType="separate"/>
      </w:r>
      <w:r>
        <w:rPr>
          <w:color w:val="auto"/>
        </w:rPr>
        <w:t>46</w:t>
      </w:r>
      <w:r>
        <w:rPr>
          <w:color w:val="auto"/>
        </w:rPr>
        <w:fldChar w:fldCharType="end"/>
      </w:r>
      <w:r>
        <w:rPr>
          <w:rFonts w:ascii="Times New Roman" w:hAnsi="Times New Roman"/>
          <w:bCs/>
          <w:snapToGrid w:val="0"/>
          <w:color w:val="auto"/>
          <w:szCs w:val="28"/>
        </w:rPr>
        <w:fldChar w:fldCharType="end"/>
      </w:r>
    </w:p>
    <w:p>
      <w:pPr>
        <w:pStyle w:val="11"/>
        <w:tabs>
          <w:tab w:val="right" w:leader="dot" w:pos="8305"/>
        </w:tabs>
        <w:rPr>
          <w:color w:val="auto"/>
        </w:rPr>
      </w:pPr>
      <w:r>
        <w:rPr>
          <w:rFonts w:ascii="Times New Roman" w:hAnsi="Times New Roman"/>
          <w:bCs/>
          <w:snapToGrid w:val="0"/>
          <w:color w:val="auto"/>
          <w:szCs w:val="28"/>
        </w:rPr>
        <w:fldChar w:fldCharType="begin"/>
      </w:r>
      <w:r>
        <w:rPr>
          <w:rFonts w:ascii="Times New Roman" w:hAnsi="Times New Roman"/>
          <w:bCs/>
          <w:snapToGrid w:val="0"/>
          <w:color w:val="auto"/>
          <w:szCs w:val="28"/>
        </w:rPr>
        <w:instrText xml:space="preserve"> HYPERLINK \l _Toc18346 </w:instrText>
      </w:r>
      <w:r>
        <w:rPr>
          <w:rFonts w:ascii="Times New Roman" w:hAnsi="Times New Roman"/>
          <w:bCs/>
          <w:snapToGrid w:val="0"/>
          <w:color w:val="auto"/>
          <w:szCs w:val="28"/>
        </w:rPr>
        <w:fldChar w:fldCharType="separate"/>
      </w:r>
      <w:r>
        <w:rPr>
          <w:rFonts w:ascii="Times New Roman" w:hAnsi="Times New Roman"/>
          <w:bCs/>
          <w:snapToGrid w:val="0"/>
          <w:color w:val="auto"/>
          <w:szCs w:val="30"/>
        </w:rPr>
        <w:t>五、 环境保护措施监督检查清单</w:t>
      </w:r>
      <w:r>
        <w:rPr>
          <w:color w:val="auto"/>
        </w:rPr>
        <w:tab/>
      </w:r>
      <w:r>
        <w:rPr>
          <w:color w:val="auto"/>
        </w:rPr>
        <w:fldChar w:fldCharType="begin"/>
      </w:r>
      <w:r>
        <w:rPr>
          <w:color w:val="auto"/>
        </w:rPr>
        <w:instrText xml:space="preserve"> PAGEREF _Toc18346 \h </w:instrText>
      </w:r>
      <w:r>
        <w:rPr>
          <w:color w:val="auto"/>
        </w:rPr>
        <w:fldChar w:fldCharType="separate"/>
      </w:r>
      <w:r>
        <w:rPr>
          <w:color w:val="auto"/>
        </w:rPr>
        <w:t>92</w:t>
      </w:r>
      <w:r>
        <w:rPr>
          <w:color w:val="auto"/>
        </w:rPr>
        <w:fldChar w:fldCharType="end"/>
      </w:r>
      <w:r>
        <w:rPr>
          <w:rFonts w:ascii="Times New Roman" w:hAnsi="Times New Roman"/>
          <w:bCs/>
          <w:snapToGrid w:val="0"/>
          <w:color w:val="auto"/>
          <w:szCs w:val="28"/>
        </w:rPr>
        <w:fldChar w:fldCharType="end"/>
      </w:r>
    </w:p>
    <w:p>
      <w:pPr>
        <w:pStyle w:val="11"/>
        <w:tabs>
          <w:tab w:val="right" w:leader="dot" w:pos="8305"/>
        </w:tabs>
        <w:rPr>
          <w:color w:val="auto"/>
        </w:rPr>
      </w:pPr>
      <w:r>
        <w:rPr>
          <w:rFonts w:ascii="Times New Roman" w:hAnsi="Times New Roman"/>
          <w:bCs/>
          <w:snapToGrid w:val="0"/>
          <w:color w:val="auto"/>
          <w:szCs w:val="28"/>
        </w:rPr>
        <w:fldChar w:fldCharType="begin"/>
      </w:r>
      <w:r>
        <w:rPr>
          <w:rFonts w:ascii="Times New Roman" w:hAnsi="Times New Roman"/>
          <w:bCs/>
          <w:snapToGrid w:val="0"/>
          <w:color w:val="auto"/>
          <w:szCs w:val="28"/>
        </w:rPr>
        <w:instrText xml:space="preserve"> HYPERLINK \l _Toc12629 </w:instrText>
      </w:r>
      <w:r>
        <w:rPr>
          <w:rFonts w:ascii="Times New Roman" w:hAnsi="Times New Roman"/>
          <w:bCs/>
          <w:snapToGrid w:val="0"/>
          <w:color w:val="auto"/>
          <w:szCs w:val="28"/>
        </w:rPr>
        <w:fldChar w:fldCharType="separate"/>
      </w:r>
      <w:r>
        <w:rPr>
          <w:rFonts w:ascii="Times New Roman" w:hAnsi="Times New Roman"/>
          <w:bCs/>
          <w:snapToGrid w:val="0"/>
          <w:color w:val="auto"/>
          <w:szCs w:val="30"/>
        </w:rPr>
        <w:t>六、 结论</w:t>
      </w:r>
      <w:r>
        <w:rPr>
          <w:color w:val="auto"/>
        </w:rPr>
        <w:tab/>
      </w:r>
      <w:r>
        <w:rPr>
          <w:color w:val="auto"/>
        </w:rPr>
        <w:fldChar w:fldCharType="begin"/>
      </w:r>
      <w:r>
        <w:rPr>
          <w:color w:val="auto"/>
        </w:rPr>
        <w:instrText xml:space="preserve"> PAGEREF _Toc12629 \h </w:instrText>
      </w:r>
      <w:r>
        <w:rPr>
          <w:color w:val="auto"/>
        </w:rPr>
        <w:fldChar w:fldCharType="separate"/>
      </w:r>
      <w:r>
        <w:rPr>
          <w:color w:val="auto"/>
        </w:rPr>
        <w:t>97</w:t>
      </w:r>
      <w:r>
        <w:rPr>
          <w:color w:val="auto"/>
        </w:rPr>
        <w:fldChar w:fldCharType="end"/>
      </w:r>
      <w:r>
        <w:rPr>
          <w:rFonts w:ascii="Times New Roman" w:hAnsi="Times New Roman"/>
          <w:bCs/>
          <w:snapToGrid w:val="0"/>
          <w:color w:val="auto"/>
          <w:szCs w:val="28"/>
        </w:rPr>
        <w:fldChar w:fldCharType="end"/>
      </w:r>
    </w:p>
    <w:p>
      <w:pPr>
        <w:pStyle w:val="11"/>
        <w:tabs>
          <w:tab w:val="right" w:leader="dot" w:pos="8305"/>
        </w:tabs>
        <w:rPr>
          <w:color w:val="auto"/>
        </w:rPr>
      </w:pPr>
      <w:r>
        <w:rPr>
          <w:rFonts w:ascii="Times New Roman" w:hAnsi="Times New Roman"/>
          <w:bCs/>
          <w:snapToGrid w:val="0"/>
          <w:color w:val="auto"/>
          <w:szCs w:val="28"/>
        </w:rPr>
        <w:fldChar w:fldCharType="begin"/>
      </w:r>
      <w:r>
        <w:rPr>
          <w:rFonts w:ascii="Times New Roman" w:hAnsi="Times New Roman"/>
          <w:bCs/>
          <w:snapToGrid w:val="0"/>
          <w:color w:val="auto"/>
          <w:szCs w:val="28"/>
        </w:rPr>
        <w:instrText xml:space="preserve"> HYPERLINK \l _Toc30831 </w:instrText>
      </w:r>
      <w:r>
        <w:rPr>
          <w:rFonts w:ascii="Times New Roman" w:hAnsi="Times New Roman"/>
          <w:bCs/>
          <w:snapToGrid w:val="0"/>
          <w:color w:val="auto"/>
          <w:szCs w:val="28"/>
        </w:rPr>
        <w:fldChar w:fldCharType="separate"/>
      </w:r>
      <w:r>
        <w:rPr>
          <w:rFonts w:ascii="Times New Roman" w:hAnsi="Times New Roman"/>
          <w:bCs/>
          <w:snapToGrid w:val="0"/>
          <w:color w:val="auto"/>
          <w:szCs w:val="28"/>
        </w:rPr>
        <w:t>附表:</w:t>
      </w:r>
      <w:r>
        <w:rPr>
          <w:color w:val="auto"/>
        </w:rPr>
        <w:tab/>
      </w:r>
      <w:r>
        <w:rPr>
          <w:color w:val="auto"/>
        </w:rPr>
        <w:fldChar w:fldCharType="begin"/>
      </w:r>
      <w:r>
        <w:rPr>
          <w:color w:val="auto"/>
        </w:rPr>
        <w:instrText xml:space="preserve"> PAGEREF _Toc30831 \h </w:instrText>
      </w:r>
      <w:r>
        <w:rPr>
          <w:color w:val="auto"/>
        </w:rPr>
        <w:fldChar w:fldCharType="separate"/>
      </w:r>
      <w:r>
        <w:rPr>
          <w:color w:val="auto"/>
        </w:rPr>
        <w:t>98</w:t>
      </w:r>
      <w:r>
        <w:rPr>
          <w:color w:val="auto"/>
        </w:rPr>
        <w:fldChar w:fldCharType="end"/>
      </w:r>
      <w:r>
        <w:rPr>
          <w:rFonts w:ascii="Times New Roman" w:hAnsi="Times New Roman"/>
          <w:bCs/>
          <w:snapToGrid w:val="0"/>
          <w:color w:val="auto"/>
          <w:szCs w:val="28"/>
        </w:rPr>
        <w:fldChar w:fldCharType="end"/>
      </w:r>
    </w:p>
    <w:p>
      <w:pPr>
        <w:pStyle w:val="11"/>
        <w:tabs>
          <w:tab w:val="right" w:leader="dot" w:pos="8305"/>
        </w:tabs>
        <w:rPr>
          <w:color w:val="auto"/>
        </w:rPr>
      </w:pPr>
      <w:r>
        <w:rPr>
          <w:rFonts w:ascii="Times New Roman" w:hAnsi="Times New Roman"/>
          <w:bCs/>
          <w:snapToGrid w:val="0"/>
          <w:color w:val="auto"/>
          <w:szCs w:val="28"/>
        </w:rPr>
        <w:fldChar w:fldCharType="begin"/>
      </w:r>
      <w:r>
        <w:rPr>
          <w:rFonts w:ascii="Times New Roman" w:hAnsi="Times New Roman"/>
          <w:bCs/>
          <w:snapToGrid w:val="0"/>
          <w:color w:val="auto"/>
          <w:szCs w:val="28"/>
        </w:rPr>
        <w:instrText xml:space="preserve"> HYPERLINK \l _Toc26493 </w:instrText>
      </w:r>
      <w:r>
        <w:rPr>
          <w:rFonts w:ascii="Times New Roman" w:hAnsi="Times New Roman"/>
          <w:bCs/>
          <w:snapToGrid w:val="0"/>
          <w:color w:val="auto"/>
          <w:szCs w:val="28"/>
        </w:rPr>
        <w:fldChar w:fldCharType="separate"/>
      </w:r>
      <w:r>
        <w:rPr>
          <w:bCs/>
          <w:color w:val="auto"/>
        </w:rPr>
        <w:t>附件清单：</w:t>
      </w:r>
      <w:r>
        <w:rPr>
          <w:color w:val="auto"/>
        </w:rPr>
        <w:tab/>
      </w:r>
      <w:r>
        <w:rPr>
          <w:color w:val="auto"/>
        </w:rPr>
        <w:fldChar w:fldCharType="begin"/>
      </w:r>
      <w:r>
        <w:rPr>
          <w:color w:val="auto"/>
        </w:rPr>
        <w:instrText xml:space="preserve"> PAGEREF _Toc26493 \h </w:instrText>
      </w:r>
      <w:r>
        <w:rPr>
          <w:color w:val="auto"/>
        </w:rPr>
        <w:fldChar w:fldCharType="separate"/>
      </w:r>
      <w:r>
        <w:rPr>
          <w:color w:val="auto"/>
        </w:rPr>
        <w:t>100</w:t>
      </w:r>
      <w:r>
        <w:rPr>
          <w:color w:val="auto"/>
        </w:rPr>
        <w:fldChar w:fldCharType="end"/>
      </w:r>
      <w:r>
        <w:rPr>
          <w:rFonts w:ascii="Times New Roman" w:hAnsi="Times New Roman"/>
          <w:bCs/>
          <w:snapToGrid w:val="0"/>
          <w:color w:val="auto"/>
          <w:szCs w:val="28"/>
        </w:rPr>
        <w:fldChar w:fldCharType="end"/>
      </w:r>
    </w:p>
    <w:p>
      <w:pPr>
        <w:pStyle w:val="11"/>
        <w:tabs>
          <w:tab w:val="right" w:leader="dot" w:pos="8305"/>
        </w:tabs>
        <w:rPr>
          <w:color w:val="auto"/>
        </w:rPr>
      </w:pPr>
      <w:r>
        <w:rPr>
          <w:rFonts w:ascii="Times New Roman" w:hAnsi="Times New Roman"/>
          <w:bCs/>
          <w:snapToGrid w:val="0"/>
          <w:color w:val="auto"/>
          <w:szCs w:val="28"/>
        </w:rPr>
        <w:fldChar w:fldCharType="begin"/>
      </w:r>
      <w:r>
        <w:rPr>
          <w:rFonts w:ascii="Times New Roman" w:hAnsi="Times New Roman"/>
          <w:bCs/>
          <w:snapToGrid w:val="0"/>
          <w:color w:val="auto"/>
          <w:szCs w:val="28"/>
        </w:rPr>
        <w:instrText xml:space="preserve"> HYPERLINK \l _Toc6962 </w:instrText>
      </w:r>
      <w:r>
        <w:rPr>
          <w:rFonts w:ascii="Times New Roman" w:hAnsi="Times New Roman"/>
          <w:bCs/>
          <w:snapToGrid w:val="0"/>
          <w:color w:val="auto"/>
          <w:szCs w:val="28"/>
        </w:rPr>
        <w:fldChar w:fldCharType="separate"/>
      </w:r>
      <w:r>
        <w:rPr>
          <w:bCs/>
          <w:color w:val="auto"/>
        </w:rPr>
        <w:t>附图清单：</w:t>
      </w:r>
      <w:r>
        <w:rPr>
          <w:color w:val="auto"/>
        </w:rPr>
        <w:tab/>
      </w:r>
      <w:r>
        <w:rPr>
          <w:color w:val="auto"/>
        </w:rPr>
        <w:fldChar w:fldCharType="begin"/>
      </w:r>
      <w:r>
        <w:rPr>
          <w:color w:val="auto"/>
        </w:rPr>
        <w:instrText xml:space="preserve"> PAGEREF _Toc6962 \h </w:instrText>
      </w:r>
      <w:r>
        <w:rPr>
          <w:color w:val="auto"/>
        </w:rPr>
        <w:fldChar w:fldCharType="separate"/>
      </w:r>
      <w:r>
        <w:rPr>
          <w:color w:val="auto"/>
        </w:rPr>
        <w:t>100</w:t>
      </w:r>
      <w:r>
        <w:rPr>
          <w:color w:val="auto"/>
        </w:rPr>
        <w:fldChar w:fldCharType="end"/>
      </w:r>
      <w:r>
        <w:rPr>
          <w:rFonts w:ascii="Times New Roman" w:hAnsi="Times New Roman"/>
          <w:bCs/>
          <w:snapToGrid w:val="0"/>
          <w:color w:val="auto"/>
          <w:szCs w:val="28"/>
        </w:rPr>
        <w:fldChar w:fldCharType="end"/>
      </w:r>
    </w:p>
    <w:p>
      <w:pPr>
        <w:pStyle w:val="13"/>
        <w:wordWrap w:val="0"/>
        <w:spacing w:before="0" w:beforeAutospacing="0" w:after="0" w:afterAutospacing="0" w:line="480" w:lineRule="auto"/>
        <w:jc w:val="both"/>
        <w:rPr>
          <w:rFonts w:ascii="Times New Roman" w:hAnsi="Times New Roman"/>
          <w:b/>
          <w:bCs/>
          <w:snapToGrid w:val="0"/>
          <w:color w:val="auto"/>
          <w:sz w:val="32"/>
          <w:szCs w:val="32"/>
        </w:rPr>
      </w:pPr>
      <w:r>
        <w:rPr>
          <w:rFonts w:ascii="Times New Roman" w:hAnsi="Times New Roman"/>
          <w:bCs/>
          <w:snapToGrid w:val="0"/>
          <w:color w:val="auto"/>
          <w:szCs w:val="28"/>
        </w:rPr>
        <w:fldChar w:fldCharType="end"/>
      </w:r>
    </w:p>
    <w:p>
      <w:pPr>
        <w:wordWrap w:val="0"/>
        <w:spacing w:line="360" w:lineRule="auto"/>
        <w:rPr>
          <w:b/>
          <w:bCs/>
          <w:snapToGrid w:val="0"/>
          <w:color w:val="auto"/>
          <w:sz w:val="30"/>
          <w:szCs w:val="30"/>
        </w:rPr>
        <w:sectPr>
          <w:footerReference r:id="rId5" w:type="default"/>
          <w:pgSz w:w="11905" w:h="16838"/>
          <w:pgMar w:top="1440" w:right="1800" w:bottom="1440" w:left="1800" w:header="851" w:footer="850" w:gutter="0"/>
          <w:pgBorders>
            <w:top w:val="none" w:sz="0" w:space="0"/>
            <w:left w:val="none" w:sz="0" w:space="0"/>
            <w:bottom w:val="none" w:sz="0" w:space="0"/>
            <w:right w:val="none" w:sz="0" w:space="0"/>
          </w:pgBorders>
          <w:pgNumType w:start="1"/>
          <w:cols w:space="720" w:num="1"/>
          <w:titlePg/>
          <w:docGrid w:linePitch="312" w:charSpace="0"/>
        </w:sectPr>
      </w:pPr>
      <w:bookmarkStart w:id="50" w:name="_GoBack"/>
      <w:bookmarkEnd w:id="50"/>
    </w:p>
    <w:p>
      <w:pPr>
        <w:wordWrap w:val="0"/>
        <w:spacing w:line="360" w:lineRule="auto"/>
        <w:ind w:firstLine="420"/>
        <w:jc w:val="center"/>
        <w:outlineLvl w:val="0"/>
        <w:rPr>
          <w:b/>
          <w:bCs/>
          <w:snapToGrid w:val="0"/>
          <w:color w:val="auto"/>
          <w:sz w:val="30"/>
          <w:szCs w:val="30"/>
        </w:rPr>
      </w:pPr>
      <w:bookmarkStart w:id="1" w:name="_Toc26149"/>
      <w:r>
        <w:rPr>
          <w:rFonts w:hint="eastAsia"/>
          <w:b/>
          <w:bCs/>
          <w:snapToGrid w:val="0"/>
          <w:color w:val="auto"/>
          <w:sz w:val="30"/>
          <w:szCs w:val="30"/>
        </w:rPr>
        <w:t>一、</w:t>
      </w:r>
      <w:r>
        <w:rPr>
          <w:b/>
          <w:bCs/>
          <w:snapToGrid w:val="0"/>
          <w:color w:val="auto"/>
          <w:sz w:val="30"/>
          <w:szCs w:val="30"/>
        </w:rPr>
        <w:t>建设项目基本情况</w:t>
      </w:r>
      <w:bookmarkEnd w:id="1"/>
    </w:p>
    <w:tbl>
      <w:tblPr>
        <w:tblStyle w:val="20"/>
        <w:tblW w:w="924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408"/>
        <w:gridCol w:w="2041"/>
        <w:gridCol w:w="2008"/>
        <w:gridCol w:w="378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08" w:type="dxa"/>
            <w:tcMar>
              <w:top w:w="16" w:type="dxa"/>
              <w:left w:w="16" w:type="dxa"/>
              <w:right w:w="16" w:type="dxa"/>
            </w:tcMar>
            <w:vAlign w:val="center"/>
          </w:tcPr>
          <w:p>
            <w:pPr>
              <w:wordWrap w:val="0"/>
              <w:adjustRightInd w:val="0"/>
              <w:snapToGrid w:val="0"/>
              <w:jc w:val="center"/>
              <w:rPr>
                <w:b/>
                <w:bCs/>
                <w:color w:val="auto"/>
                <w:sz w:val="24"/>
              </w:rPr>
            </w:pPr>
            <w:r>
              <w:rPr>
                <w:b/>
                <w:bCs/>
                <w:color w:val="auto"/>
                <w:sz w:val="24"/>
              </w:rPr>
              <w:t>建设项目名称</w:t>
            </w:r>
          </w:p>
        </w:tc>
        <w:tc>
          <w:tcPr>
            <w:tcW w:w="7835" w:type="dxa"/>
            <w:gridSpan w:val="3"/>
            <w:vAlign w:val="center"/>
          </w:tcPr>
          <w:p>
            <w:pPr>
              <w:wordWrap w:val="0"/>
              <w:adjustRightInd w:val="0"/>
              <w:snapToGrid w:val="0"/>
              <w:jc w:val="center"/>
              <w:rPr>
                <w:color w:val="auto"/>
                <w:sz w:val="24"/>
              </w:rPr>
            </w:pPr>
            <w:r>
              <w:rPr>
                <w:color w:val="auto"/>
                <w:sz w:val="24"/>
              </w:rPr>
              <w:t>淮安嘉帅重工科技有限公司年产2万吨钢结构项目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08" w:type="dxa"/>
            <w:tcMar>
              <w:top w:w="16" w:type="dxa"/>
              <w:left w:w="16" w:type="dxa"/>
              <w:right w:w="16" w:type="dxa"/>
            </w:tcMar>
            <w:vAlign w:val="center"/>
          </w:tcPr>
          <w:p>
            <w:pPr>
              <w:wordWrap w:val="0"/>
              <w:adjustRightInd w:val="0"/>
              <w:snapToGrid w:val="0"/>
              <w:jc w:val="center"/>
              <w:rPr>
                <w:b/>
                <w:bCs/>
                <w:color w:val="auto"/>
                <w:sz w:val="24"/>
              </w:rPr>
            </w:pPr>
            <w:r>
              <w:rPr>
                <w:b/>
                <w:bCs/>
                <w:color w:val="auto"/>
                <w:sz w:val="24"/>
              </w:rPr>
              <w:t>项目代码</w:t>
            </w:r>
          </w:p>
        </w:tc>
        <w:tc>
          <w:tcPr>
            <w:tcW w:w="7835" w:type="dxa"/>
            <w:gridSpan w:val="3"/>
            <w:vAlign w:val="center"/>
          </w:tcPr>
          <w:p>
            <w:pPr>
              <w:wordWrap w:val="0"/>
              <w:adjustRightInd w:val="0"/>
              <w:snapToGrid w:val="0"/>
              <w:jc w:val="center"/>
              <w:rPr>
                <w:color w:val="auto"/>
                <w:sz w:val="24"/>
              </w:rPr>
            </w:pPr>
            <w:r>
              <w:rPr>
                <w:color w:val="auto"/>
                <w:sz w:val="24"/>
              </w:rPr>
              <w:t>2405-320804-89-01-221335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08" w:type="dxa"/>
            <w:tcMar>
              <w:top w:w="16" w:type="dxa"/>
              <w:left w:w="16" w:type="dxa"/>
              <w:right w:w="16" w:type="dxa"/>
            </w:tcMar>
            <w:vAlign w:val="center"/>
          </w:tcPr>
          <w:p>
            <w:pPr>
              <w:wordWrap w:val="0"/>
              <w:adjustRightInd w:val="0"/>
              <w:snapToGrid w:val="0"/>
              <w:jc w:val="center"/>
              <w:rPr>
                <w:b/>
                <w:bCs/>
                <w:color w:val="auto"/>
                <w:sz w:val="24"/>
              </w:rPr>
            </w:pPr>
            <w:r>
              <w:rPr>
                <w:b/>
                <w:bCs/>
                <w:color w:val="auto"/>
                <w:sz w:val="24"/>
              </w:rPr>
              <w:t>建设单位联系人</w:t>
            </w:r>
          </w:p>
        </w:tc>
        <w:tc>
          <w:tcPr>
            <w:tcW w:w="2041" w:type="dxa"/>
            <w:vAlign w:val="center"/>
          </w:tcPr>
          <w:p>
            <w:pPr>
              <w:wordWrap w:val="0"/>
              <w:adjustRightInd w:val="0"/>
              <w:snapToGrid w:val="0"/>
              <w:jc w:val="center"/>
              <w:rPr>
                <w:rFonts w:hint="default" w:eastAsia="宋体"/>
                <w:color w:val="auto"/>
                <w:sz w:val="24"/>
                <w:lang w:val="en-US" w:eastAsia="zh-CN"/>
              </w:rPr>
            </w:pPr>
            <w:r>
              <w:rPr>
                <w:rFonts w:hint="eastAsia"/>
                <w:color w:val="auto"/>
                <w:sz w:val="24"/>
                <w:lang w:val="en-US" w:eastAsia="zh-CN"/>
              </w:rPr>
              <w:t>***</w:t>
            </w:r>
          </w:p>
        </w:tc>
        <w:tc>
          <w:tcPr>
            <w:tcW w:w="2008" w:type="dxa"/>
            <w:vAlign w:val="center"/>
          </w:tcPr>
          <w:p>
            <w:pPr>
              <w:wordWrap w:val="0"/>
              <w:adjustRightInd w:val="0"/>
              <w:snapToGrid w:val="0"/>
              <w:jc w:val="center"/>
              <w:rPr>
                <w:color w:val="auto"/>
                <w:sz w:val="24"/>
              </w:rPr>
            </w:pPr>
            <w:r>
              <w:rPr>
                <w:b/>
                <w:bCs/>
                <w:color w:val="auto"/>
                <w:sz w:val="24"/>
              </w:rPr>
              <w:t>联系方式</w:t>
            </w:r>
          </w:p>
        </w:tc>
        <w:tc>
          <w:tcPr>
            <w:tcW w:w="3786" w:type="dxa"/>
            <w:vAlign w:val="center"/>
          </w:tcPr>
          <w:p>
            <w:pPr>
              <w:wordWrap w:val="0"/>
              <w:adjustRightInd w:val="0"/>
              <w:snapToGrid w:val="0"/>
              <w:jc w:val="center"/>
              <w:rPr>
                <w:rFonts w:hint="default" w:eastAsia="宋体"/>
                <w:color w:val="auto"/>
                <w:sz w:val="24"/>
                <w:lang w:val="en-US" w:eastAsia="zh-CN"/>
              </w:rPr>
            </w:pPr>
            <w:r>
              <w:rPr>
                <w:rFonts w:hint="eastAsia"/>
                <w:color w:val="auto"/>
                <w:sz w:val="24"/>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08" w:type="dxa"/>
            <w:tcMar>
              <w:top w:w="16" w:type="dxa"/>
              <w:left w:w="16" w:type="dxa"/>
              <w:right w:w="16" w:type="dxa"/>
            </w:tcMar>
            <w:vAlign w:val="center"/>
          </w:tcPr>
          <w:p>
            <w:pPr>
              <w:wordWrap w:val="0"/>
              <w:adjustRightInd w:val="0"/>
              <w:snapToGrid w:val="0"/>
              <w:jc w:val="center"/>
              <w:rPr>
                <w:b/>
                <w:bCs/>
                <w:color w:val="auto"/>
                <w:sz w:val="24"/>
              </w:rPr>
            </w:pPr>
            <w:r>
              <w:rPr>
                <w:b/>
                <w:bCs/>
                <w:color w:val="auto"/>
                <w:sz w:val="24"/>
              </w:rPr>
              <w:t>建设地点</w:t>
            </w:r>
          </w:p>
        </w:tc>
        <w:tc>
          <w:tcPr>
            <w:tcW w:w="7835" w:type="dxa"/>
            <w:gridSpan w:val="3"/>
            <w:vAlign w:val="center"/>
          </w:tcPr>
          <w:p>
            <w:pPr>
              <w:wordWrap w:val="0"/>
              <w:adjustRightInd w:val="0"/>
              <w:snapToGrid w:val="0"/>
              <w:jc w:val="center"/>
              <w:rPr>
                <w:color w:val="auto"/>
                <w:sz w:val="24"/>
              </w:rPr>
            </w:pPr>
            <w:r>
              <w:rPr>
                <w:color w:val="auto"/>
                <w:sz w:val="24"/>
                <w:u w:val="single"/>
              </w:rPr>
              <w:t>江苏</w:t>
            </w:r>
            <w:r>
              <w:rPr>
                <w:color w:val="auto"/>
                <w:sz w:val="24"/>
              </w:rPr>
              <w:t>省</w:t>
            </w:r>
            <w:r>
              <w:rPr>
                <w:color w:val="auto"/>
                <w:sz w:val="24"/>
                <w:u w:val="single"/>
              </w:rPr>
              <w:t>淮安</w:t>
            </w:r>
            <w:r>
              <w:rPr>
                <w:color w:val="auto"/>
                <w:sz w:val="24"/>
              </w:rPr>
              <w:t>市</w:t>
            </w:r>
            <w:r>
              <w:rPr>
                <w:color w:val="auto"/>
                <w:sz w:val="24"/>
                <w:u w:val="single"/>
              </w:rPr>
              <w:t>淮阴区古清口街道农科村淮三路168号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08" w:type="dxa"/>
            <w:tcMar>
              <w:top w:w="16" w:type="dxa"/>
              <w:left w:w="16" w:type="dxa"/>
              <w:right w:w="16" w:type="dxa"/>
            </w:tcMar>
            <w:vAlign w:val="center"/>
          </w:tcPr>
          <w:p>
            <w:pPr>
              <w:wordWrap w:val="0"/>
              <w:adjustRightInd w:val="0"/>
              <w:snapToGrid w:val="0"/>
              <w:jc w:val="center"/>
              <w:rPr>
                <w:b/>
                <w:bCs/>
                <w:color w:val="auto"/>
                <w:sz w:val="24"/>
              </w:rPr>
            </w:pPr>
            <w:r>
              <w:rPr>
                <w:b/>
                <w:bCs/>
                <w:color w:val="auto"/>
                <w:sz w:val="24"/>
              </w:rPr>
              <w:t>地理坐标</w:t>
            </w:r>
          </w:p>
        </w:tc>
        <w:tc>
          <w:tcPr>
            <w:tcW w:w="7835" w:type="dxa"/>
            <w:gridSpan w:val="3"/>
            <w:vAlign w:val="center"/>
          </w:tcPr>
          <w:p>
            <w:pPr>
              <w:wordWrap w:val="0"/>
              <w:jc w:val="center"/>
              <w:rPr>
                <w:color w:val="auto"/>
                <w:sz w:val="24"/>
              </w:rPr>
            </w:pPr>
            <w:r>
              <w:rPr>
                <w:color w:val="auto"/>
                <w:sz w:val="24"/>
              </w:rPr>
              <w:t>（</w:t>
            </w:r>
            <w:r>
              <w:rPr>
                <w:rFonts w:hint="eastAsia"/>
                <w:color w:val="auto"/>
                <w:sz w:val="24"/>
              </w:rPr>
              <w:t>经度</w:t>
            </w:r>
            <w:r>
              <w:rPr>
                <w:color w:val="auto"/>
                <w:sz w:val="24"/>
              </w:rPr>
              <w:t>119度</w:t>
            </w:r>
            <w:r>
              <w:rPr>
                <w:color w:val="auto"/>
                <w:sz w:val="24"/>
                <w:u w:val="single"/>
              </w:rPr>
              <w:t>09</w:t>
            </w:r>
            <w:r>
              <w:rPr>
                <w:color w:val="auto"/>
                <w:sz w:val="24"/>
              </w:rPr>
              <w:t>分</w:t>
            </w:r>
            <w:r>
              <w:rPr>
                <w:color w:val="auto"/>
                <w:sz w:val="24"/>
                <w:u w:val="single"/>
              </w:rPr>
              <w:t>24.391</w:t>
            </w:r>
            <w:r>
              <w:rPr>
                <w:color w:val="auto"/>
                <w:sz w:val="24"/>
              </w:rPr>
              <w:t>秒，</w:t>
            </w:r>
            <w:r>
              <w:rPr>
                <w:rFonts w:hint="eastAsia"/>
                <w:color w:val="auto"/>
                <w:sz w:val="24"/>
              </w:rPr>
              <w:t>纬度</w:t>
            </w:r>
            <w:r>
              <w:rPr>
                <w:color w:val="auto"/>
                <w:sz w:val="24"/>
                <w:u w:val="single"/>
              </w:rPr>
              <w:t>33</w:t>
            </w:r>
            <w:r>
              <w:rPr>
                <w:color w:val="auto"/>
                <w:sz w:val="24"/>
              </w:rPr>
              <w:t>度</w:t>
            </w:r>
            <w:r>
              <w:rPr>
                <w:color w:val="auto"/>
                <w:sz w:val="24"/>
                <w:u w:val="single"/>
              </w:rPr>
              <w:t>36</w:t>
            </w:r>
            <w:r>
              <w:rPr>
                <w:color w:val="auto"/>
                <w:sz w:val="24"/>
              </w:rPr>
              <w:t>分</w:t>
            </w:r>
            <w:r>
              <w:rPr>
                <w:color w:val="auto"/>
                <w:sz w:val="24"/>
                <w:u w:val="single"/>
              </w:rPr>
              <w:t>38.384</w:t>
            </w:r>
            <w:r>
              <w:rPr>
                <w:color w:val="auto"/>
                <w:sz w:val="24"/>
              </w:rPr>
              <w:t>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08" w:type="dxa"/>
            <w:tcMar>
              <w:top w:w="16" w:type="dxa"/>
              <w:left w:w="16" w:type="dxa"/>
              <w:right w:w="16" w:type="dxa"/>
            </w:tcMar>
            <w:vAlign w:val="center"/>
          </w:tcPr>
          <w:p>
            <w:pPr>
              <w:wordWrap w:val="0"/>
              <w:adjustRightInd w:val="0"/>
              <w:snapToGrid w:val="0"/>
              <w:jc w:val="center"/>
              <w:rPr>
                <w:b/>
                <w:bCs/>
                <w:color w:val="auto"/>
                <w:sz w:val="24"/>
              </w:rPr>
            </w:pPr>
            <w:r>
              <w:rPr>
                <w:b/>
                <w:color w:val="auto"/>
                <w:sz w:val="24"/>
              </w:rPr>
              <w:t>国民经济行业类别</w:t>
            </w:r>
          </w:p>
        </w:tc>
        <w:tc>
          <w:tcPr>
            <w:tcW w:w="2041" w:type="dxa"/>
            <w:vAlign w:val="center"/>
          </w:tcPr>
          <w:p>
            <w:pPr>
              <w:wordWrap w:val="0"/>
              <w:adjustRightInd w:val="0"/>
              <w:snapToGrid w:val="0"/>
              <w:spacing w:line="300" w:lineRule="auto"/>
              <w:jc w:val="center"/>
              <w:rPr>
                <w:color w:val="auto"/>
                <w:sz w:val="24"/>
              </w:rPr>
            </w:pPr>
            <w:r>
              <w:rPr>
                <w:color w:val="auto"/>
                <w:sz w:val="24"/>
              </w:rPr>
              <w:t>C3311 金属结构制造</w:t>
            </w:r>
          </w:p>
        </w:tc>
        <w:tc>
          <w:tcPr>
            <w:tcW w:w="2008" w:type="dxa"/>
            <w:vAlign w:val="center"/>
          </w:tcPr>
          <w:p>
            <w:pPr>
              <w:wordWrap w:val="0"/>
              <w:adjustRightInd w:val="0"/>
              <w:snapToGrid w:val="0"/>
              <w:jc w:val="center"/>
              <w:rPr>
                <w:b/>
                <w:color w:val="auto"/>
                <w:sz w:val="24"/>
              </w:rPr>
            </w:pPr>
            <w:r>
              <w:rPr>
                <w:b/>
                <w:color w:val="auto"/>
                <w:sz w:val="24"/>
              </w:rPr>
              <w:t>建设项目</w:t>
            </w:r>
          </w:p>
          <w:p>
            <w:pPr>
              <w:wordWrap w:val="0"/>
              <w:adjustRightInd w:val="0"/>
              <w:snapToGrid w:val="0"/>
              <w:jc w:val="center"/>
              <w:rPr>
                <w:b/>
                <w:bCs/>
                <w:color w:val="auto"/>
                <w:sz w:val="24"/>
              </w:rPr>
            </w:pPr>
            <w:r>
              <w:rPr>
                <w:b/>
                <w:color w:val="auto"/>
                <w:sz w:val="24"/>
              </w:rPr>
              <w:t>行业类别</w:t>
            </w:r>
          </w:p>
        </w:tc>
        <w:tc>
          <w:tcPr>
            <w:tcW w:w="3786" w:type="dxa"/>
            <w:vAlign w:val="center"/>
          </w:tcPr>
          <w:p>
            <w:pPr>
              <w:wordWrap w:val="0"/>
              <w:adjustRightInd w:val="0"/>
              <w:snapToGrid w:val="0"/>
              <w:spacing w:line="300" w:lineRule="auto"/>
              <w:jc w:val="left"/>
              <w:rPr>
                <w:color w:val="auto"/>
                <w:sz w:val="24"/>
              </w:rPr>
            </w:pPr>
            <w:r>
              <w:rPr>
                <w:color w:val="auto"/>
                <w:sz w:val="24"/>
              </w:rPr>
              <w:t>三十、金属制品业</w:t>
            </w:r>
          </w:p>
          <w:p>
            <w:pPr>
              <w:wordWrap w:val="0"/>
              <w:adjustRightInd w:val="0"/>
              <w:snapToGrid w:val="0"/>
              <w:spacing w:line="300" w:lineRule="auto"/>
              <w:jc w:val="left"/>
              <w:rPr>
                <w:color w:val="auto"/>
                <w:sz w:val="24"/>
              </w:rPr>
            </w:pPr>
            <w:r>
              <w:rPr>
                <w:color w:val="auto"/>
                <w:sz w:val="24"/>
              </w:rPr>
              <w:t>33 结构性金属制品制造 331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08" w:type="dxa"/>
            <w:tcMar>
              <w:top w:w="16" w:type="dxa"/>
              <w:left w:w="16" w:type="dxa"/>
              <w:right w:w="16" w:type="dxa"/>
            </w:tcMar>
            <w:vAlign w:val="center"/>
          </w:tcPr>
          <w:p>
            <w:pPr>
              <w:pStyle w:val="27"/>
              <w:wordWrap w:val="0"/>
              <w:rPr>
                <w:color w:val="auto"/>
                <w:sz w:val="24"/>
                <w:szCs w:val="24"/>
              </w:rPr>
            </w:pPr>
            <w:r>
              <w:rPr>
                <w:color w:val="auto"/>
                <w:sz w:val="24"/>
                <w:szCs w:val="24"/>
              </w:rPr>
              <w:t>建设性质</w:t>
            </w:r>
          </w:p>
        </w:tc>
        <w:tc>
          <w:tcPr>
            <w:tcW w:w="2041" w:type="dxa"/>
            <w:vAlign w:val="center"/>
          </w:tcPr>
          <w:p>
            <w:pPr>
              <w:wordWrap w:val="0"/>
              <w:spacing w:line="300" w:lineRule="auto"/>
              <w:jc w:val="left"/>
              <w:rPr>
                <w:color w:val="auto"/>
                <w:sz w:val="24"/>
              </w:rPr>
            </w:pPr>
            <w:r>
              <w:rPr>
                <w:color w:val="auto"/>
                <w:sz w:val="24"/>
              </w:rPr>
              <w:sym w:font="Wingdings 2" w:char="0052"/>
            </w:r>
            <w:r>
              <w:rPr>
                <w:color w:val="auto"/>
                <w:sz w:val="24"/>
              </w:rPr>
              <w:t>新建（迁建）</w:t>
            </w:r>
          </w:p>
          <w:p>
            <w:pPr>
              <w:wordWrap w:val="0"/>
              <w:spacing w:line="300" w:lineRule="auto"/>
              <w:jc w:val="left"/>
              <w:rPr>
                <w:color w:val="auto"/>
                <w:sz w:val="24"/>
              </w:rPr>
            </w:pPr>
            <w:r>
              <w:rPr>
                <w:color w:val="auto"/>
                <w:sz w:val="24"/>
              </w:rPr>
              <w:sym w:font="Wingdings 2" w:char="00A3"/>
            </w:r>
            <w:r>
              <w:rPr>
                <w:color w:val="auto"/>
                <w:sz w:val="24"/>
              </w:rPr>
              <w:t>改建</w:t>
            </w:r>
          </w:p>
          <w:p>
            <w:pPr>
              <w:wordWrap w:val="0"/>
              <w:spacing w:line="300" w:lineRule="auto"/>
              <w:jc w:val="left"/>
              <w:rPr>
                <w:color w:val="auto"/>
                <w:sz w:val="24"/>
              </w:rPr>
            </w:pPr>
            <w:r>
              <w:rPr>
                <w:color w:val="auto"/>
                <w:sz w:val="24"/>
              </w:rPr>
              <w:sym w:font="Wingdings 2" w:char="00A3"/>
            </w:r>
            <w:r>
              <w:rPr>
                <w:color w:val="auto"/>
                <w:sz w:val="24"/>
              </w:rPr>
              <w:t>扩建</w:t>
            </w:r>
          </w:p>
          <w:p>
            <w:pPr>
              <w:wordWrap w:val="0"/>
              <w:spacing w:line="300" w:lineRule="auto"/>
              <w:jc w:val="left"/>
              <w:rPr>
                <w:color w:val="auto"/>
                <w:sz w:val="24"/>
              </w:rPr>
            </w:pPr>
            <w:r>
              <w:rPr>
                <w:color w:val="auto"/>
                <w:sz w:val="24"/>
              </w:rPr>
              <w:sym w:font="Wingdings 2" w:char="00A3"/>
            </w:r>
            <w:r>
              <w:rPr>
                <w:color w:val="auto"/>
                <w:sz w:val="24"/>
              </w:rPr>
              <w:t>技术改造</w:t>
            </w:r>
          </w:p>
        </w:tc>
        <w:tc>
          <w:tcPr>
            <w:tcW w:w="2008" w:type="dxa"/>
            <w:vAlign w:val="center"/>
          </w:tcPr>
          <w:p>
            <w:pPr>
              <w:wordWrap w:val="0"/>
              <w:adjustRightInd w:val="0"/>
              <w:snapToGrid w:val="0"/>
              <w:jc w:val="center"/>
              <w:rPr>
                <w:b/>
                <w:bCs/>
                <w:color w:val="auto"/>
                <w:sz w:val="24"/>
              </w:rPr>
            </w:pPr>
            <w:r>
              <w:rPr>
                <w:b/>
                <w:bCs/>
                <w:color w:val="auto"/>
                <w:sz w:val="24"/>
              </w:rPr>
              <w:t>建设项目</w:t>
            </w:r>
          </w:p>
          <w:p>
            <w:pPr>
              <w:wordWrap w:val="0"/>
              <w:adjustRightInd w:val="0"/>
              <w:snapToGrid w:val="0"/>
              <w:jc w:val="center"/>
              <w:rPr>
                <w:b/>
                <w:bCs/>
                <w:color w:val="auto"/>
                <w:sz w:val="24"/>
              </w:rPr>
            </w:pPr>
            <w:r>
              <w:rPr>
                <w:b/>
                <w:bCs/>
                <w:color w:val="auto"/>
                <w:sz w:val="24"/>
              </w:rPr>
              <w:t>申报情形</w:t>
            </w:r>
          </w:p>
        </w:tc>
        <w:tc>
          <w:tcPr>
            <w:tcW w:w="3786" w:type="dxa"/>
            <w:vAlign w:val="center"/>
          </w:tcPr>
          <w:p>
            <w:pPr>
              <w:wordWrap w:val="0"/>
              <w:spacing w:line="300" w:lineRule="auto"/>
              <w:jc w:val="left"/>
              <w:rPr>
                <w:color w:val="auto"/>
                <w:sz w:val="24"/>
              </w:rPr>
            </w:pPr>
            <w:r>
              <w:rPr>
                <w:color w:val="auto"/>
                <w:sz w:val="24"/>
              </w:rPr>
              <w:sym w:font="Wingdings 2" w:char="0052"/>
            </w:r>
            <w:r>
              <w:rPr>
                <w:color w:val="auto"/>
                <w:sz w:val="24"/>
              </w:rPr>
              <w:t>首次申报项目</w:t>
            </w:r>
          </w:p>
          <w:p>
            <w:pPr>
              <w:wordWrap w:val="0"/>
              <w:spacing w:line="300" w:lineRule="auto"/>
              <w:jc w:val="left"/>
              <w:rPr>
                <w:color w:val="auto"/>
                <w:sz w:val="24"/>
              </w:rPr>
            </w:pPr>
            <w:r>
              <w:rPr>
                <w:color w:val="auto"/>
                <w:sz w:val="24"/>
              </w:rPr>
              <w:t>□不予批准后再次申报项目</w:t>
            </w:r>
          </w:p>
          <w:p>
            <w:pPr>
              <w:wordWrap w:val="0"/>
              <w:spacing w:line="300" w:lineRule="auto"/>
              <w:jc w:val="left"/>
              <w:rPr>
                <w:color w:val="auto"/>
                <w:sz w:val="24"/>
              </w:rPr>
            </w:pPr>
            <w:r>
              <w:rPr>
                <w:color w:val="auto"/>
                <w:sz w:val="24"/>
              </w:rPr>
              <w:t>□超五年重新审核项目</w:t>
            </w:r>
          </w:p>
          <w:p>
            <w:pPr>
              <w:wordWrap w:val="0"/>
              <w:spacing w:line="300" w:lineRule="auto"/>
              <w:jc w:val="left"/>
              <w:rPr>
                <w:color w:val="auto"/>
                <w:sz w:val="24"/>
              </w:rPr>
            </w:pPr>
            <w:r>
              <w:rPr>
                <w:color w:val="auto"/>
                <w:sz w:val="24"/>
              </w:rPr>
              <w:t>□重大变动重新报批项目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08" w:type="dxa"/>
            <w:tcMar>
              <w:top w:w="16" w:type="dxa"/>
              <w:left w:w="16" w:type="dxa"/>
              <w:right w:w="16" w:type="dxa"/>
            </w:tcMar>
            <w:vAlign w:val="center"/>
          </w:tcPr>
          <w:p>
            <w:pPr>
              <w:wordWrap w:val="0"/>
              <w:adjustRightInd w:val="0"/>
              <w:snapToGrid w:val="0"/>
              <w:jc w:val="center"/>
              <w:rPr>
                <w:b/>
                <w:bCs/>
                <w:color w:val="auto"/>
                <w:sz w:val="24"/>
              </w:rPr>
            </w:pPr>
            <w:r>
              <w:rPr>
                <w:b/>
                <w:bCs/>
                <w:color w:val="auto"/>
                <w:sz w:val="24"/>
              </w:rPr>
              <w:t>项目审批（核准/备案）部门（选填）</w:t>
            </w:r>
          </w:p>
        </w:tc>
        <w:tc>
          <w:tcPr>
            <w:tcW w:w="2041" w:type="dxa"/>
            <w:vAlign w:val="center"/>
          </w:tcPr>
          <w:p>
            <w:pPr>
              <w:wordWrap w:val="0"/>
              <w:adjustRightInd w:val="0"/>
              <w:snapToGrid w:val="0"/>
              <w:jc w:val="center"/>
              <w:rPr>
                <w:color w:val="auto"/>
                <w:sz w:val="24"/>
              </w:rPr>
            </w:pPr>
            <w:r>
              <w:rPr>
                <w:color w:val="auto"/>
                <w:sz w:val="24"/>
              </w:rPr>
              <w:t>淮安市淮阴区行政审批局</w:t>
            </w:r>
          </w:p>
        </w:tc>
        <w:tc>
          <w:tcPr>
            <w:tcW w:w="2008" w:type="dxa"/>
            <w:vAlign w:val="center"/>
          </w:tcPr>
          <w:p>
            <w:pPr>
              <w:wordWrap w:val="0"/>
              <w:adjustRightInd w:val="0"/>
              <w:snapToGrid w:val="0"/>
              <w:jc w:val="center"/>
              <w:rPr>
                <w:b/>
                <w:bCs/>
                <w:color w:val="auto"/>
                <w:sz w:val="24"/>
              </w:rPr>
            </w:pPr>
            <w:r>
              <w:rPr>
                <w:b/>
                <w:bCs/>
                <w:color w:val="auto"/>
                <w:sz w:val="24"/>
              </w:rPr>
              <w:t>项目审批（核准/备案）文号（选填）</w:t>
            </w:r>
          </w:p>
        </w:tc>
        <w:tc>
          <w:tcPr>
            <w:tcW w:w="3786" w:type="dxa"/>
            <w:vAlign w:val="center"/>
          </w:tcPr>
          <w:p>
            <w:pPr>
              <w:wordWrap w:val="0"/>
              <w:adjustRightInd w:val="0"/>
              <w:snapToGrid w:val="0"/>
              <w:jc w:val="center"/>
              <w:rPr>
                <w:color w:val="auto"/>
                <w:sz w:val="24"/>
              </w:rPr>
            </w:pPr>
            <w:r>
              <w:rPr>
                <w:color w:val="auto"/>
                <w:sz w:val="24"/>
              </w:rPr>
              <w:t>淮阴区号审批投资备〔2024〕335号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08" w:type="dxa"/>
            <w:tcMar>
              <w:top w:w="16" w:type="dxa"/>
              <w:left w:w="16" w:type="dxa"/>
              <w:right w:w="16" w:type="dxa"/>
            </w:tcMar>
            <w:vAlign w:val="center"/>
          </w:tcPr>
          <w:p>
            <w:pPr>
              <w:wordWrap w:val="0"/>
              <w:adjustRightInd w:val="0"/>
              <w:snapToGrid w:val="0"/>
              <w:jc w:val="center"/>
              <w:rPr>
                <w:b/>
                <w:bCs/>
                <w:color w:val="auto"/>
                <w:sz w:val="24"/>
              </w:rPr>
            </w:pPr>
            <w:r>
              <w:rPr>
                <w:b/>
                <w:bCs/>
                <w:color w:val="auto"/>
                <w:sz w:val="24"/>
              </w:rPr>
              <w:t>总投资</w:t>
            </w:r>
          </w:p>
          <w:p>
            <w:pPr>
              <w:wordWrap w:val="0"/>
              <w:adjustRightInd w:val="0"/>
              <w:snapToGrid w:val="0"/>
              <w:jc w:val="center"/>
              <w:rPr>
                <w:b/>
                <w:bCs/>
                <w:color w:val="auto"/>
                <w:sz w:val="24"/>
              </w:rPr>
            </w:pPr>
            <w:r>
              <w:rPr>
                <w:b/>
                <w:bCs/>
                <w:color w:val="auto"/>
                <w:sz w:val="24"/>
              </w:rPr>
              <w:t>（万元）</w:t>
            </w:r>
          </w:p>
        </w:tc>
        <w:tc>
          <w:tcPr>
            <w:tcW w:w="2041" w:type="dxa"/>
            <w:vAlign w:val="center"/>
          </w:tcPr>
          <w:p>
            <w:pPr>
              <w:wordWrap w:val="0"/>
              <w:adjustRightInd w:val="0"/>
              <w:snapToGrid w:val="0"/>
              <w:jc w:val="center"/>
              <w:rPr>
                <w:color w:val="auto"/>
                <w:sz w:val="24"/>
              </w:rPr>
            </w:pPr>
            <w:r>
              <w:rPr>
                <w:color w:val="auto"/>
                <w:sz w:val="24"/>
              </w:rPr>
              <w:t>11000</w:t>
            </w:r>
          </w:p>
        </w:tc>
        <w:tc>
          <w:tcPr>
            <w:tcW w:w="2008" w:type="dxa"/>
            <w:tcMar>
              <w:top w:w="16" w:type="dxa"/>
              <w:left w:w="16" w:type="dxa"/>
              <w:right w:w="16" w:type="dxa"/>
            </w:tcMar>
            <w:vAlign w:val="center"/>
          </w:tcPr>
          <w:p>
            <w:pPr>
              <w:wordWrap w:val="0"/>
              <w:adjustRightInd w:val="0"/>
              <w:snapToGrid w:val="0"/>
              <w:jc w:val="center"/>
              <w:rPr>
                <w:b/>
                <w:bCs/>
                <w:color w:val="auto"/>
                <w:sz w:val="24"/>
              </w:rPr>
            </w:pPr>
            <w:r>
              <w:rPr>
                <w:b/>
                <w:bCs/>
                <w:color w:val="auto"/>
                <w:sz w:val="24"/>
              </w:rPr>
              <w:t>环保投资（万元）</w:t>
            </w:r>
          </w:p>
        </w:tc>
        <w:tc>
          <w:tcPr>
            <w:tcW w:w="3786" w:type="dxa"/>
            <w:vAlign w:val="center"/>
          </w:tcPr>
          <w:p>
            <w:pPr>
              <w:wordWrap w:val="0"/>
              <w:adjustRightInd w:val="0"/>
              <w:snapToGrid w:val="0"/>
              <w:jc w:val="center"/>
              <w:rPr>
                <w:color w:val="auto"/>
                <w:sz w:val="24"/>
              </w:rPr>
            </w:pPr>
            <w:r>
              <w:rPr>
                <w:color w:val="auto"/>
                <w:sz w:val="24"/>
              </w:rPr>
              <w:t>33</w:t>
            </w:r>
            <w:r>
              <w:rPr>
                <w:rFonts w:hint="eastAsia"/>
                <w:color w:val="auto"/>
                <w:sz w:val="24"/>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08" w:type="dxa"/>
            <w:tcMar>
              <w:top w:w="16" w:type="dxa"/>
              <w:left w:w="16" w:type="dxa"/>
              <w:right w:w="16" w:type="dxa"/>
            </w:tcMar>
            <w:vAlign w:val="center"/>
          </w:tcPr>
          <w:p>
            <w:pPr>
              <w:wordWrap w:val="0"/>
              <w:adjustRightInd w:val="0"/>
              <w:snapToGrid w:val="0"/>
              <w:jc w:val="center"/>
              <w:rPr>
                <w:b/>
                <w:bCs/>
                <w:color w:val="auto"/>
                <w:sz w:val="24"/>
              </w:rPr>
            </w:pPr>
            <w:r>
              <w:rPr>
                <w:b/>
                <w:bCs/>
                <w:color w:val="auto"/>
                <w:sz w:val="24"/>
              </w:rPr>
              <w:t>环保投资占比（%）</w:t>
            </w:r>
          </w:p>
        </w:tc>
        <w:tc>
          <w:tcPr>
            <w:tcW w:w="2041" w:type="dxa"/>
            <w:vAlign w:val="center"/>
          </w:tcPr>
          <w:p>
            <w:pPr>
              <w:wordWrap w:val="0"/>
              <w:adjustRightInd w:val="0"/>
              <w:snapToGrid w:val="0"/>
              <w:jc w:val="center"/>
              <w:rPr>
                <w:color w:val="auto"/>
                <w:sz w:val="24"/>
              </w:rPr>
            </w:pPr>
            <w:r>
              <w:rPr>
                <w:rFonts w:hint="eastAsia"/>
                <w:color w:val="auto"/>
                <w:sz w:val="24"/>
              </w:rPr>
              <w:t>3</w:t>
            </w:r>
            <w:r>
              <w:rPr>
                <w:color w:val="auto"/>
                <w:sz w:val="24"/>
              </w:rPr>
              <w:t>%</w:t>
            </w:r>
          </w:p>
        </w:tc>
        <w:tc>
          <w:tcPr>
            <w:tcW w:w="2008" w:type="dxa"/>
            <w:tcMar>
              <w:top w:w="16" w:type="dxa"/>
              <w:left w:w="16" w:type="dxa"/>
              <w:right w:w="16" w:type="dxa"/>
            </w:tcMar>
            <w:vAlign w:val="center"/>
          </w:tcPr>
          <w:p>
            <w:pPr>
              <w:wordWrap w:val="0"/>
              <w:adjustRightInd w:val="0"/>
              <w:snapToGrid w:val="0"/>
              <w:jc w:val="center"/>
              <w:rPr>
                <w:b/>
                <w:bCs/>
                <w:color w:val="auto"/>
                <w:sz w:val="24"/>
              </w:rPr>
            </w:pPr>
            <w:r>
              <w:rPr>
                <w:b/>
                <w:bCs/>
                <w:color w:val="auto"/>
                <w:sz w:val="24"/>
              </w:rPr>
              <w:t>施工工期</w:t>
            </w:r>
          </w:p>
        </w:tc>
        <w:tc>
          <w:tcPr>
            <w:tcW w:w="3786" w:type="dxa"/>
            <w:vAlign w:val="center"/>
          </w:tcPr>
          <w:p>
            <w:pPr>
              <w:wordWrap w:val="0"/>
              <w:adjustRightInd w:val="0"/>
              <w:snapToGrid w:val="0"/>
              <w:jc w:val="center"/>
              <w:rPr>
                <w:color w:val="auto"/>
                <w:sz w:val="24"/>
              </w:rPr>
            </w:pPr>
            <w:r>
              <w:rPr>
                <w:color w:val="auto"/>
                <w:sz w:val="24"/>
              </w:rPr>
              <w:t>12个月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08" w:type="dxa"/>
            <w:tcMar>
              <w:top w:w="16" w:type="dxa"/>
              <w:left w:w="16" w:type="dxa"/>
              <w:right w:w="16" w:type="dxa"/>
            </w:tcMar>
            <w:vAlign w:val="center"/>
          </w:tcPr>
          <w:p>
            <w:pPr>
              <w:wordWrap w:val="0"/>
              <w:adjustRightInd w:val="0"/>
              <w:snapToGrid w:val="0"/>
              <w:jc w:val="center"/>
              <w:rPr>
                <w:b/>
                <w:bCs/>
                <w:color w:val="auto"/>
                <w:sz w:val="24"/>
              </w:rPr>
            </w:pPr>
            <w:r>
              <w:rPr>
                <w:b/>
                <w:bCs/>
                <w:color w:val="auto"/>
                <w:sz w:val="24"/>
              </w:rPr>
              <w:t>是否开工建设</w:t>
            </w:r>
          </w:p>
        </w:tc>
        <w:tc>
          <w:tcPr>
            <w:tcW w:w="2041" w:type="dxa"/>
            <w:vAlign w:val="center"/>
          </w:tcPr>
          <w:p>
            <w:pPr>
              <w:wordWrap w:val="0"/>
              <w:adjustRightInd w:val="0"/>
              <w:snapToGrid w:val="0"/>
              <w:rPr>
                <w:color w:val="auto"/>
                <w:sz w:val="24"/>
              </w:rPr>
            </w:pPr>
            <w:r>
              <w:rPr>
                <w:color w:val="auto"/>
                <w:sz w:val="24"/>
              </w:rPr>
              <w:sym w:font="Wingdings 2" w:char="0052"/>
            </w:r>
            <w:r>
              <w:rPr>
                <w:color w:val="auto"/>
                <w:sz w:val="24"/>
              </w:rPr>
              <w:t>否</w:t>
            </w:r>
          </w:p>
          <w:p>
            <w:pPr>
              <w:wordWrap w:val="0"/>
              <w:adjustRightInd w:val="0"/>
              <w:snapToGrid w:val="0"/>
              <w:rPr>
                <w:color w:val="auto"/>
                <w:sz w:val="24"/>
              </w:rPr>
            </w:pPr>
            <w:r>
              <w:rPr>
                <w:color w:val="auto"/>
                <w:sz w:val="24"/>
              </w:rPr>
              <w:sym w:font="Wingdings 2" w:char="00A3"/>
            </w:r>
            <w:r>
              <w:rPr>
                <w:color w:val="auto"/>
                <w:sz w:val="24"/>
              </w:rPr>
              <w:t>是</w:t>
            </w:r>
          </w:p>
        </w:tc>
        <w:tc>
          <w:tcPr>
            <w:tcW w:w="2008" w:type="dxa"/>
            <w:tcMar>
              <w:top w:w="16" w:type="dxa"/>
              <w:left w:w="16" w:type="dxa"/>
              <w:right w:w="16" w:type="dxa"/>
            </w:tcMar>
            <w:vAlign w:val="center"/>
          </w:tcPr>
          <w:p>
            <w:pPr>
              <w:wordWrap w:val="0"/>
              <w:adjustRightInd w:val="0"/>
              <w:snapToGrid w:val="0"/>
              <w:jc w:val="center"/>
              <w:rPr>
                <w:b/>
                <w:bCs/>
                <w:color w:val="auto"/>
                <w:spacing w:val="-6"/>
                <w:sz w:val="24"/>
              </w:rPr>
            </w:pPr>
            <w:r>
              <w:rPr>
                <w:b/>
                <w:bCs/>
                <w:color w:val="auto"/>
                <w:spacing w:val="-6"/>
                <w:sz w:val="24"/>
              </w:rPr>
              <w:t>用地（用海）</w:t>
            </w:r>
          </w:p>
          <w:p>
            <w:pPr>
              <w:wordWrap w:val="0"/>
              <w:adjustRightInd w:val="0"/>
              <w:snapToGrid w:val="0"/>
              <w:jc w:val="center"/>
              <w:rPr>
                <w:b/>
                <w:bCs/>
                <w:color w:val="auto"/>
                <w:sz w:val="24"/>
              </w:rPr>
            </w:pPr>
            <w:r>
              <w:rPr>
                <w:b/>
                <w:bCs/>
                <w:color w:val="auto"/>
                <w:spacing w:val="-6"/>
                <w:sz w:val="24"/>
              </w:rPr>
              <w:t>面积（m</w:t>
            </w:r>
            <w:r>
              <w:rPr>
                <w:b/>
                <w:bCs/>
                <w:color w:val="auto"/>
                <w:spacing w:val="-6"/>
                <w:sz w:val="24"/>
                <w:vertAlign w:val="superscript"/>
              </w:rPr>
              <w:t>2</w:t>
            </w:r>
            <w:r>
              <w:rPr>
                <w:b/>
                <w:bCs/>
                <w:color w:val="auto"/>
                <w:spacing w:val="-6"/>
                <w:sz w:val="24"/>
              </w:rPr>
              <w:t>）</w:t>
            </w:r>
          </w:p>
        </w:tc>
        <w:tc>
          <w:tcPr>
            <w:tcW w:w="3786" w:type="dxa"/>
            <w:vAlign w:val="center"/>
          </w:tcPr>
          <w:p>
            <w:pPr>
              <w:wordWrap w:val="0"/>
              <w:adjustRightInd w:val="0"/>
              <w:snapToGrid w:val="0"/>
              <w:jc w:val="center"/>
              <w:rPr>
                <w:color w:val="auto"/>
                <w:sz w:val="24"/>
              </w:rPr>
            </w:pPr>
            <w:r>
              <w:rPr>
                <w:color w:val="auto"/>
                <w:sz w:val="24"/>
              </w:rPr>
              <w:t>26667（40亩）</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08" w:type="dxa"/>
            <w:vAlign w:val="center"/>
          </w:tcPr>
          <w:p>
            <w:pPr>
              <w:wordWrap w:val="0"/>
              <w:autoSpaceDE w:val="0"/>
              <w:autoSpaceDN w:val="0"/>
              <w:adjustRightInd w:val="0"/>
              <w:snapToGrid w:val="0"/>
              <w:jc w:val="center"/>
              <w:rPr>
                <w:b/>
                <w:bCs/>
                <w:color w:val="auto"/>
                <w:kern w:val="0"/>
                <w:sz w:val="24"/>
              </w:rPr>
            </w:pPr>
            <w:r>
              <w:rPr>
                <w:b/>
                <w:bCs/>
                <w:color w:val="auto"/>
                <w:kern w:val="0"/>
                <w:sz w:val="24"/>
              </w:rPr>
              <w:t>专项评价设置情况</w:t>
            </w:r>
          </w:p>
        </w:tc>
        <w:tc>
          <w:tcPr>
            <w:tcW w:w="7835" w:type="dxa"/>
            <w:gridSpan w:val="3"/>
            <w:vAlign w:val="center"/>
          </w:tcPr>
          <w:p>
            <w:pPr>
              <w:wordWrap w:val="0"/>
              <w:autoSpaceDE w:val="0"/>
              <w:autoSpaceDN w:val="0"/>
              <w:adjustRightInd w:val="0"/>
              <w:snapToGrid w:val="0"/>
              <w:jc w:val="center"/>
              <w:rPr>
                <w:color w:val="auto"/>
                <w:kern w:val="0"/>
                <w:sz w:val="24"/>
              </w:rPr>
            </w:pPr>
            <w:r>
              <w:rPr>
                <w:color w:val="auto"/>
                <w:kern w:val="0"/>
                <w:sz w:val="24"/>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08" w:type="dxa"/>
            <w:vAlign w:val="center"/>
          </w:tcPr>
          <w:p>
            <w:pPr>
              <w:wordWrap w:val="0"/>
              <w:autoSpaceDE w:val="0"/>
              <w:autoSpaceDN w:val="0"/>
              <w:adjustRightInd w:val="0"/>
              <w:snapToGrid w:val="0"/>
              <w:jc w:val="center"/>
              <w:rPr>
                <w:b/>
                <w:bCs/>
                <w:color w:val="auto"/>
                <w:kern w:val="0"/>
                <w:sz w:val="24"/>
              </w:rPr>
            </w:pPr>
            <w:r>
              <w:rPr>
                <w:b/>
                <w:bCs/>
                <w:color w:val="auto"/>
                <w:sz w:val="24"/>
              </w:rPr>
              <w:t>规划情况</w:t>
            </w:r>
          </w:p>
        </w:tc>
        <w:tc>
          <w:tcPr>
            <w:tcW w:w="7835" w:type="dxa"/>
            <w:gridSpan w:val="3"/>
            <w:vAlign w:val="center"/>
          </w:tcPr>
          <w:p>
            <w:pPr>
              <w:autoSpaceDE w:val="0"/>
              <w:autoSpaceDN w:val="0"/>
              <w:adjustRightInd w:val="0"/>
              <w:snapToGrid w:val="0"/>
              <w:spacing w:line="360" w:lineRule="auto"/>
              <w:rPr>
                <w:rFonts w:hint="eastAsia"/>
                <w:color w:val="auto"/>
                <w:kern w:val="0"/>
                <w:sz w:val="24"/>
              </w:rPr>
            </w:pPr>
            <w:r>
              <w:rPr>
                <w:rFonts w:hint="eastAsia"/>
                <w:color w:val="auto"/>
                <w:kern w:val="0"/>
                <w:sz w:val="24"/>
              </w:rPr>
              <w:t>规划文件名称：《淮安市淮阴区古清口单元集镇街区详细规划》</w:t>
            </w:r>
          </w:p>
          <w:p>
            <w:pPr>
              <w:autoSpaceDE w:val="0"/>
              <w:autoSpaceDN w:val="0"/>
              <w:adjustRightInd w:val="0"/>
              <w:snapToGrid w:val="0"/>
              <w:spacing w:line="360" w:lineRule="auto"/>
              <w:rPr>
                <w:color w:val="auto"/>
              </w:rPr>
            </w:pPr>
            <w:r>
              <w:rPr>
                <w:rFonts w:hint="eastAsia"/>
                <w:color w:val="auto"/>
                <w:kern w:val="0"/>
                <w:sz w:val="24"/>
              </w:rPr>
              <w:t>批准机关及文号：淮安市政府（淮政复[</w:t>
            </w:r>
            <w:r>
              <w:rPr>
                <w:rFonts w:hint="eastAsia"/>
                <w:color w:val="auto"/>
                <w:kern w:val="0"/>
                <w:sz w:val="24"/>
                <w:lang w:val="en-US" w:eastAsia="zh-CN"/>
              </w:rPr>
              <w:t>2024</w:t>
            </w:r>
            <w:r>
              <w:rPr>
                <w:rFonts w:hint="eastAsia"/>
                <w:color w:val="auto"/>
                <w:kern w:val="0"/>
                <w:sz w:val="24"/>
              </w:rPr>
              <w:t>]</w:t>
            </w:r>
            <w:r>
              <w:rPr>
                <w:rFonts w:hint="eastAsia"/>
                <w:color w:val="auto"/>
                <w:kern w:val="0"/>
                <w:sz w:val="24"/>
                <w:lang w:val="en-US" w:eastAsia="zh-CN"/>
              </w:rPr>
              <w:t>102</w:t>
            </w:r>
            <w:r>
              <w:rPr>
                <w:rFonts w:hint="eastAsia"/>
                <w:color w:val="auto"/>
                <w:kern w:val="0"/>
                <w:sz w:val="24"/>
              </w:rPr>
              <w:t>号文）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8" w:hRule="atLeast"/>
          <w:jc w:val="center"/>
        </w:trPr>
        <w:tc>
          <w:tcPr>
            <w:tcW w:w="1408" w:type="dxa"/>
            <w:vAlign w:val="center"/>
          </w:tcPr>
          <w:p>
            <w:pPr>
              <w:wordWrap w:val="0"/>
              <w:adjustRightInd w:val="0"/>
              <w:snapToGrid w:val="0"/>
              <w:jc w:val="center"/>
              <w:rPr>
                <w:b/>
                <w:bCs/>
                <w:color w:val="auto"/>
                <w:kern w:val="0"/>
                <w:sz w:val="24"/>
              </w:rPr>
            </w:pPr>
            <w:r>
              <w:rPr>
                <w:b/>
                <w:bCs/>
                <w:color w:val="auto"/>
                <w:sz w:val="24"/>
              </w:rPr>
              <w:t>规划环境影响评价情况</w:t>
            </w:r>
          </w:p>
        </w:tc>
        <w:tc>
          <w:tcPr>
            <w:tcW w:w="7835" w:type="dxa"/>
            <w:gridSpan w:val="3"/>
            <w:vAlign w:val="center"/>
          </w:tcPr>
          <w:p>
            <w:pPr>
              <w:autoSpaceDE w:val="0"/>
              <w:autoSpaceDN w:val="0"/>
              <w:adjustRightInd w:val="0"/>
              <w:snapToGrid w:val="0"/>
              <w:spacing w:line="360" w:lineRule="auto"/>
              <w:jc w:val="center"/>
              <w:rPr>
                <w:color w:val="auto"/>
                <w:kern w:val="0"/>
                <w:sz w:val="24"/>
              </w:rPr>
            </w:pPr>
            <w:r>
              <w:rPr>
                <w:color w:val="auto"/>
                <w:kern w:val="0"/>
                <w:sz w:val="24"/>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37" w:hRule="atLeast"/>
          <w:jc w:val="center"/>
        </w:trPr>
        <w:tc>
          <w:tcPr>
            <w:tcW w:w="1408" w:type="dxa"/>
            <w:vAlign w:val="center"/>
          </w:tcPr>
          <w:p>
            <w:pPr>
              <w:wordWrap w:val="0"/>
              <w:autoSpaceDE w:val="0"/>
              <w:autoSpaceDN w:val="0"/>
              <w:adjustRightInd w:val="0"/>
              <w:snapToGrid w:val="0"/>
              <w:jc w:val="center"/>
              <w:rPr>
                <w:color w:val="auto"/>
                <w:kern w:val="0"/>
                <w:szCs w:val="21"/>
              </w:rPr>
            </w:pPr>
            <w:r>
              <w:rPr>
                <w:b/>
                <w:bCs/>
                <w:color w:val="auto"/>
                <w:kern w:val="0"/>
                <w:sz w:val="24"/>
              </w:rPr>
              <w:t>规划及规划环境影响评价符合性分析</w:t>
            </w:r>
          </w:p>
        </w:tc>
        <w:tc>
          <w:tcPr>
            <w:tcW w:w="7835" w:type="dxa"/>
            <w:gridSpan w:val="3"/>
            <w:vAlign w:val="center"/>
          </w:tcPr>
          <w:p>
            <w:pPr>
              <w:autoSpaceDE w:val="0"/>
              <w:autoSpaceDN w:val="0"/>
              <w:adjustRightInd w:val="0"/>
              <w:snapToGrid w:val="0"/>
              <w:spacing w:before="120" w:beforeLines="50" w:line="360" w:lineRule="auto"/>
              <w:ind w:firstLine="482" w:firstLineChars="200"/>
              <w:rPr>
                <w:rFonts w:hint="eastAsia"/>
                <w:b/>
                <w:bCs/>
                <w:color w:val="auto"/>
                <w:kern w:val="0"/>
                <w:sz w:val="24"/>
                <w:lang w:val="en-US" w:eastAsia="zh-CN"/>
              </w:rPr>
            </w:pPr>
            <w:r>
              <w:rPr>
                <w:rFonts w:hint="eastAsia"/>
                <w:b/>
                <w:bCs/>
                <w:color w:val="auto"/>
                <w:kern w:val="0"/>
                <w:sz w:val="24"/>
                <w:lang w:val="en-US" w:eastAsia="zh-CN"/>
              </w:rPr>
              <w:t>1.建设项目与</w:t>
            </w:r>
            <w:r>
              <w:rPr>
                <w:rFonts w:hint="eastAsia"/>
                <w:b/>
                <w:bCs/>
                <w:color w:val="auto"/>
                <w:kern w:val="0"/>
                <w:sz w:val="24"/>
              </w:rPr>
              <w:t>《淮安市淮阴区古清口单元集镇街区详细规划》</w:t>
            </w:r>
            <w:r>
              <w:rPr>
                <w:rFonts w:hint="eastAsia"/>
                <w:b/>
                <w:bCs/>
                <w:color w:val="auto"/>
                <w:kern w:val="0"/>
                <w:sz w:val="24"/>
                <w:lang w:val="en-US" w:eastAsia="zh-CN"/>
              </w:rPr>
              <w:t>相符性分析</w:t>
            </w:r>
          </w:p>
          <w:p>
            <w:pPr>
              <w:autoSpaceDE w:val="0"/>
              <w:autoSpaceDN w:val="0"/>
              <w:adjustRightInd w:val="0"/>
              <w:snapToGrid w:val="0"/>
              <w:spacing w:line="360" w:lineRule="auto"/>
              <w:ind w:firstLine="480" w:firstLineChars="200"/>
              <w:jc w:val="left"/>
              <w:rPr>
                <w:rFonts w:hAnsi="宋体"/>
                <w:bCs/>
                <w:color w:val="auto"/>
                <w:kern w:val="0"/>
                <w:sz w:val="24"/>
              </w:rPr>
            </w:pPr>
            <w:r>
              <w:rPr>
                <w:rFonts w:hint="eastAsia" w:hAnsi="宋体"/>
                <w:bCs/>
                <w:color w:val="auto"/>
                <w:kern w:val="0"/>
                <w:sz w:val="24"/>
              </w:rPr>
              <w:t>《淮安市淮阴区古清口单元集镇街区详细规划》</w:t>
            </w:r>
            <w:r>
              <w:rPr>
                <w:rFonts w:hAnsi="宋体"/>
                <w:bCs/>
                <w:color w:val="auto"/>
                <w:kern w:val="0"/>
                <w:sz w:val="24"/>
              </w:rPr>
              <w:t>中相关内容如下：</w:t>
            </w:r>
          </w:p>
          <w:p>
            <w:pPr>
              <w:autoSpaceDE w:val="0"/>
              <w:autoSpaceDN w:val="0"/>
              <w:adjustRightInd w:val="0"/>
              <w:snapToGrid w:val="0"/>
              <w:spacing w:line="360" w:lineRule="auto"/>
              <w:ind w:firstLine="480" w:firstLineChars="200"/>
              <w:jc w:val="left"/>
              <w:rPr>
                <w:rFonts w:hint="eastAsia" w:hAnsi="宋体" w:eastAsia="宋体"/>
                <w:bCs/>
                <w:color w:val="auto"/>
                <w:kern w:val="0"/>
                <w:sz w:val="24"/>
                <w:lang w:eastAsia="zh-CN"/>
              </w:rPr>
            </w:pPr>
            <w:r>
              <w:rPr>
                <w:rFonts w:hint="eastAsia" w:hAnsi="宋体"/>
                <w:bCs/>
                <w:color w:val="auto"/>
                <w:kern w:val="0"/>
                <w:sz w:val="24"/>
              </w:rPr>
              <w:t>第一节功能定位</w:t>
            </w:r>
            <w:r>
              <w:rPr>
                <w:rFonts w:hint="eastAsia" w:hAnsi="宋体"/>
                <w:bCs/>
                <w:color w:val="auto"/>
                <w:kern w:val="0"/>
                <w:sz w:val="24"/>
                <w:lang w:eastAsia="zh-CN"/>
              </w:rPr>
              <w:t>：</w:t>
            </w:r>
          </w:p>
          <w:p>
            <w:pPr>
              <w:autoSpaceDE w:val="0"/>
              <w:autoSpaceDN w:val="0"/>
              <w:adjustRightInd w:val="0"/>
              <w:snapToGrid w:val="0"/>
              <w:spacing w:line="360" w:lineRule="auto"/>
              <w:ind w:firstLine="480" w:firstLineChars="200"/>
              <w:jc w:val="left"/>
              <w:rPr>
                <w:rFonts w:hint="eastAsia" w:hAnsi="宋体"/>
                <w:bCs/>
                <w:color w:val="auto"/>
                <w:kern w:val="0"/>
                <w:sz w:val="24"/>
              </w:rPr>
            </w:pPr>
            <w:r>
              <w:rPr>
                <w:rFonts w:hint="eastAsia" w:hAnsi="宋体"/>
                <w:bCs/>
                <w:color w:val="auto"/>
                <w:kern w:val="0"/>
                <w:sz w:val="24"/>
              </w:rPr>
              <w:t>以居住功能为主，公共服务完善，生活配套健全、生态环境优越、城镇风貌和谐统一的城郊生态宜居社区。</w:t>
            </w:r>
          </w:p>
          <w:p>
            <w:pPr>
              <w:autoSpaceDE w:val="0"/>
              <w:autoSpaceDN w:val="0"/>
              <w:adjustRightInd w:val="0"/>
              <w:snapToGrid w:val="0"/>
              <w:spacing w:line="360" w:lineRule="auto"/>
              <w:ind w:firstLine="480" w:firstLineChars="200"/>
              <w:jc w:val="left"/>
              <w:rPr>
                <w:rFonts w:hint="eastAsia" w:hAnsi="宋体" w:eastAsia="宋体"/>
                <w:bCs/>
                <w:color w:val="auto"/>
                <w:kern w:val="0"/>
                <w:sz w:val="24"/>
                <w:lang w:eastAsia="zh-CN"/>
              </w:rPr>
            </w:pPr>
            <w:r>
              <w:rPr>
                <w:rFonts w:hint="eastAsia" w:hAnsi="宋体"/>
                <w:bCs/>
                <w:color w:val="auto"/>
                <w:kern w:val="0"/>
                <w:sz w:val="24"/>
              </w:rPr>
              <w:t>第二节规划策略</w:t>
            </w:r>
            <w:r>
              <w:rPr>
                <w:rFonts w:hint="eastAsia" w:hAnsi="宋体"/>
                <w:bCs/>
                <w:color w:val="auto"/>
                <w:kern w:val="0"/>
                <w:sz w:val="24"/>
                <w:lang w:eastAsia="zh-CN"/>
              </w:rPr>
              <w:t>：</w:t>
            </w:r>
          </w:p>
          <w:p>
            <w:pPr>
              <w:autoSpaceDE w:val="0"/>
              <w:autoSpaceDN w:val="0"/>
              <w:adjustRightInd w:val="0"/>
              <w:snapToGrid w:val="0"/>
              <w:spacing w:line="360" w:lineRule="auto"/>
              <w:ind w:firstLine="480" w:firstLineChars="200"/>
              <w:jc w:val="left"/>
              <w:rPr>
                <w:rFonts w:hint="eastAsia" w:hAnsi="宋体"/>
                <w:bCs/>
                <w:color w:val="auto"/>
                <w:kern w:val="0"/>
                <w:sz w:val="24"/>
              </w:rPr>
            </w:pPr>
            <w:r>
              <w:rPr>
                <w:rFonts w:hint="eastAsia" w:hAnsi="宋体"/>
                <w:bCs/>
                <w:color w:val="auto"/>
                <w:kern w:val="0"/>
                <w:sz w:val="24"/>
              </w:rPr>
              <w:t>以产业发展为动力——引导散点工业向园区集中，推进产业规模化、集群化发展：以城镇空问为载体——通过集镇提升，明晰空间发展结构，合理划分功能分区：以人居生活为核心——加快公服设施、基础设施、绿地系统建设。</w:t>
            </w:r>
          </w:p>
          <w:p>
            <w:pPr>
              <w:autoSpaceDE w:val="0"/>
              <w:autoSpaceDN w:val="0"/>
              <w:spacing w:line="360" w:lineRule="auto"/>
              <w:ind w:firstLine="480" w:firstLineChars="200"/>
              <w:rPr>
                <w:rFonts w:hint="eastAsia"/>
                <w:color w:val="auto"/>
                <w:lang w:eastAsia="zh-CN"/>
              </w:rPr>
            </w:pPr>
            <w:r>
              <w:rPr>
                <w:rFonts w:hAnsi="宋体"/>
                <w:bCs/>
                <w:color w:val="auto"/>
                <w:kern w:val="0"/>
                <w:sz w:val="24"/>
              </w:rPr>
              <w:t>本项目位于</w:t>
            </w:r>
            <w:r>
              <w:rPr>
                <w:color w:val="auto"/>
                <w:sz w:val="24"/>
              </w:rPr>
              <w:t>江苏省淮安市淮阴区古清口街道农科村淮三路168号</w:t>
            </w:r>
            <w:r>
              <w:rPr>
                <w:rFonts w:hAnsi="宋体"/>
                <w:bCs/>
                <w:color w:val="auto"/>
                <w:kern w:val="0"/>
                <w:sz w:val="24"/>
              </w:rPr>
              <w:t>，该地块用地规划为工业用地，且区域地理位置优越，交通便利，</w:t>
            </w:r>
            <w:r>
              <w:rPr>
                <w:rFonts w:hint="eastAsia" w:hAnsi="宋体"/>
                <w:bCs/>
                <w:color w:val="auto"/>
                <w:kern w:val="0"/>
                <w:sz w:val="24"/>
                <w:lang w:eastAsia="zh-CN"/>
              </w:rPr>
              <w:t>该片区</w:t>
            </w:r>
            <w:r>
              <w:rPr>
                <w:rFonts w:hAnsi="宋体"/>
                <w:bCs/>
                <w:color w:val="auto"/>
                <w:kern w:val="0"/>
                <w:sz w:val="24"/>
              </w:rPr>
              <w:t>内现已完成道路、电力、供水等基础设施建设，具有良好的投资和发展前景。</w:t>
            </w:r>
            <w:r>
              <w:rPr>
                <w:rFonts w:hint="eastAsia" w:hAnsi="宋体"/>
                <w:bCs/>
                <w:color w:val="auto"/>
                <w:kern w:val="0"/>
                <w:sz w:val="24"/>
              </w:rPr>
              <w:t>本项目为</w:t>
            </w:r>
            <w:r>
              <w:rPr>
                <w:color w:val="auto"/>
                <w:sz w:val="24"/>
              </w:rPr>
              <w:t>C3311 金属结构制造</w:t>
            </w:r>
            <w:r>
              <w:rPr>
                <w:rFonts w:hint="eastAsia"/>
                <w:color w:val="auto"/>
                <w:sz w:val="24"/>
              </w:rPr>
              <w:t>，不属于禁止引入和限制引入的产业，属于允许引入类产业</w:t>
            </w:r>
            <w:r>
              <w:rPr>
                <w:color w:val="auto"/>
                <w:sz w:val="24"/>
              </w:rPr>
              <w:t>。</w:t>
            </w:r>
            <w:r>
              <w:rPr>
                <w:rFonts w:hAnsi="宋体"/>
                <w:bCs/>
                <w:color w:val="auto"/>
                <w:kern w:val="0"/>
                <w:sz w:val="24"/>
              </w:rPr>
              <w:t>符合《</w:t>
            </w:r>
            <w:r>
              <w:rPr>
                <w:rFonts w:hint="eastAsia" w:hAnsi="宋体"/>
                <w:bCs/>
                <w:color w:val="auto"/>
                <w:kern w:val="0"/>
                <w:sz w:val="24"/>
              </w:rPr>
              <w:t>淮安市淮阴区古清口单元集镇街区详细规划</w:t>
            </w:r>
            <w:r>
              <w:rPr>
                <w:rFonts w:hAnsi="宋体"/>
                <w:bCs/>
                <w:color w:val="auto"/>
                <w:kern w:val="0"/>
                <w:sz w:val="24"/>
              </w:rPr>
              <w:t>》</w:t>
            </w:r>
            <w:r>
              <w:rPr>
                <w:rFonts w:hint="eastAsia" w:hAnsi="宋体"/>
                <w:bCs/>
                <w:color w:val="auto"/>
                <w:kern w:val="0"/>
                <w:sz w:val="24"/>
                <w:lang w:eastAsia="zh-CN"/>
              </w:rPr>
              <w:t>中</w:t>
            </w:r>
            <w:r>
              <w:rPr>
                <w:rFonts w:hAnsi="宋体"/>
                <w:bCs/>
                <w:color w:val="auto"/>
                <w:kern w:val="0"/>
                <w:sz w:val="24"/>
              </w:rPr>
              <w:t>的</w:t>
            </w:r>
            <w:r>
              <w:rPr>
                <w:rFonts w:hint="eastAsia" w:hAnsi="宋体"/>
                <w:bCs/>
                <w:color w:val="auto"/>
                <w:kern w:val="0"/>
                <w:sz w:val="24"/>
                <w:lang w:eastAsia="zh-CN"/>
              </w:rPr>
              <w:t>功能</w:t>
            </w:r>
            <w:r>
              <w:rPr>
                <w:rFonts w:hAnsi="宋体"/>
                <w:bCs/>
                <w:color w:val="auto"/>
                <w:kern w:val="0"/>
                <w:sz w:val="24"/>
              </w:rPr>
              <w:t>定位和</w:t>
            </w:r>
            <w:r>
              <w:rPr>
                <w:rFonts w:hint="eastAsia" w:hAnsi="宋体"/>
                <w:bCs/>
                <w:color w:val="auto"/>
                <w:kern w:val="0"/>
                <w:sz w:val="24"/>
                <w:lang w:eastAsia="zh-CN"/>
              </w:rPr>
              <w:t>规划</w:t>
            </w:r>
            <w:r>
              <w:rPr>
                <w:rFonts w:hAnsi="宋体"/>
                <w:bCs/>
                <w:color w:val="auto"/>
                <w:kern w:val="0"/>
                <w:sz w:val="24"/>
              </w:rPr>
              <w:t>策略。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08" w:type="dxa"/>
            <w:vAlign w:val="center"/>
          </w:tcPr>
          <w:p>
            <w:pPr>
              <w:wordWrap w:val="0"/>
              <w:autoSpaceDE w:val="0"/>
              <w:autoSpaceDN w:val="0"/>
              <w:adjustRightInd w:val="0"/>
              <w:snapToGrid w:val="0"/>
              <w:jc w:val="center"/>
              <w:rPr>
                <w:b/>
                <w:bCs/>
                <w:color w:val="auto"/>
                <w:kern w:val="0"/>
                <w:sz w:val="24"/>
              </w:rPr>
            </w:pPr>
            <w:r>
              <w:rPr>
                <w:b/>
                <w:bCs/>
                <w:color w:val="auto"/>
                <w:kern w:val="0"/>
                <w:sz w:val="24"/>
              </w:rPr>
              <w:t>其他符合性分析</w:t>
            </w:r>
          </w:p>
        </w:tc>
        <w:tc>
          <w:tcPr>
            <w:tcW w:w="7835" w:type="dxa"/>
            <w:gridSpan w:val="3"/>
            <w:vAlign w:val="center"/>
          </w:tcPr>
          <w:p>
            <w:pPr>
              <w:wordWrap w:val="0"/>
              <w:spacing w:line="360" w:lineRule="auto"/>
              <w:jc w:val="left"/>
              <w:rPr>
                <w:b/>
                <w:bCs/>
                <w:color w:val="auto"/>
                <w:sz w:val="24"/>
              </w:rPr>
            </w:pPr>
            <w:r>
              <w:rPr>
                <w:rFonts w:hint="eastAsia"/>
                <w:b/>
                <w:bCs/>
                <w:color w:val="auto"/>
                <w:sz w:val="24"/>
              </w:rPr>
              <w:t>1.1与产业政策相符性分析</w:t>
            </w:r>
          </w:p>
          <w:p>
            <w:pPr>
              <w:tabs>
                <w:tab w:val="left" w:pos="720"/>
              </w:tabs>
              <w:adjustRightInd w:val="0"/>
              <w:snapToGrid w:val="0"/>
              <w:spacing w:line="360" w:lineRule="auto"/>
              <w:ind w:firstLine="480" w:firstLineChars="200"/>
              <w:rPr>
                <w:color w:val="auto"/>
                <w:sz w:val="24"/>
              </w:rPr>
            </w:pPr>
            <w:r>
              <w:rPr>
                <w:color w:val="auto"/>
                <w:sz w:val="24"/>
              </w:rPr>
              <w:t>本项目主要为金属结构制造</w:t>
            </w:r>
            <w:r>
              <w:rPr>
                <w:rFonts w:hint="eastAsia"/>
                <w:color w:val="auto"/>
                <w:sz w:val="24"/>
              </w:rPr>
              <w:t>项目</w:t>
            </w:r>
            <w:r>
              <w:rPr>
                <w:color w:val="auto"/>
                <w:sz w:val="24"/>
              </w:rPr>
              <w:t>，对照《产业结构调整指导目录（20</w:t>
            </w:r>
            <w:r>
              <w:rPr>
                <w:rFonts w:hint="eastAsia"/>
                <w:color w:val="auto"/>
                <w:sz w:val="24"/>
              </w:rPr>
              <w:t>24</w:t>
            </w:r>
            <w:r>
              <w:rPr>
                <w:color w:val="auto"/>
                <w:sz w:val="24"/>
              </w:rPr>
              <w:t>年本）》，不属于其中的限制类和淘汰类项目。</w:t>
            </w:r>
          </w:p>
          <w:p>
            <w:pPr>
              <w:tabs>
                <w:tab w:val="left" w:pos="720"/>
              </w:tabs>
              <w:adjustRightInd w:val="0"/>
              <w:snapToGrid w:val="0"/>
              <w:spacing w:line="360" w:lineRule="auto"/>
              <w:ind w:firstLine="480" w:firstLineChars="200"/>
              <w:rPr>
                <w:color w:val="auto"/>
                <w:sz w:val="24"/>
              </w:rPr>
            </w:pPr>
            <w:r>
              <w:rPr>
                <w:color w:val="auto"/>
                <w:sz w:val="24"/>
              </w:rPr>
              <w:t>对照《江苏省产业结构调整限制、淘汰和禁止目录》（苏办发[2018]32号），本项目不属于限制类、淘汰类。</w:t>
            </w:r>
          </w:p>
          <w:p>
            <w:pPr>
              <w:tabs>
                <w:tab w:val="left" w:pos="720"/>
              </w:tabs>
              <w:adjustRightInd w:val="0"/>
              <w:snapToGrid w:val="0"/>
              <w:spacing w:line="360" w:lineRule="auto"/>
              <w:ind w:firstLine="480" w:firstLineChars="200"/>
              <w:jc w:val="left"/>
              <w:rPr>
                <w:b/>
                <w:bCs/>
                <w:color w:val="auto"/>
                <w:sz w:val="24"/>
              </w:rPr>
            </w:pPr>
            <w:r>
              <w:rPr>
                <w:color w:val="auto"/>
                <w:sz w:val="24"/>
              </w:rPr>
              <w:t>故本次新建项目符合国家及地方的产业政策，该项目202</w:t>
            </w:r>
            <w:r>
              <w:rPr>
                <w:rFonts w:hint="eastAsia"/>
                <w:color w:val="auto"/>
                <w:sz w:val="24"/>
              </w:rPr>
              <w:t>4</w:t>
            </w:r>
            <w:r>
              <w:rPr>
                <w:color w:val="auto"/>
                <w:sz w:val="24"/>
              </w:rPr>
              <w:t>年</w:t>
            </w:r>
            <w:r>
              <w:rPr>
                <w:rFonts w:hint="eastAsia"/>
                <w:color w:val="auto"/>
                <w:sz w:val="24"/>
              </w:rPr>
              <w:t>5</w:t>
            </w:r>
            <w:r>
              <w:rPr>
                <w:color w:val="auto"/>
                <w:sz w:val="24"/>
              </w:rPr>
              <w:t>月</w:t>
            </w:r>
            <w:r>
              <w:rPr>
                <w:rFonts w:hint="eastAsia"/>
                <w:color w:val="auto"/>
                <w:sz w:val="24"/>
              </w:rPr>
              <w:t>30</w:t>
            </w:r>
            <w:r>
              <w:rPr>
                <w:color w:val="auto"/>
                <w:sz w:val="24"/>
              </w:rPr>
              <w:t>日由</w:t>
            </w:r>
            <w:r>
              <w:rPr>
                <w:rFonts w:hint="eastAsia"/>
                <w:color w:val="auto"/>
                <w:sz w:val="24"/>
              </w:rPr>
              <w:t>淮安</w:t>
            </w:r>
            <w:r>
              <w:rPr>
                <w:rFonts w:hint="eastAsia"/>
                <w:color w:val="auto"/>
                <w:sz w:val="24"/>
                <w:lang w:eastAsia="zh-CN"/>
              </w:rPr>
              <w:t>市淮阴区行政审批局</w:t>
            </w:r>
            <w:r>
              <w:rPr>
                <w:color w:val="auto"/>
                <w:sz w:val="24"/>
              </w:rPr>
              <w:t>备案，备案证号：</w:t>
            </w:r>
            <w:r>
              <w:rPr>
                <w:rFonts w:hint="eastAsia"/>
                <w:color w:val="auto"/>
                <w:sz w:val="24"/>
              </w:rPr>
              <w:t>淮阴区审批投资备</w:t>
            </w:r>
            <w:r>
              <w:rPr>
                <w:color w:val="auto"/>
                <w:sz w:val="24"/>
              </w:rPr>
              <w:t>〔202</w:t>
            </w:r>
            <w:r>
              <w:rPr>
                <w:rFonts w:hint="eastAsia"/>
                <w:color w:val="auto"/>
                <w:sz w:val="24"/>
              </w:rPr>
              <w:t>4</w:t>
            </w:r>
            <w:r>
              <w:rPr>
                <w:color w:val="auto"/>
                <w:sz w:val="24"/>
              </w:rPr>
              <w:t>〕</w:t>
            </w:r>
            <w:r>
              <w:rPr>
                <w:rFonts w:hint="eastAsia"/>
                <w:color w:val="auto"/>
                <w:sz w:val="24"/>
              </w:rPr>
              <w:t>335</w:t>
            </w:r>
            <w:r>
              <w:rPr>
                <w:color w:val="auto"/>
                <w:sz w:val="24"/>
              </w:rPr>
              <w:t>号，项目代码：</w:t>
            </w:r>
            <w:r>
              <w:rPr>
                <w:rFonts w:hint="eastAsia"/>
                <w:color w:val="auto"/>
                <w:sz w:val="24"/>
              </w:rPr>
              <w:t>2405-320804-89-01-221335</w:t>
            </w:r>
            <w:r>
              <w:rPr>
                <w:color w:val="auto"/>
                <w:sz w:val="24"/>
              </w:rPr>
              <w:t>。</w:t>
            </w:r>
          </w:p>
          <w:p>
            <w:pPr>
              <w:wordWrap w:val="0"/>
              <w:spacing w:line="360" w:lineRule="auto"/>
              <w:jc w:val="left"/>
              <w:rPr>
                <w:b/>
                <w:bCs/>
                <w:color w:val="auto"/>
                <w:sz w:val="24"/>
              </w:rPr>
            </w:pPr>
            <w:r>
              <w:rPr>
                <w:rFonts w:hint="eastAsia"/>
                <w:b/>
                <w:bCs/>
                <w:color w:val="auto"/>
                <w:sz w:val="24"/>
              </w:rPr>
              <w:t>1.2与土地政策相符性分析</w:t>
            </w:r>
          </w:p>
          <w:p>
            <w:pPr>
              <w:tabs>
                <w:tab w:val="left" w:pos="720"/>
              </w:tabs>
              <w:adjustRightInd w:val="0"/>
              <w:snapToGrid w:val="0"/>
              <w:spacing w:line="360" w:lineRule="auto"/>
              <w:ind w:firstLine="480" w:firstLineChars="200"/>
              <w:rPr>
                <w:color w:val="auto"/>
                <w:sz w:val="24"/>
              </w:rPr>
            </w:pPr>
            <w:r>
              <w:rPr>
                <w:color w:val="auto"/>
                <w:sz w:val="24"/>
              </w:rPr>
              <w:t>对照《国土资源部、国家发展和改革委员会关于发布实施&lt;限制用地项目目录（2012年本）&gt;和&lt;禁止用地项目目录（2012年本）&gt;的通知》（国土资发〔2012〕98号）和《关于发布实施&lt;江苏省限制用地项目目录（2013年本）&gt;和&lt;江苏省禁止用地项目目录（2013年本）&gt;的通知》（苏国土资发〔2013〕323号），本项目不属于限制和禁止用地项目。本项目</w:t>
            </w:r>
            <w:r>
              <w:rPr>
                <w:rFonts w:hint="eastAsia"/>
                <w:color w:val="auto"/>
                <w:sz w:val="24"/>
                <w:lang w:eastAsia="zh-CN"/>
              </w:rPr>
              <w:t>位于</w:t>
            </w:r>
            <w:r>
              <w:rPr>
                <w:color w:val="auto"/>
                <w:sz w:val="24"/>
                <w:lang w:val="en-US" w:eastAsia="zh-CN"/>
              </w:rPr>
              <w:t>淮阴区古清口</w:t>
            </w:r>
            <w:r>
              <w:rPr>
                <w:rFonts w:hint="eastAsia"/>
                <w:color w:val="auto"/>
                <w:sz w:val="24"/>
                <w:lang w:val="en-US" w:eastAsia="zh-CN"/>
              </w:rPr>
              <w:t>街道农科村淮三路168号，</w:t>
            </w:r>
            <w:r>
              <w:rPr>
                <w:color w:val="auto"/>
                <w:sz w:val="24"/>
              </w:rPr>
              <w:t>用地属</w:t>
            </w:r>
            <w:r>
              <w:rPr>
                <w:rFonts w:hint="eastAsia"/>
                <w:color w:val="auto"/>
                <w:sz w:val="24"/>
                <w:lang w:eastAsia="zh-CN"/>
              </w:rPr>
              <w:t>于</w:t>
            </w:r>
            <w:r>
              <w:rPr>
                <w:color w:val="auto"/>
                <w:sz w:val="24"/>
              </w:rPr>
              <w:t>工业用地，符合相关要求。</w:t>
            </w:r>
          </w:p>
          <w:p>
            <w:pPr>
              <w:wordWrap w:val="0"/>
              <w:spacing w:line="360" w:lineRule="auto"/>
              <w:jc w:val="left"/>
              <w:rPr>
                <w:b/>
                <w:bCs/>
                <w:color w:val="auto"/>
                <w:sz w:val="24"/>
              </w:rPr>
            </w:pPr>
            <w:r>
              <w:rPr>
                <w:rFonts w:hint="eastAsia"/>
                <w:b/>
                <w:bCs/>
                <w:color w:val="auto"/>
                <w:sz w:val="24"/>
              </w:rPr>
              <w:t>1.3</w:t>
            </w:r>
            <w:r>
              <w:rPr>
                <w:b/>
                <w:bCs/>
                <w:color w:val="auto"/>
                <w:sz w:val="24"/>
              </w:rPr>
              <w:t>与“三线一单”相符性分析</w:t>
            </w:r>
          </w:p>
          <w:p>
            <w:pPr>
              <w:tabs>
                <w:tab w:val="left" w:pos="720"/>
              </w:tabs>
              <w:adjustRightInd w:val="0"/>
              <w:snapToGrid w:val="0"/>
              <w:spacing w:line="360" w:lineRule="auto"/>
              <w:ind w:firstLine="480" w:firstLineChars="200"/>
              <w:rPr>
                <w:bCs/>
                <w:color w:val="auto"/>
                <w:sz w:val="24"/>
              </w:rPr>
            </w:pPr>
            <w:r>
              <w:rPr>
                <w:bCs/>
                <w:color w:val="auto"/>
                <w:sz w:val="24"/>
              </w:rPr>
              <w:t>据生态环境部《关于以改善环境质量为核心加强环境影响评价管理的通知》（环环评[2016]150号），为适应以改善环境质量为核心的环境管理要求，切实加强环境影响评价（以下简称环评）管理，落实“生态保护红线、环境质量底线、资源利用上线和环境准入负面清单”（以下简称“三线一单”）约束，建立项目环评审批与规划环评、现有项目环境管理、区域环境质量联动机制（以下简称“三挂钩”机制），更好地发挥环评制度从源头防范环境污染和生态破坏的作用，加快推进改善环境质量。本项目与“三线一单”相符性分析如下：</w:t>
            </w:r>
          </w:p>
          <w:p>
            <w:pPr>
              <w:wordWrap w:val="0"/>
              <w:spacing w:line="360" w:lineRule="auto"/>
              <w:ind w:firstLine="482" w:firstLineChars="200"/>
              <w:jc w:val="left"/>
              <w:rPr>
                <w:b/>
                <w:bCs/>
                <w:color w:val="auto"/>
                <w:sz w:val="24"/>
              </w:rPr>
            </w:pPr>
            <w:r>
              <w:rPr>
                <w:b/>
                <w:bCs/>
                <w:color w:val="auto"/>
                <w:sz w:val="24"/>
              </w:rPr>
              <w:t>（1）</w:t>
            </w:r>
            <w:r>
              <w:rPr>
                <w:rFonts w:hint="eastAsia"/>
                <w:b/>
                <w:bCs/>
                <w:color w:val="auto"/>
                <w:sz w:val="24"/>
              </w:rPr>
              <w:t>与</w:t>
            </w:r>
            <w:r>
              <w:rPr>
                <w:b/>
                <w:bCs/>
                <w:color w:val="auto"/>
                <w:sz w:val="24"/>
              </w:rPr>
              <w:t>生态保护红线</w:t>
            </w:r>
            <w:r>
              <w:rPr>
                <w:rFonts w:hint="eastAsia"/>
                <w:b/>
                <w:bCs/>
                <w:color w:val="auto"/>
                <w:sz w:val="24"/>
              </w:rPr>
              <w:t>相符性</w:t>
            </w:r>
          </w:p>
          <w:p>
            <w:pPr>
              <w:wordWrap w:val="0"/>
              <w:spacing w:line="360" w:lineRule="auto"/>
              <w:ind w:firstLine="482" w:firstLineChars="200"/>
              <w:jc w:val="left"/>
              <w:rPr>
                <w:color w:val="auto"/>
                <w:sz w:val="24"/>
              </w:rPr>
            </w:pPr>
            <w:r>
              <w:rPr>
                <w:b/>
                <w:bCs/>
                <w:color w:val="auto"/>
                <w:sz w:val="24"/>
              </w:rPr>
              <w:t>①与《江苏省国家级生态保护红线规划》（苏政发〔2018〕74号）相符性分析</w:t>
            </w:r>
          </w:p>
          <w:p>
            <w:pPr>
              <w:wordWrap w:val="0"/>
              <w:spacing w:line="360" w:lineRule="auto"/>
              <w:ind w:firstLine="480" w:firstLineChars="200"/>
              <w:jc w:val="left"/>
              <w:rPr>
                <w:color w:val="auto"/>
                <w:sz w:val="24"/>
              </w:rPr>
            </w:pPr>
            <w:r>
              <w:rPr>
                <w:color w:val="auto"/>
                <w:sz w:val="24"/>
              </w:rPr>
              <w:t>本项目位于江苏省淮安市淮阴区古清口街道农科村淮三路168号，根据《省政府关于印发江苏省国家级生态保护红线规划》（苏政发〔2018〕74号）和《省政府关于印发江苏省生态空间管控区域规划的通知》（苏政发〔2020〕1号）。本项目不在生态空间管控区域内，距离本项目最近的生态空间管控区域为项目</w:t>
            </w:r>
            <w:r>
              <w:rPr>
                <w:rFonts w:hint="eastAsia"/>
                <w:color w:val="auto"/>
                <w:sz w:val="24"/>
              </w:rPr>
              <w:t>东南</w:t>
            </w:r>
            <w:r>
              <w:rPr>
                <w:color w:val="auto"/>
                <w:sz w:val="24"/>
              </w:rPr>
              <w:t>方向的江苏淮安古淮河国家湿地公园（试点），最近距离约</w:t>
            </w:r>
            <w:r>
              <w:rPr>
                <w:rFonts w:hint="eastAsia"/>
                <w:color w:val="auto"/>
                <w:sz w:val="24"/>
              </w:rPr>
              <w:t>5.0</w:t>
            </w:r>
            <w:r>
              <w:rPr>
                <w:color w:val="auto"/>
                <w:sz w:val="24"/>
              </w:rPr>
              <w:t>km，详见表</w:t>
            </w:r>
            <w:r>
              <w:rPr>
                <w:rFonts w:hint="eastAsia"/>
                <w:color w:val="auto"/>
                <w:sz w:val="24"/>
                <w:lang w:val="en-US" w:eastAsia="zh-CN"/>
              </w:rPr>
              <w:t>1.3-1</w:t>
            </w:r>
            <w:r>
              <w:rPr>
                <w:color w:val="auto"/>
                <w:sz w:val="24"/>
              </w:rPr>
              <w:t>。</w:t>
            </w:r>
          </w:p>
          <w:p>
            <w:pPr>
              <w:widowControl/>
              <w:jc w:val="center"/>
              <w:rPr>
                <w:color w:val="auto"/>
                <w:szCs w:val="21"/>
              </w:rPr>
            </w:pPr>
            <w:r>
              <w:rPr>
                <w:b/>
                <w:bCs/>
                <w:color w:val="auto"/>
                <w:kern w:val="0"/>
                <w:szCs w:val="21"/>
                <w:lang w:bidi="ar"/>
              </w:rPr>
              <w:t>表 1.3-1 建设项目与《江苏省国家级生态保护红线规划》相符性分析</w:t>
            </w:r>
          </w:p>
          <w:tbl>
            <w:tblPr>
              <w:tblStyle w:val="20"/>
              <w:tblW w:w="4998" w:type="pct"/>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423"/>
              <w:gridCol w:w="555"/>
              <w:gridCol w:w="1298"/>
              <w:gridCol w:w="757"/>
              <w:gridCol w:w="2446"/>
              <w:gridCol w:w="906"/>
              <w:gridCol w:w="1231"/>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87" w:hRule="atLeast"/>
                <w:jc w:val="center"/>
              </w:trPr>
              <w:tc>
                <w:tcPr>
                  <w:tcW w:w="642" w:type="pct"/>
                  <w:gridSpan w:val="2"/>
                  <w:vAlign w:val="center"/>
                </w:tcPr>
                <w:p>
                  <w:pPr>
                    <w:keepNext/>
                    <w:adjustRightInd w:val="0"/>
                    <w:snapToGrid w:val="0"/>
                    <w:jc w:val="center"/>
                    <w:rPr>
                      <w:b/>
                      <w:bCs/>
                      <w:color w:val="auto"/>
                      <w:szCs w:val="21"/>
                    </w:rPr>
                  </w:pPr>
                  <w:r>
                    <w:rPr>
                      <w:b/>
                      <w:bCs/>
                      <w:color w:val="auto"/>
                      <w:szCs w:val="21"/>
                    </w:rPr>
                    <w:t>所在行政区</w:t>
                  </w:r>
                </w:p>
              </w:tc>
              <w:tc>
                <w:tcPr>
                  <w:tcW w:w="852" w:type="pct"/>
                  <w:vMerge w:val="restart"/>
                  <w:vAlign w:val="center"/>
                </w:tcPr>
                <w:p>
                  <w:pPr>
                    <w:widowControl/>
                    <w:jc w:val="center"/>
                    <w:rPr>
                      <w:color w:val="auto"/>
                    </w:rPr>
                  </w:pPr>
                  <w:r>
                    <w:rPr>
                      <w:b/>
                      <w:bCs/>
                      <w:color w:val="auto"/>
                      <w:kern w:val="0"/>
                      <w:sz w:val="20"/>
                      <w:szCs w:val="20"/>
                      <w:lang w:bidi="ar"/>
                    </w:rPr>
                    <w:t>生态保护红线</w:t>
                  </w:r>
                </w:p>
                <w:p>
                  <w:pPr>
                    <w:widowControl/>
                    <w:jc w:val="center"/>
                    <w:rPr>
                      <w:b/>
                      <w:bCs/>
                      <w:color w:val="auto"/>
                      <w:szCs w:val="21"/>
                    </w:rPr>
                  </w:pPr>
                  <w:r>
                    <w:rPr>
                      <w:b/>
                      <w:bCs/>
                      <w:color w:val="auto"/>
                      <w:kern w:val="0"/>
                      <w:sz w:val="20"/>
                      <w:szCs w:val="20"/>
                      <w:lang w:bidi="ar"/>
                    </w:rPr>
                    <w:t>名称</w:t>
                  </w:r>
                </w:p>
              </w:tc>
              <w:tc>
                <w:tcPr>
                  <w:tcW w:w="496" w:type="pct"/>
                  <w:vMerge w:val="restart"/>
                  <w:vAlign w:val="center"/>
                </w:tcPr>
                <w:p>
                  <w:pPr>
                    <w:widowControl/>
                    <w:jc w:val="center"/>
                    <w:rPr>
                      <w:b/>
                      <w:bCs/>
                      <w:color w:val="auto"/>
                      <w:szCs w:val="21"/>
                    </w:rPr>
                  </w:pPr>
                  <w:r>
                    <w:rPr>
                      <w:b/>
                      <w:bCs/>
                      <w:color w:val="auto"/>
                      <w:kern w:val="0"/>
                      <w:sz w:val="20"/>
                      <w:szCs w:val="20"/>
                      <w:lang w:bidi="ar"/>
                    </w:rPr>
                    <w:t>类型</w:t>
                  </w:r>
                </w:p>
              </w:tc>
              <w:tc>
                <w:tcPr>
                  <w:tcW w:w="1605" w:type="pct"/>
                  <w:vMerge w:val="restart"/>
                  <w:vAlign w:val="center"/>
                </w:tcPr>
                <w:p>
                  <w:pPr>
                    <w:widowControl/>
                    <w:jc w:val="center"/>
                    <w:rPr>
                      <w:b/>
                      <w:bCs/>
                      <w:color w:val="auto"/>
                      <w:szCs w:val="21"/>
                    </w:rPr>
                  </w:pPr>
                  <w:r>
                    <w:rPr>
                      <w:b/>
                      <w:bCs/>
                      <w:color w:val="auto"/>
                      <w:kern w:val="0"/>
                      <w:sz w:val="20"/>
                      <w:szCs w:val="20"/>
                      <w:lang w:bidi="ar"/>
                    </w:rPr>
                    <w:t>地理位置</w:t>
                  </w:r>
                </w:p>
              </w:tc>
              <w:tc>
                <w:tcPr>
                  <w:tcW w:w="594" w:type="pct"/>
                  <w:vMerge w:val="restart"/>
                  <w:vAlign w:val="center"/>
                </w:tcPr>
                <w:p>
                  <w:pPr>
                    <w:widowControl/>
                    <w:jc w:val="center"/>
                    <w:rPr>
                      <w:color w:val="auto"/>
                    </w:rPr>
                  </w:pPr>
                  <w:r>
                    <w:rPr>
                      <w:b/>
                      <w:bCs/>
                      <w:color w:val="auto"/>
                      <w:kern w:val="0"/>
                      <w:sz w:val="20"/>
                      <w:szCs w:val="20"/>
                      <w:lang w:bidi="ar"/>
                    </w:rPr>
                    <w:t>区域面</w:t>
                  </w:r>
                </w:p>
                <w:p>
                  <w:pPr>
                    <w:widowControl/>
                    <w:jc w:val="center"/>
                    <w:rPr>
                      <w:color w:val="auto"/>
                    </w:rPr>
                  </w:pPr>
                  <w:r>
                    <w:rPr>
                      <w:b/>
                      <w:bCs/>
                      <w:color w:val="auto"/>
                      <w:kern w:val="0"/>
                      <w:sz w:val="20"/>
                      <w:szCs w:val="20"/>
                      <w:lang w:bidi="ar"/>
                    </w:rPr>
                    <w:t>积（平</w:t>
                  </w:r>
                </w:p>
                <w:p>
                  <w:pPr>
                    <w:widowControl/>
                    <w:jc w:val="center"/>
                    <w:rPr>
                      <w:b/>
                      <w:bCs/>
                      <w:color w:val="auto"/>
                      <w:szCs w:val="21"/>
                    </w:rPr>
                  </w:pPr>
                  <w:r>
                    <w:rPr>
                      <w:b/>
                      <w:bCs/>
                      <w:color w:val="auto"/>
                      <w:kern w:val="0"/>
                      <w:sz w:val="20"/>
                      <w:szCs w:val="20"/>
                      <w:lang w:bidi="ar"/>
                    </w:rPr>
                    <w:t>方里）</w:t>
                  </w:r>
                </w:p>
              </w:tc>
              <w:tc>
                <w:tcPr>
                  <w:tcW w:w="808" w:type="pct"/>
                  <w:vMerge w:val="restart"/>
                  <w:vAlign w:val="center"/>
                </w:tcPr>
                <w:p>
                  <w:pPr>
                    <w:widowControl/>
                    <w:jc w:val="center"/>
                    <w:rPr>
                      <w:color w:val="auto"/>
                    </w:rPr>
                  </w:pPr>
                  <w:r>
                    <w:rPr>
                      <w:b/>
                      <w:bCs/>
                      <w:color w:val="auto"/>
                      <w:kern w:val="0"/>
                      <w:sz w:val="20"/>
                      <w:szCs w:val="20"/>
                      <w:lang w:bidi="ar"/>
                    </w:rPr>
                    <w:t>相符性分</w:t>
                  </w:r>
                </w:p>
                <w:p>
                  <w:pPr>
                    <w:widowControl/>
                    <w:jc w:val="center"/>
                    <w:rPr>
                      <w:b/>
                      <w:bCs/>
                      <w:color w:val="auto"/>
                      <w:szCs w:val="21"/>
                    </w:rPr>
                  </w:pPr>
                  <w:r>
                    <w:rPr>
                      <w:b/>
                      <w:bCs/>
                      <w:color w:val="auto"/>
                      <w:kern w:val="0"/>
                      <w:sz w:val="20"/>
                      <w:szCs w:val="20"/>
                      <w:lang w:bidi="ar"/>
                    </w:rPr>
                    <w:t>析</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543" w:hRule="atLeast"/>
                <w:jc w:val="center"/>
              </w:trPr>
              <w:tc>
                <w:tcPr>
                  <w:tcW w:w="277" w:type="pct"/>
                  <w:vAlign w:val="center"/>
                </w:tcPr>
                <w:p>
                  <w:pPr>
                    <w:widowControl/>
                    <w:jc w:val="center"/>
                    <w:rPr>
                      <w:color w:val="auto"/>
                      <w:szCs w:val="21"/>
                    </w:rPr>
                  </w:pPr>
                  <w:r>
                    <w:rPr>
                      <w:b/>
                      <w:bCs/>
                      <w:color w:val="auto"/>
                      <w:kern w:val="0"/>
                      <w:sz w:val="20"/>
                      <w:szCs w:val="20"/>
                      <w:lang w:bidi="ar"/>
                    </w:rPr>
                    <w:t>市级</w:t>
                  </w:r>
                </w:p>
              </w:tc>
              <w:tc>
                <w:tcPr>
                  <w:tcW w:w="364" w:type="pct"/>
                  <w:vAlign w:val="center"/>
                </w:tcPr>
                <w:p>
                  <w:pPr>
                    <w:widowControl/>
                    <w:jc w:val="center"/>
                    <w:rPr>
                      <w:color w:val="auto"/>
                      <w:szCs w:val="21"/>
                    </w:rPr>
                  </w:pPr>
                  <w:r>
                    <w:rPr>
                      <w:b/>
                      <w:bCs/>
                      <w:color w:val="auto"/>
                      <w:kern w:val="0"/>
                      <w:sz w:val="20"/>
                      <w:szCs w:val="20"/>
                      <w:lang w:bidi="ar"/>
                    </w:rPr>
                    <w:t>县级</w:t>
                  </w:r>
                </w:p>
              </w:tc>
              <w:tc>
                <w:tcPr>
                  <w:tcW w:w="852" w:type="pct"/>
                  <w:vMerge w:val="continue"/>
                  <w:vAlign w:val="center"/>
                </w:tcPr>
                <w:p>
                  <w:pPr>
                    <w:keepNext/>
                    <w:adjustRightInd w:val="0"/>
                    <w:snapToGrid w:val="0"/>
                    <w:jc w:val="center"/>
                    <w:rPr>
                      <w:color w:val="auto"/>
                      <w:szCs w:val="21"/>
                    </w:rPr>
                  </w:pPr>
                </w:p>
              </w:tc>
              <w:tc>
                <w:tcPr>
                  <w:tcW w:w="496" w:type="pct"/>
                  <w:vMerge w:val="continue"/>
                  <w:vAlign w:val="center"/>
                </w:tcPr>
                <w:p>
                  <w:pPr>
                    <w:keepNext/>
                    <w:adjustRightInd w:val="0"/>
                    <w:snapToGrid w:val="0"/>
                    <w:jc w:val="center"/>
                    <w:rPr>
                      <w:b/>
                      <w:bCs/>
                      <w:color w:val="auto"/>
                      <w:szCs w:val="21"/>
                    </w:rPr>
                  </w:pPr>
                </w:p>
              </w:tc>
              <w:tc>
                <w:tcPr>
                  <w:tcW w:w="1605" w:type="pct"/>
                  <w:vMerge w:val="continue"/>
                  <w:vAlign w:val="center"/>
                </w:tcPr>
                <w:p>
                  <w:pPr>
                    <w:keepNext/>
                    <w:adjustRightInd w:val="0"/>
                    <w:snapToGrid w:val="0"/>
                    <w:jc w:val="center"/>
                    <w:rPr>
                      <w:b/>
                      <w:bCs/>
                      <w:color w:val="auto"/>
                      <w:szCs w:val="21"/>
                    </w:rPr>
                  </w:pPr>
                </w:p>
              </w:tc>
              <w:tc>
                <w:tcPr>
                  <w:tcW w:w="594" w:type="pct"/>
                  <w:vMerge w:val="continue"/>
                  <w:vAlign w:val="center"/>
                </w:tcPr>
                <w:p>
                  <w:pPr>
                    <w:keepNext/>
                    <w:adjustRightInd w:val="0"/>
                    <w:snapToGrid w:val="0"/>
                    <w:jc w:val="center"/>
                    <w:rPr>
                      <w:b/>
                      <w:bCs/>
                      <w:color w:val="auto"/>
                      <w:szCs w:val="21"/>
                    </w:rPr>
                  </w:pPr>
                </w:p>
              </w:tc>
              <w:tc>
                <w:tcPr>
                  <w:tcW w:w="808" w:type="pct"/>
                  <w:vMerge w:val="continue"/>
                  <w:vAlign w:val="center"/>
                </w:tcPr>
                <w:p>
                  <w:pPr>
                    <w:keepNext/>
                    <w:adjustRightInd w:val="0"/>
                    <w:snapToGrid w:val="0"/>
                    <w:jc w:val="center"/>
                    <w:rPr>
                      <w:b/>
                      <w:bCs/>
                      <w:color w:val="auto"/>
                      <w:szCs w:val="21"/>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339" w:hRule="atLeast"/>
                <w:jc w:val="center"/>
              </w:trPr>
              <w:tc>
                <w:tcPr>
                  <w:tcW w:w="277" w:type="pct"/>
                  <w:vAlign w:val="center"/>
                </w:tcPr>
                <w:p>
                  <w:pPr>
                    <w:widowControl/>
                    <w:jc w:val="center"/>
                    <w:rPr>
                      <w:color w:val="auto"/>
                      <w:szCs w:val="21"/>
                    </w:rPr>
                  </w:pPr>
                  <w:r>
                    <w:rPr>
                      <w:color w:val="auto"/>
                      <w:szCs w:val="21"/>
                    </w:rPr>
                    <w:t>淮安市</w:t>
                  </w:r>
                </w:p>
              </w:tc>
              <w:tc>
                <w:tcPr>
                  <w:tcW w:w="364" w:type="pct"/>
                  <w:vAlign w:val="center"/>
                </w:tcPr>
                <w:p>
                  <w:pPr>
                    <w:widowControl/>
                    <w:jc w:val="center"/>
                    <w:rPr>
                      <w:color w:val="auto"/>
                      <w:szCs w:val="21"/>
                    </w:rPr>
                  </w:pPr>
                  <w:r>
                    <w:rPr>
                      <w:color w:val="auto"/>
                      <w:szCs w:val="21"/>
                    </w:rPr>
                    <w:t>淮阴区</w:t>
                  </w:r>
                </w:p>
              </w:tc>
              <w:tc>
                <w:tcPr>
                  <w:tcW w:w="852" w:type="pct"/>
                  <w:vAlign w:val="center"/>
                </w:tcPr>
                <w:p>
                  <w:pPr>
                    <w:keepNext w:val="0"/>
                    <w:keepLines w:val="0"/>
                    <w:widowControl/>
                    <w:suppressLineNumbers w:val="0"/>
                    <w:jc w:val="left"/>
                    <w:rPr>
                      <w:color w:val="auto"/>
                    </w:rPr>
                  </w:pPr>
                  <w:r>
                    <w:rPr>
                      <w:rFonts w:hint="eastAsia" w:ascii="宋体" w:hAnsi="宋体" w:eastAsia="宋体" w:cs="宋体"/>
                      <w:color w:val="auto"/>
                      <w:kern w:val="0"/>
                      <w:sz w:val="21"/>
                      <w:szCs w:val="21"/>
                      <w:lang w:val="en-US" w:eastAsia="zh-CN" w:bidi="ar"/>
                    </w:rPr>
                    <w:t xml:space="preserve">淮阴区渔沟水 </w:t>
                  </w:r>
                </w:p>
                <w:p>
                  <w:pPr>
                    <w:keepNext w:val="0"/>
                    <w:keepLines w:val="0"/>
                    <w:widowControl/>
                    <w:suppressLineNumbers w:val="0"/>
                    <w:jc w:val="left"/>
                    <w:rPr>
                      <w:color w:val="auto"/>
                    </w:rPr>
                  </w:pPr>
                  <w:r>
                    <w:rPr>
                      <w:rFonts w:hint="eastAsia" w:ascii="宋体" w:hAnsi="宋体" w:eastAsia="宋体" w:cs="宋体"/>
                      <w:color w:val="auto"/>
                      <w:kern w:val="0"/>
                      <w:sz w:val="21"/>
                      <w:szCs w:val="21"/>
                      <w:lang w:val="en-US" w:eastAsia="zh-CN" w:bidi="ar"/>
                    </w:rPr>
                    <w:t xml:space="preserve">厂饮用水水源 </w:t>
                  </w:r>
                </w:p>
                <w:p>
                  <w:pPr>
                    <w:keepNext w:val="0"/>
                    <w:keepLines w:val="0"/>
                    <w:widowControl/>
                    <w:suppressLineNumbers w:val="0"/>
                    <w:jc w:val="left"/>
                    <w:rPr>
                      <w:rFonts w:ascii="Times New Roman" w:hAnsi="Times New Roman"/>
                      <w:color w:val="auto"/>
                      <w:sz w:val="21"/>
                      <w:szCs w:val="21"/>
                      <w:lang w:eastAsia="zh-CN"/>
                    </w:rPr>
                  </w:pPr>
                  <w:r>
                    <w:rPr>
                      <w:rFonts w:hint="eastAsia" w:ascii="宋体" w:hAnsi="宋体" w:eastAsia="宋体" w:cs="宋体"/>
                      <w:color w:val="auto"/>
                      <w:kern w:val="0"/>
                      <w:sz w:val="21"/>
                      <w:szCs w:val="21"/>
                      <w:lang w:val="en-US" w:eastAsia="zh-CN" w:bidi="ar"/>
                    </w:rPr>
                    <w:t>保护区</w:t>
                  </w:r>
                </w:p>
              </w:tc>
              <w:tc>
                <w:tcPr>
                  <w:tcW w:w="496" w:type="pct"/>
                  <w:vAlign w:val="center"/>
                </w:tcPr>
                <w:p>
                  <w:pPr>
                    <w:keepNext w:val="0"/>
                    <w:keepLines w:val="0"/>
                    <w:widowControl/>
                    <w:suppressLineNumbers w:val="0"/>
                    <w:jc w:val="left"/>
                    <w:rPr>
                      <w:rFonts w:ascii="Times New Roman" w:hAnsi="Times New Roman"/>
                      <w:color w:val="auto"/>
                      <w:sz w:val="21"/>
                      <w:szCs w:val="21"/>
                    </w:rPr>
                  </w:pPr>
                  <w:r>
                    <w:rPr>
                      <w:rFonts w:hint="eastAsia" w:ascii="宋体" w:hAnsi="宋体" w:eastAsia="宋体" w:cs="宋体"/>
                      <w:color w:val="auto"/>
                      <w:kern w:val="0"/>
                      <w:sz w:val="21"/>
                      <w:szCs w:val="21"/>
                      <w:lang w:val="en-US" w:eastAsia="zh-CN" w:bidi="ar"/>
                    </w:rPr>
                    <w:t>水源水</w:t>
                  </w:r>
                  <w:r>
                    <w:rPr>
                      <w:rFonts w:hint="eastAsia" w:ascii="宋体" w:hAnsi="宋体" w:cs="宋体"/>
                      <w:color w:val="auto"/>
                      <w:kern w:val="0"/>
                      <w:sz w:val="21"/>
                      <w:szCs w:val="21"/>
                      <w:lang w:val="en-US" w:eastAsia="zh-CN" w:bidi="ar"/>
                    </w:rPr>
                    <w:t>质</w:t>
                  </w:r>
                  <w:r>
                    <w:rPr>
                      <w:rFonts w:hint="eastAsia" w:ascii="宋体" w:hAnsi="宋体" w:eastAsia="宋体" w:cs="宋体"/>
                      <w:color w:val="auto"/>
                      <w:kern w:val="0"/>
                      <w:sz w:val="21"/>
                      <w:szCs w:val="21"/>
                      <w:lang w:val="en-US" w:eastAsia="zh-CN" w:bidi="ar"/>
                    </w:rPr>
                    <w:t>保护</w:t>
                  </w:r>
                </w:p>
              </w:tc>
              <w:tc>
                <w:tcPr>
                  <w:tcW w:w="1605" w:type="pct"/>
                  <w:vAlign w:val="center"/>
                </w:tcPr>
                <w:p>
                  <w:pPr>
                    <w:pStyle w:val="13"/>
                    <w:tabs>
                      <w:tab w:val="left" w:pos="2830"/>
                    </w:tabs>
                    <w:jc w:val="center"/>
                    <w:rPr>
                      <w:rFonts w:ascii="Times New Roman" w:hAnsi="Times New Roman"/>
                      <w:color w:val="auto"/>
                      <w:szCs w:val="21"/>
                      <w:lang w:bidi="ar"/>
                    </w:rPr>
                  </w:pPr>
                  <w:r>
                    <w:rPr>
                      <w:rFonts w:ascii="Times New Roman" w:hAnsi="Times New Roman"/>
                      <w:color w:val="auto"/>
                      <w:sz w:val="21"/>
                      <w:szCs w:val="21"/>
                    </w:rPr>
                    <w:t>取水口设在新25省道淮沭河大桥北约350米处的东岸。一级保护区：取水口上游1000米至下游500米，及其岸背水坡之间的水域范围和一级保护区水域与两岸背水坡堤脚之间的陆域范围。二级保护区：一级保护区以外上溯1500米、下坡500米的水域范围和二级保护区水域与两岸背水坡堤脚之间的陆域范围。</w:t>
                  </w:r>
                </w:p>
              </w:tc>
              <w:tc>
                <w:tcPr>
                  <w:tcW w:w="594" w:type="pct"/>
                  <w:vAlign w:val="center"/>
                </w:tcPr>
                <w:p>
                  <w:pPr>
                    <w:pStyle w:val="13"/>
                    <w:tabs>
                      <w:tab w:val="left" w:pos="2830"/>
                    </w:tabs>
                    <w:jc w:val="center"/>
                    <w:rPr>
                      <w:rFonts w:ascii="Times New Roman" w:hAnsi="Times New Roman"/>
                      <w:color w:val="auto"/>
                      <w:szCs w:val="21"/>
                      <w:lang w:bidi="ar"/>
                    </w:rPr>
                  </w:pPr>
                  <w:r>
                    <w:rPr>
                      <w:rFonts w:ascii="Times New Roman" w:hAnsi="Times New Roman"/>
                      <w:color w:val="auto"/>
                      <w:sz w:val="21"/>
                      <w:szCs w:val="21"/>
                    </w:rPr>
                    <w:t>0.45</w:t>
                  </w:r>
                </w:p>
              </w:tc>
              <w:tc>
                <w:tcPr>
                  <w:tcW w:w="808" w:type="pct"/>
                  <w:vAlign w:val="center"/>
                </w:tcPr>
                <w:p>
                  <w:pPr>
                    <w:keepNext w:val="0"/>
                    <w:keepLines w:val="0"/>
                    <w:widowControl/>
                    <w:suppressLineNumbers w:val="0"/>
                    <w:jc w:val="left"/>
                    <w:rPr>
                      <w:color w:val="auto"/>
                      <w:kern w:val="0"/>
                      <w:szCs w:val="21"/>
                      <w:lang w:bidi="ar"/>
                    </w:rPr>
                  </w:pPr>
                  <w:r>
                    <w:rPr>
                      <w:color w:val="auto"/>
                      <w:kern w:val="0"/>
                      <w:szCs w:val="21"/>
                    </w:rPr>
                    <w:t>建设项目位于</w:t>
                  </w:r>
                  <w:r>
                    <w:rPr>
                      <w:rFonts w:hint="eastAsia" w:ascii="宋体" w:hAnsi="宋体" w:eastAsia="宋体" w:cs="宋体"/>
                      <w:color w:val="auto"/>
                      <w:kern w:val="0"/>
                      <w:sz w:val="21"/>
                      <w:szCs w:val="21"/>
                      <w:lang w:val="en-US" w:eastAsia="zh-CN" w:bidi="ar"/>
                    </w:rPr>
                    <w:t>淮阴区渔沟水厂饮用水水源保护区</w:t>
                  </w:r>
                  <w:r>
                    <w:rPr>
                      <w:rFonts w:hint="eastAsia"/>
                      <w:color w:val="auto"/>
                      <w:kern w:val="0"/>
                      <w:szCs w:val="21"/>
                      <w:lang w:eastAsia="zh-CN"/>
                    </w:rPr>
                    <w:t>东南</w:t>
                  </w:r>
                  <w:r>
                    <w:rPr>
                      <w:color w:val="auto"/>
                      <w:kern w:val="0"/>
                      <w:szCs w:val="21"/>
                    </w:rPr>
                    <w:t>侧约</w:t>
                  </w:r>
                  <w:r>
                    <w:rPr>
                      <w:rFonts w:hint="eastAsia"/>
                      <w:color w:val="auto"/>
                      <w:kern w:val="0"/>
                      <w:szCs w:val="21"/>
                      <w:lang w:val="en-US" w:eastAsia="zh-CN"/>
                    </w:rPr>
                    <w:t>6.7</w:t>
                  </w:r>
                  <w:r>
                    <w:rPr>
                      <w:color w:val="auto"/>
                      <w:kern w:val="0"/>
                      <w:szCs w:val="21"/>
                    </w:rPr>
                    <w:t>km，不在管控范围之内</w:t>
                  </w:r>
                </w:p>
              </w:tc>
            </w:tr>
          </w:tbl>
          <w:p>
            <w:pPr>
              <w:widowControl/>
              <w:spacing w:line="360" w:lineRule="auto"/>
              <w:ind w:firstLine="480" w:firstLineChars="200"/>
              <w:jc w:val="left"/>
              <w:rPr>
                <w:color w:val="auto"/>
                <w:sz w:val="24"/>
              </w:rPr>
            </w:pPr>
            <w:r>
              <w:rPr>
                <w:color w:val="auto"/>
                <w:sz w:val="24"/>
              </w:rPr>
              <w:t>建设项目与江苏省国家级生态保护红线区域位置关系详见附图4，距离最近的为</w:t>
            </w:r>
            <w:r>
              <w:rPr>
                <w:rFonts w:hint="eastAsia"/>
                <w:color w:val="auto"/>
                <w:sz w:val="24"/>
                <w:lang w:eastAsia="zh-CN"/>
              </w:rPr>
              <w:t>西北</w:t>
            </w:r>
            <w:r>
              <w:rPr>
                <w:color w:val="auto"/>
                <w:sz w:val="24"/>
              </w:rPr>
              <w:t>侧约</w:t>
            </w:r>
            <w:r>
              <w:rPr>
                <w:rFonts w:hint="eastAsia"/>
                <w:color w:val="auto"/>
                <w:sz w:val="24"/>
                <w:lang w:val="en-US" w:eastAsia="zh-CN"/>
              </w:rPr>
              <w:t>6.7</w:t>
            </w:r>
            <w:r>
              <w:rPr>
                <w:color w:val="auto"/>
                <w:sz w:val="24"/>
              </w:rPr>
              <w:t>km的</w:t>
            </w:r>
            <w:r>
              <w:rPr>
                <w:rFonts w:hint="eastAsia"/>
                <w:color w:val="auto"/>
                <w:sz w:val="24"/>
                <w:lang w:val="en-US" w:eastAsia="zh-CN"/>
              </w:rPr>
              <w:t>淮阴区渔沟水厂饮用水水源保护区</w:t>
            </w:r>
            <w:r>
              <w:rPr>
                <w:color w:val="auto"/>
                <w:sz w:val="24"/>
              </w:rPr>
              <w:t>，不在确定的江苏省国家级生态保护红线区域之内。建设项目生活废水</w:t>
            </w:r>
            <w:r>
              <w:rPr>
                <w:rFonts w:hint="eastAsia"/>
                <w:color w:val="auto"/>
                <w:sz w:val="24"/>
                <w:lang w:eastAsia="zh-CN"/>
              </w:rPr>
              <w:t>经</w:t>
            </w:r>
            <w:r>
              <w:rPr>
                <w:color w:val="auto"/>
                <w:sz w:val="24"/>
              </w:rPr>
              <w:t>化粪池处理后回用肥田，与江苏省国家级生态保护红线区域无直接的水力交换关系。因此项目的建设符合《省政府关于印发江苏省国家级生态保护红线规划的通知》（苏政发〔2018〕74号）的要求。</w:t>
            </w:r>
          </w:p>
          <w:p>
            <w:pPr>
              <w:adjustRightInd w:val="0"/>
              <w:snapToGrid w:val="0"/>
              <w:spacing w:line="360" w:lineRule="auto"/>
              <w:ind w:firstLine="482" w:firstLineChars="200"/>
              <w:rPr>
                <w:b/>
                <w:bCs/>
                <w:color w:val="auto"/>
                <w:sz w:val="24"/>
              </w:rPr>
            </w:pPr>
            <w:r>
              <w:rPr>
                <w:b/>
                <w:bCs/>
                <w:color w:val="auto"/>
                <w:sz w:val="24"/>
              </w:rPr>
              <w:t>②与《江苏省生态空间管控区域规划》（苏政发〔2020〕1号）相符性分析</w:t>
            </w:r>
          </w:p>
          <w:p>
            <w:pPr>
              <w:widowControl/>
              <w:spacing w:line="360" w:lineRule="auto"/>
              <w:ind w:firstLine="480" w:firstLineChars="200"/>
              <w:jc w:val="left"/>
              <w:rPr>
                <w:color w:val="auto"/>
              </w:rPr>
            </w:pPr>
            <w:r>
              <w:rPr>
                <w:color w:val="auto"/>
                <w:sz w:val="24"/>
              </w:rPr>
              <w:t>对照《省政府关于印发江苏省生态空间管控区域规划的通知》（苏政发〔2020〕1号），与本项目距离最近的生态空间管控区域为淮阴区生态公益林，在本项目西侧约0.24km，本项目不在其管控范围内，建设项目生活废水化粪池处理后回用肥田，</w:t>
            </w:r>
            <w:r>
              <w:rPr>
                <w:rFonts w:hint="eastAsia"/>
                <w:color w:val="auto"/>
                <w:sz w:val="24"/>
              </w:rPr>
              <w:t>不涉及生态公益林管控内容中要求禁止的砍柴、采脂和狩猎；挖矿、取土和开山采石；野外用火；修建坟墓；排放污染物和堆放固体废物；其他破坏生态公益林资源的行为</w:t>
            </w:r>
            <w:r>
              <w:rPr>
                <w:color w:val="auto"/>
                <w:sz w:val="24"/>
              </w:rPr>
              <w:t>。</w:t>
            </w:r>
            <w:r>
              <w:rPr>
                <w:color w:val="auto"/>
                <w:kern w:val="0"/>
                <w:sz w:val="24"/>
                <w:lang w:bidi="ar"/>
              </w:rPr>
              <w:t>因此项目的建设符合《省政府关于印发江苏省生态空间管控区域规划的通知》（苏政发〔2020〕1号）的要求,</w:t>
            </w:r>
            <w:r>
              <w:rPr>
                <w:color w:val="auto"/>
                <w:sz w:val="24"/>
              </w:rPr>
              <w:t>具体见表1.3-2。</w:t>
            </w:r>
          </w:p>
          <w:p>
            <w:pPr>
              <w:widowControl/>
              <w:spacing w:line="360" w:lineRule="auto"/>
              <w:jc w:val="center"/>
              <w:rPr>
                <w:b/>
                <w:color w:val="auto"/>
                <w:szCs w:val="21"/>
              </w:rPr>
            </w:pPr>
            <w:r>
              <w:rPr>
                <w:b/>
                <w:color w:val="auto"/>
                <w:szCs w:val="21"/>
              </w:rPr>
              <w:t>表1.3-2 建设项目与《江苏省生态空间管控区域规划》相符性分析</w:t>
            </w:r>
          </w:p>
          <w:tbl>
            <w:tblPr>
              <w:tblStyle w:val="20"/>
              <w:tblW w:w="4996"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500"/>
              <w:gridCol w:w="432"/>
              <w:gridCol w:w="526"/>
              <w:gridCol w:w="1610"/>
              <w:gridCol w:w="1747"/>
              <w:gridCol w:w="704"/>
              <w:gridCol w:w="550"/>
              <w:gridCol w:w="545"/>
              <w:gridCol w:w="99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335" w:type="pct"/>
                  <w:vMerge w:val="restart"/>
                  <w:vAlign w:val="center"/>
                </w:tcPr>
                <w:p>
                  <w:pPr>
                    <w:widowControl/>
                    <w:jc w:val="center"/>
                    <w:rPr>
                      <w:color w:val="auto"/>
                      <w:szCs w:val="21"/>
                    </w:rPr>
                  </w:pPr>
                  <w:r>
                    <w:rPr>
                      <w:b/>
                      <w:bCs/>
                      <w:color w:val="auto"/>
                      <w:kern w:val="0"/>
                      <w:szCs w:val="21"/>
                      <w:lang w:bidi="ar"/>
                    </w:rPr>
                    <w:t>生态保护区域</w:t>
                  </w:r>
                </w:p>
                <w:p>
                  <w:pPr>
                    <w:keepNext/>
                    <w:adjustRightInd w:val="0"/>
                    <w:snapToGrid w:val="0"/>
                    <w:jc w:val="center"/>
                    <w:rPr>
                      <w:b/>
                      <w:bCs/>
                      <w:color w:val="auto"/>
                      <w:szCs w:val="21"/>
                    </w:rPr>
                  </w:pPr>
                  <w:r>
                    <w:rPr>
                      <w:b/>
                      <w:bCs/>
                      <w:color w:val="auto"/>
                      <w:kern w:val="0"/>
                      <w:szCs w:val="21"/>
                      <w:lang w:bidi="ar"/>
                    </w:rPr>
                    <w:t>名称</w:t>
                  </w:r>
                </w:p>
              </w:tc>
              <w:tc>
                <w:tcPr>
                  <w:tcW w:w="263" w:type="pct"/>
                  <w:vMerge w:val="restart"/>
                  <w:vAlign w:val="center"/>
                </w:tcPr>
                <w:p>
                  <w:pPr>
                    <w:widowControl/>
                    <w:jc w:val="center"/>
                    <w:rPr>
                      <w:color w:val="auto"/>
                      <w:szCs w:val="21"/>
                    </w:rPr>
                  </w:pPr>
                  <w:r>
                    <w:rPr>
                      <w:b/>
                      <w:bCs/>
                      <w:color w:val="auto"/>
                      <w:kern w:val="0"/>
                      <w:szCs w:val="21"/>
                      <w:lang w:bidi="ar"/>
                    </w:rPr>
                    <w:t>县</w:t>
                  </w:r>
                </w:p>
                <w:p>
                  <w:pPr>
                    <w:widowControl/>
                    <w:jc w:val="center"/>
                    <w:rPr>
                      <w:color w:val="auto"/>
                      <w:szCs w:val="21"/>
                    </w:rPr>
                  </w:pPr>
                  <w:r>
                    <w:rPr>
                      <w:b/>
                      <w:bCs/>
                      <w:color w:val="auto"/>
                      <w:kern w:val="0"/>
                      <w:szCs w:val="21"/>
                      <w:lang w:bidi="ar"/>
                    </w:rPr>
                    <w:t>（市</w:t>
                  </w:r>
                </w:p>
                <w:p>
                  <w:pPr>
                    <w:widowControl/>
                    <w:jc w:val="center"/>
                    <w:rPr>
                      <w:color w:val="auto"/>
                      <w:szCs w:val="21"/>
                    </w:rPr>
                  </w:pPr>
                  <w:r>
                    <w:rPr>
                      <w:b/>
                      <w:bCs/>
                      <w:color w:val="auto"/>
                      <w:kern w:val="0"/>
                      <w:szCs w:val="21"/>
                      <w:lang w:bidi="ar"/>
                    </w:rPr>
                    <w:t>、</w:t>
                  </w:r>
                </w:p>
                <w:p>
                  <w:pPr>
                    <w:widowControl/>
                    <w:jc w:val="center"/>
                    <w:rPr>
                      <w:b/>
                      <w:bCs/>
                      <w:color w:val="auto"/>
                      <w:szCs w:val="21"/>
                    </w:rPr>
                  </w:pPr>
                  <w:r>
                    <w:rPr>
                      <w:b/>
                      <w:bCs/>
                      <w:color w:val="auto"/>
                      <w:kern w:val="0"/>
                      <w:szCs w:val="21"/>
                      <w:lang w:bidi="ar"/>
                    </w:rPr>
                    <w:t>区）</w:t>
                  </w:r>
                </w:p>
              </w:tc>
              <w:tc>
                <w:tcPr>
                  <w:tcW w:w="352" w:type="pct"/>
                  <w:vMerge w:val="restart"/>
                  <w:vAlign w:val="center"/>
                </w:tcPr>
                <w:p>
                  <w:pPr>
                    <w:widowControl/>
                    <w:jc w:val="center"/>
                    <w:rPr>
                      <w:color w:val="auto"/>
                      <w:szCs w:val="21"/>
                    </w:rPr>
                  </w:pPr>
                  <w:r>
                    <w:rPr>
                      <w:b/>
                      <w:bCs/>
                      <w:color w:val="auto"/>
                      <w:kern w:val="0"/>
                      <w:szCs w:val="21"/>
                      <w:lang w:bidi="ar"/>
                    </w:rPr>
                    <w:t>主导</w:t>
                  </w:r>
                </w:p>
                <w:p>
                  <w:pPr>
                    <w:widowControl/>
                    <w:jc w:val="center"/>
                    <w:rPr>
                      <w:color w:val="auto"/>
                      <w:szCs w:val="21"/>
                    </w:rPr>
                  </w:pPr>
                  <w:r>
                    <w:rPr>
                      <w:b/>
                      <w:bCs/>
                      <w:color w:val="auto"/>
                      <w:kern w:val="0"/>
                      <w:szCs w:val="21"/>
                      <w:lang w:bidi="ar"/>
                    </w:rPr>
                    <w:t>生态</w:t>
                  </w:r>
                </w:p>
                <w:p>
                  <w:pPr>
                    <w:widowControl/>
                    <w:jc w:val="center"/>
                    <w:rPr>
                      <w:b/>
                      <w:bCs/>
                      <w:color w:val="auto"/>
                      <w:szCs w:val="21"/>
                    </w:rPr>
                  </w:pPr>
                  <w:r>
                    <w:rPr>
                      <w:b/>
                      <w:bCs/>
                      <w:color w:val="auto"/>
                      <w:kern w:val="0"/>
                      <w:szCs w:val="21"/>
                      <w:lang w:bidi="ar"/>
                    </w:rPr>
                    <w:t>功能</w:t>
                  </w:r>
                </w:p>
              </w:tc>
              <w:tc>
                <w:tcPr>
                  <w:tcW w:w="2218" w:type="pct"/>
                  <w:gridSpan w:val="2"/>
                  <w:vAlign w:val="center"/>
                </w:tcPr>
                <w:p>
                  <w:pPr>
                    <w:widowControl/>
                    <w:jc w:val="center"/>
                    <w:rPr>
                      <w:b/>
                      <w:bCs/>
                      <w:color w:val="auto"/>
                      <w:szCs w:val="21"/>
                    </w:rPr>
                  </w:pPr>
                  <w:r>
                    <w:rPr>
                      <w:b/>
                      <w:bCs/>
                      <w:color w:val="auto"/>
                      <w:kern w:val="0"/>
                      <w:szCs w:val="21"/>
                      <w:lang w:bidi="ar"/>
                    </w:rPr>
                    <w:t>范围</w:t>
                  </w:r>
                </w:p>
              </w:tc>
              <w:tc>
                <w:tcPr>
                  <w:tcW w:w="1168" w:type="pct"/>
                  <w:gridSpan w:val="3"/>
                  <w:vAlign w:val="center"/>
                </w:tcPr>
                <w:p>
                  <w:pPr>
                    <w:widowControl/>
                    <w:jc w:val="center"/>
                    <w:rPr>
                      <w:b/>
                      <w:bCs/>
                      <w:color w:val="auto"/>
                      <w:szCs w:val="21"/>
                    </w:rPr>
                  </w:pPr>
                  <w:r>
                    <w:rPr>
                      <w:b/>
                      <w:bCs/>
                      <w:color w:val="auto"/>
                      <w:kern w:val="0"/>
                      <w:szCs w:val="21"/>
                      <w:lang w:bidi="ar"/>
                    </w:rPr>
                    <w:t>面积（平方公里）</w:t>
                  </w:r>
                </w:p>
              </w:tc>
              <w:tc>
                <w:tcPr>
                  <w:tcW w:w="662" w:type="pct"/>
                  <w:vMerge w:val="restart"/>
                  <w:vAlign w:val="center"/>
                </w:tcPr>
                <w:p>
                  <w:pPr>
                    <w:widowControl/>
                    <w:jc w:val="center"/>
                    <w:rPr>
                      <w:b/>
                      <w:bCs/>
                      <w:color w:val="auto"/>
                      <w:szCs w:val="21"/>
                    </w:rPr>
                  </w:pPr>
                  <w:r>
                    <w:rPr>
                      <w:b/>
                      <w:bCs/>
                      <w:color w:val="auto"/>
                      <w:kern w:val="0"/>
                      <w:szCs w:val="21"/>
                      <w:lang w:bidi="ar"/>
                    </w:rPr>
                    <w:t>相符性分析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474" w:hRule="atLeast"/>
              </w:trPr>
              <w:tc>
                <w:tcPr>
                  <w:tcW w:w="335" w:type="pct"/>
                  <w:vMerge w:val="continue"/>
                  <w:vAlign w:val="center"/>
                </w:tcPr>
                <w:p>
                  <w:pPr>
                    <w:keepNext/>
                    <w:adjustRightInd w:val="0"/>
                    <w:snapToGrid w:val="0"/>
                    <w:jc w:val="center"/>
                    <w:rPr>
                      <w:b/>
                      <w:bCs/>
                      <w:color w:val="auto"/>
                      <w:kern w:val="0"/>
                      <w:szCs w:val="21"/>
                      <w:lang w:bidi="ar"/>
                    </w:rPr>
                  </w:pPr>
                </w:p>
              </w:tc>
              <w:tc>
                <w:tcPr>
                  <w:tcW w:w="263" w:type="pct"/>
                  <w:vMerge w:val="continue"/>
                  <w:vAlign w:val="center"/>
                </w:tcPr>
                <w:p>
                  <w:pPr>
                    <w:widowControl/>
                    <w:jc w:val="center"/>
                    <w:rPr>
                      <w:b/>
                      <w:bCs/>
                      <w:color w:val="auto"/>
                      <w:kern w:val="0"/>
                      <w:szCs w:val="21"/>
                      <w:lang w:bidi="ar"/>
                    </w:rPr>
                  </w:pPr>
                </w:p>
              </w:tc>
              <w:tc>
                <w:tcPr>
                  <w:tcW w:w="352" w:type="pct"/>
                  <w:vMerge w:val="continue"/>
                  <w:vAlign w:val="center"/>
                </w:tcPr>
                <w:p>
                  <w:pPr>
                    <w:widowControl/>
                    <w:jc w:val="center"/>
                    <w:rPr>
                      <w:b/>
                      <w:bCs/>
                      <w:color w:val="auto"/>
                      <w:szCs w:val="21"/>
                    </w:rPr>
                  </w:pPr>
                </w:p>
              </w:tc>
              <w:tc>
                <w:tcPr>
                  <w:tcW w:w="1064" w:type="pct"/>
                  <w:vAlign w:val="center"/>
                </w:tcPr>
                <w:p>
                  <w:pPr>
                    <w:widowControl/>
                    <w:jc w:val="center"/>
                    <w:rPr>
                      <w:b/>
                      <w:bCs/>
                      <w:color w:val="auto"/>
                      <w:kern w:val="0"/>
                      <w:szCs w:val="21"/>
                      <w:lang w:bidi="ar"/>
                    </w:rPr>
                  </w:pPr>
                  <w:r>
                    <w:rPr>
                      <w:b/>
                      <w:bCs/>
                      <w:color w:val="auto"/>
                      <w:kern w:val="0"/>
                      <w:szCs w:val="21"/>
                      <w:lang w:bidi="ar"/>
                    </w:rPr>
                    <w:t>国家级生态保护红线范围</w:t>
                  </w:r>
                </w:p>
              </w:tc>
              <w:tc>
                <w:tcPr>
                  <w:tcW w:w="1153" w:type="pct"/>
                  <w:vAlign w:val="center"/>
                </w:tcPr>
                <w:p>
                  <w:pPr>
                    <w:widowControl/>
                    <w:jc w:val="center"/>
                    <w:rPr>
                      <w:b/>
                      <w:bCs/>
                      <w:color w:val="auto"/>
                      <w:kern w:val="0"/>
                      <w:szCs w:val="21"/>
                      <w:lang w:bidi="ar"/>
                    </w:rPr>
                  </w:pPr>
                  <w:r>
                    <w:rPr>
                      <w:b/>
                      <w:bCs/>
                      <w:color w:val="auto"/>
                      <w:kern w:val="0"/>
                      <w:szCs w:val="21"/>
                      <w:lang w:bidi="ar"/>
                    </w:rPr>
                    <w:t>生态空间管控区域范围</w:t>
                  </w:r>
                </w:p>
              </w:tc>
              <w:tc>
                <w:tcPr>
                  <w:tcW w:w="469" w:type="pct"/>
                  <w:vAlign w:val="center"/>
                </w:tcPr>
                <w:p>
                  <w:pPr>
                    <w:widowControl/>
                    <w:jc w:val="center"/>
                    <w:rPr>
                      <w:color w:val="auto"/>
                      <w:szCs w:val="21"/>
                    </w:rPr>
                  </w:pPr>
                  <w:r>
                    <w:rPr>
                      <w:b/>
                      <w:bCs/>
                      <w:color w:val="auto"/>
                      <w:kern w:val="0"/>
                      <w:szCs w:val="21"/>
                      <w:lang w:bidi="ar"/>
                    </w:rPr>
                    <w:t>国家级</w:t>
                  </w:r>
                </w:p>
                <w:p>
                  <w:pPr>
                    <w:widowControl/>
                    <w:jc w:val="center"/>
                    <w:rPr>
                      <w:color w:val="auto"/>
                      <w:szCs w:val="21"/>
                    </w:rPr>
                  </w:pPr>
                  <w:r>
                    <w:rPr>
                      <w:b/>
                      <w:bCs/>
                      <w:color w:val="auto"/>
                      <w:kern w:val="0"/>
                      <w:szCs w:val="21"/>
                      <w:lang w:bidi="ar"/>
                    </w:rPr>
                    <w:t>生态保</w:t>
                  </w:r>
                </w:p>
                <w:p>
                  <w:pPr>
                    <w:widowControl/>
                    <w:jc w:val="center"/>
                    <w:rPr>
                      <w:color w:val="auto"/>
                      <w:szCs w:val="21"/>
                    </w:rPr>
                  </w:pPr>
                  <w:r>
                    <w:rPr>
                      <w:b/>
                      <w:bCs/>
                      <w:color w:val="auto"/>
                      <w:kern w:val="0"/>
                      <w:szCs w:val="21"/>
                      <w:lang w:bidi="ar"/>
                    </w:rPr>
                    <w:t>护红线</w:t>
                  </w:r>
                </w:p>
                <w:p>
                  <w:pPr>
                    <w:widowControl/>
                    <w:jc w:val="center"/>
                    <w:rPr>
                      <w:b/>
                      <w:bCs/>
                      <w:color w:val="auto"/>
                      <w:kern w:val="0"/>
                      <w:szCs w:val="21"/>
                      <w:lang w:bidi="ar"/>
                    </w:rPr>
                  </w:pPr>
                  <w:r>
                    <w:rPr>
                      <w:b/>
                      <w:bCs/>
                      <w:color w:val="auto"/>
                      <w:kern w:val="0"/>
                      <w:szCs w:val="21"/>
                      <w:lang w:bidi="ar"/>
                    </w:rPr>
                    <w:t>面积</w:t>
                  </w:r>
                </w:p>
              </w:tc>
              <w:tc>
                <w:tcPr>
                  <w:tcW w:w="335" w:type="pct"/>
                  <w:vAlign w:val="center"/>
                </w:tcPr>
                <w:p>
                  <w:pPr>
                    <w:widowControl/>
                    <w:jc w:val="center"/>
                    <w:rPr>
                      <w:color w:val="auto"/>
                      <w:szCs w:val="21"/>
                    </w:rPr>
                  </w:pPr>
                  <w:r>
                    <w:rPr>
                      <w:b/>
                      <w:bCs/>
                      <w:color w:val="auto"/>
                      <w:kern w:val="0"/>
                      <w:szCs w:val="21"/>
                      <w:lang w:bidi="ar"/>
                    </w:rPr>
                    <w:t>生态空间管控</w:t>
                  </w:r>
                </w:p>
                <w:p>
                  <w:pPr>
                    <w:widowControl/>
                    <w:jc w:val="center"/>
                    <w:rPr>
                      <w:b/>
                      <w:bCs/>
                      <w:color w:val="auto"/>
                      <w:kern w:val="0"/>
                      <w:szCs w:val="21"/>
                      <w:lang w:bidi="ar"/>
                    </w:rPr>
                  </w:pPr>
                  <w:r>
                    <w:rPr>
                      <w:b/>
                      <w:bCs/>
                      <w:color w:val="auto"/>
                      <w:kern w:val="0"/>
                      <w:szCs w:val="21"/>
                      <w:lang w:bidi="ar"/>
                    </w:rPr>
                    <w:t>区域面积</w:t>
                  </w:r>
                </w:p>
              </w:tc>
              <w:tc>
                <w:tcPr>
                  <w:tcW w:w="363" w:type="pct"/>
                  <w:vAlign w:val="center"/>
                </w:tcPr>
                <w:p>
                  <w:pPr>
                    <w:widowControl/>
                    <w:jc w:val="center"/>
                    <w:rPr>
                      <w:color w:val="auto"/>
                      <w:szCs w:val="21"/>
                    </w:rPr>
                  </w:pPr>
                  <w:r>
                    <w:rPr>
                      <w:b/>
                      <w:bCs/>
                      <w:color w:val="auto"/>
                      <w:kern w:val="0"/>
                      <w:szCs w:val="21"/>
                      <w:lang w:bidi="ar"/>
                    </w:rPr>
                    <w:t>总面</w:t>
                  </w:r>
                </w:p>
                <w:p>
                  <w:pPr>
                    <w:widowControl/>
                    <w:jc w:val="center"/>
                    <w:rPr>
                      <w:b/>
                      <w:bCs/>
                      <w:color w:val="auto"/>
                      <w:kern w:val="0"/>
                      <w:szCs w:val="21"/>
                      <w:lang w:bidi="ar"/>
                    </w:rPr>
                  </w:pPr>
                  <w:r>
                    <w:rPr>
                      <w:b/>
                      <w:bCs/>
                      <w:color w:val="auto"/>
                      <w:kern w:val="0"/>
                      <w:szCs w:val="21"/>
                      <w:lang w:bidi="ar"/>
                    </w:rPr>
                    <w:t>积</w:t>
                  </w:r>
                </w:p>
              </w:tc>
              <w:tc>
                <w:tcPr>
                  <w:tcW w:w="662" w:type="pct"/>
                  <w:vMerge w:val="continue"/>
                  <w:vAlign w:val="center"/>
                </w:tcPr>
                <w:p>
                  <w:pPr>
                    <w:keepNext/>
                    <w:adjustRightInd w:val="0"/>
                    <w:snapToGrid w:val="0"/>
                    <w:jc w:val="center"/>
                    <w:rPr>
                      <w:b/>
                      <w:bCs/>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335" w:type="pct"/>
                  <w:vAlign w:val="center"/>
                </w:tcPr>
                <w:p>
                  <w:pPr>
                    <w:pStyle w:val="13"/>
                    <w:tabs>
                      <w:tab w:val="left" w:pos="2830"/>
                    </w:tabs>
                    <w:jc w:val="center"/>
                    <w:rPr>
                      <w:rFonts w:ascii="Times New Roman" w:hAnsi="Times New Roman"/>
                      <w:color w:val="auto"/>
                      <w:szCs w:val="21"/>
                    </w:rPr>
                  </w:pPr>
                  <w:r>
                    <w:rPr>
                      <w:rFonts w:ascii="Times New Roman" w:hAnsi="Times New Roman"/>
                      <w:color w:val="auto"/>
                      <w:sz w:val="21"/>
                      <w:szCs w:val="18"/>
                    </w:rPr>
                    <w:t>淮阴区生态公益林</w:t>
                  </w:r>
                </w:p>
              </w:tc>
              <w:tc>
                <w:tcPr>
                  <w:tcW w:w="263" w:type="pct"/>
                  <w:vAlign w:val="center"/>
                </w:tcPr>
                <w:p>
                  <w:pPr>
                    <w:pStyle w:val="13"/>
                    <w:tabs>
                      <w:tab w:val="left" w:pos="2830"/>
                    </w:tabs>
                    <w:jc w:val="center"/>
                    <w:rPr>
                      <w:rFonts w:ascii="Times New Roman" w:hAnsi="Times New Roman"/>
                      <w:color w:val="auto"/>
                      <w:szCs w:val="21"/>
                      <w:lang w:bidi="ar"/>
                    </w:rPr>
                  </w:pPr>
                  <w:r>
                    <w:rPr>
                      <w:rFonts w:ascii="Times New Roman" w:hAnsi="Times New Roman"/>
                      <w:color w:val="auto"/>
                      <w:sz w:val="21"/>
                      <w:szCs w:val="21"/>
                    </w:rPr>
                    <w:t>淮阴区</w:t>
                  </w:r>
                </w:p>
              </w:tc>
              <w:tc>
                <w:tcPr>
                  <w:tcW w:w="352" w:type="pct"/>
                  <w:vAlign w:val="center"/>
                </w:tcPr>
                <w:p>
                  <w:pPr>
                    <w:pStyle w:val="13"/>
                    <w:tabs>
                      <w:tab w:val="left" w:pos="2830"/>
                    </w:tabs>
                    <w:jc w:val="center"/>
                    <w:rPr>
                      <w:rFonts w:ascii="Times New Roman" w:hAnsi="Times New Roman"/>
                      <w:color w:val="auto"/>
                      <w:sz w:val="21"/>
                      <w:szCs w:val="21"/>
                    </w:rPr>
                  </w:pPr>
                </w:p>
              </w:tc>
              <w:tc>
                <w:tcPr>
                  <w:tcW w:w="1064"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w:t>
                  </w:r>
                </w:p>
              </w:tc>
              <w:tc>
                <w:tcPr>
                  <w:tcW w:w="1153"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位于淮阴区21个乡镇及高速路边</w:t>
                  </w:r>
                </w:p>
              </w:tc>
              <w:tc>
                <w:tcPr>
                  <w:tcW w:w="469" w:type="pct"/>
                  <w:vAlign w:val="center"/>
                </w:tcPr>
                <w:p>
                  <w:pPr>
                    <w:pStyle w:val="13"/>
                    <w:tabs>
                      <w:tab w:val="left" w:pos="2830"/>
                    </w:tabs>
                    <w:jc w:val="center"/>
                    <w:rPr>
                      <w:rFonts w:ascii="Times New Roman" w:hAnsi="Times New Roman"/>
                      <w:color w:val="auto"/>
                      <w:sz w:val="21"/>
                      <w:szCs w:val="21"/>
                      <w:lang w:bidi="ar"/>
                    </w:rPr>
                  </w:pPr>
                  <w:r>
                    <w:rPr>
                      <w:rFonts w:ascii="Times New Roman" w:hAnsi="Times New Roman"/>
                      <w:color w:val="auto"/>
                      <w:sz w:val="21"/>
                      <w:szCs w:val="21"/>
                      <w:lang w:bidi="ar"/>
                    </w:rPr>
                    <w:t>/</w:t>
                  </w:r>
                </w:p>
              </w:tc>
              <w:tc>
                <w:tcPr>
                  <w:tcW w:w="335" w:type="pct"/>
                  <w:vAlign w:val="center"/>
                </w:tcPr>
                <w:p>
                  <w:pPr>
                    <w:pStyle w:val="13"/>
                    <w:tabs>
                      <w:tab w:val="left" w:pos="2830"/>
                    </w:tabs>
                    <w:jc w:val="center"/>
                    <w:rPr>
                      <w:rFonts w:ascii="Times New Roman" w:hAnsi="Times New Roman"/>
                      <w:color w:val="auto"/>
                      <w:szCs w:val="21"/>
                      <w:lang w:bidi="ar"/>
                    </w:rPr>
                  </w:pPr>
                  <w:r>
                    <w:rPr>
                      <w:rFonts w:ascii="Times New Roman" w:hAnsi="Times New Roman"/>
                      <w:color w:val="auto"/>
                      <w:sz w:val="21"/>
                      <w:szCs w:val="21"/>
                      <w:lang w:bidi="ar"/>
                    </w:rPr>
                    <w:t>38.63</w:t>
                  </w:r>
                </w:p>
              </w:tc>
              <w:tc>
                <w:tcPr>
                  <w:tcW w:w="363" w:type="pct"/>
                  <w:vAlign w:val="center"/>
                </w:tcPr>
                <w:p>
                  <w:pPr>
                    <w:pStyle w:val="13"/>
                    <w:tabs>
                      <w:tab w:val="left" w:pos="2830"/>
                    </w:tabs>
                    <w:jc w:val="center"/>
                    <w:rPr>
                      <w:rFonts w:ascii="Times New Roman" w:hAnsi="Times New Roman"/>
                      <w:color w:val="auto"/>
                      <w:sz w:val="21"/>
                      <w:szCs w:val="21"/>
                      <w:lang w:bidi="ar"/>
                    </w:rPr>
                  </w:pPr>
                  <w:r>
                    <w:rPr>
                      <w:rFonts w:ascii="Times New Roman" w:hAnsi="Times New Roman"/>
                      <w:color w:val="auto"/>
                      <w:sz w:val="21"/>
                      <w:szCs w:val="21"/>
                      <w:lang w:bidi="ar"/>
                    </w:rPr>
                    <w:t>38.63</w:t>
                  </w:r>
                </w:p>
              </w:tc>
              <w:tc>
                <w:tcPr>
                  <w:tcW w:w="662" w:type="pct"/>
                  <w:vAlign w:val="center"/>
                </w:tcPr>
                <w:p>
                  <w:pPr>
                    <w:pStyle w:val="13"/>
                    <w:tabs>
                      <w:tab w:val="left" w:pos="2830"/>
                    </w:tabs>
                    <w:jc w:val="center"/>
                    <w:rPr>
                      <w:rFonts w:ascii="Times New Roman" w:hAnsi="Times New Roman"/>
                      <w:color w:val="auto"/>
                      <w:sz w:val="21"/>
                      <w:szCs w:val="21"/>
                      <w:lang w:bidi="ar"/>
                    </w:rPr>
                  </w:pPr>
                  <w:r>
                    <w:rPr>
                      <w:rFonts w:ascii="Times New Roman" w:hAnsi="Times New Roman"/>
                      <w:color w:val="auto"/>
                      <w:sz w:val="21"/>
                      <w:szCs w:val="21"/>
                    </w:rPr>
                    <w:t>建设项目位于淮阴区生态公益林东侧约0.24km，不在管控范围之内。</w:t>
                  </w:r>
                </w:p>
              </w:tc>
            </w:tr>
          </w:tbl>
          <w:p>
            <w:pPr>
              <w:wordWrap w:val="0"/>
              <w:spacing w:line="360" w:lineRule="auto"/>
              <w:ind w:firstLine="482" w:firstLineChars="200"/>
              <w:jc w:val="left"/>
              <w:rPr>
                <w:b/>
                <w:bCs/>
                <w:color w:val="auto"/>
                <w:sz w:val="24"/>
              </w:rPr>
            </w:pPr>
            <w:r>
              <w:rPr>
                <w:b/>
                <w:bCs/>
                <w:color w:val="auto"/>
                <w:sz w:val="24"/>
              </w:rPr>
              <w:t>③与《江苏省政府关于印发&lt;江苏省“三线一单”生态环境分区管控方案&gt;的通知》（苏政发〔2020〕49 号）相符性分析</w:t>
            </w:r>
          </w:p>
          <w:p>
            <w:pPr>
              <w:pStyle w:val="17"/>
              <w:spacing w:line="360" w:lineRule="auto"/>
              <w:ind w:firstLine="480"/>
              <w:rPr>
                <w:rFonts w:ascii="Times New Roman" w:cs="Times New Roman"/>
                <w:b w:val="0"/>
                <w:bCs/>
                <w:color w:val="auto"/>
              </w:rPr>
            </w:pPr>
            <w:r>
              <w:rPr>
                <w:rFonts w:hint="eastAsia" w:ascii="Times New Roman" w:cs="Times New Roman"/>
                <w:b w:val="0"/>
                <w:bCs/>
                <w:color w:val="auto"/>
              </w:rPr>
              <w:t>a.与江苏省《关于印发江苏省“三线一单”生态环境分区管控方案的通知》（苏政发〔2020〕49号）及《江苏省2023年度生态环境分区管控动态更新成果公告》相符性分析</w:t>
            </w:r>
          </w:p>
          <w:p>
            <w:pPr>
              <w:pStyle w:val="17"/>
              <w:spacing w:line="360" w:lineRule="auto"/>
              <w:ind w:firstLine="480"/>
              <w:rPr>
                <w:rFonts w:ascii="Times New Roman" w:cs="Times New Roman"/>
                <w:b w:val="0"/>
                <w:bCs/>
                <w:color w:val="auto"/>
              </w:rPr>
            </w:pPr>
            <w:r>
              <w:rPr>
                <w:rFonts w:hint="eastAsia" w:ascii="Times New Roman" w:cs="Times New Roman"/>
                <w:b w:val="0"/>
                <w:bCs/>
                <w:color w:val="auto"/>
              </w:rPr>
              <w:t>本项目与江苏省《关于印发江苏省“三线一单”生态环境分区管控方案的通知》（苏政发〔2020〕49号）及《江苏省2023年度生态环境分区管控动态更新成果公告》相符性分析见表1-3-3。本项目位于江苏省淮安市淮阴区古清口街道农科村淮三路168号，与《江苏省2023年度生态环境分区管控动态更新成果公告》中“江苏省环境管控单元图”位置关系见附图8。江苏省生态环境分区管控综合查询报告书见附件</w:t>
            </w:r>
            <w:r>
              <w:rPr>
                <w:rFonts w:hint="eastAsia" w:ascii="Times New Roman" w:cs="Times New Roman"/>
                <w:b w:val="0"/>
                <w:bCs/>
                <w:color w:val="auto"/>
                <w:lang w:val="en-US" w:eastAsia="zh-CN"/>
              </w:rPr>
              <w:t>1</w:t>
            </w:r>
            <w:r>
              <w:rPr>
                <w:rFonts w:hint="eastAsia" w:ascii="Times New Roman" w:cs="Times New Roman"/>
                <w:b w:val="0"/>
                <w:bCs/>
                <w:color w:val="auto"/>
              </w:rPr>
              <w:t>。</w:t>
            </w:r>
          </w:p>
          <w:p>
            <w:pPr>
              <w:wordWrap w:val="0"/>
              <w:spacing w:line="360" w:lineRule="auto"/>
              <w:ind w:firstLine="422" w:firstLineChars="200"/>
              <w:jc w:val="left"/>
              <w:rPr>
                <w:b/>
                <w:color w:val="auto"/>
                <w:szCs w:val="21"/>
              </w:rPr>
            </w:pPr>
            <w:r>
              <w:rPr>
                <w:b/>
                <w:color w:val="auto"/>
                <w:szCs w:val="21"/>
              </w:rPr>
              <w:t>表1.3-3  本项目与《江苏省“三线一单”生态环境分区管控实施方案》相符性分析</w:t>
            </w:r>
          </w:p>
          <w:tbl>
            <w:tblPr>
              <w:tblStyle w:val="20"/>
              <w:tblW w:w="80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1"/>
              <w:gridCol w:w="4505"/>
              <w:gridCol w:w="734"/>
              <w:gridCol w:w="3"/>
              <w:gridCol w:w="1326"/>
              <w:gridCol w:w="211"/>
              <w:gridCol w:w="575"/>
              <w:gridCol w:w="5"/>
              <w:gridCol w:w="1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0" w:type="pct"/>
                  <w:gridSpan w:val="2"/>
                  <w:tcBorders>
                    <w:top w:val="single" w:color="auto" w:sz="12" w:space="0"/>
                    <w:right w:val="single" w:color="auto" w:sz="4" w:space="0"/>
                  </w:tcBorders>
                  <w:vAlign w:val="center"/>
                </w:tcPr>
                <w:p>
                  <w:pPr>
                    <w:jc w:val="center"/>
                    <w:rPr>
                      <w:b/>
                      <w:color w:val="auto"/>
                      <w:szCs w:val="21"/>
                    </w:rPr>
                  </w:pPr>
                  <w:r>
                    <w:rPr>
                      <w:b/>
                      <w:color w:val="auto"/>
                      <w:szCs w:val="21"/>
                    </w:rPr>
                    <w:t>管控类别</w:t>
                  </w:r>
                </w:p>
              </w:tc>
              <w:tc>
                <w:tcPr>
                  <w:tcW w:w="456" w:type="pct"/>
                  <w:gridSpan w:val="2"/>
                  <w:tcBorders>
                    <w:top w:val="single" w:color="auto" w:sz="4" w:space="0"/>
                    <w:left w:val="single" w:color="auto" w:sz="4" w:space="0"/>
                    <w:bottom w:val="single" w:color="auto" w:sz="4" w:space="0"/>
                    <w:right w:val="single" w:color="auto" w:sz="4" w:space="0"/>
                  </w:tcBorders>
                  <w:vAlign w:val="center"/>
                </w:tcPr>
                <w:p>
                  <w:pPr>
                    <w:jc w:val="center"/>
                    <w:rPr>
                      <w:b/>
                      <w:color w:val="auto"/>
                      <w:szCs w:val="21"/>
                    </w:rPr>
                  </w:pPr>
                  <w:r>
                    <w:rPr>
                      <w:b/>
                      <w:color w:val="auto"/>
                      <w:szCs w:val="21"/>
                    </w:rPr>
                    <w:t>重点管控要求</w:t>
                  </w:r>
                </w:p>
              </w:tc>
              <w:tc>
                <w:tcPr>
                  <w:tcW w:w="951" w:type="pct"/>
                  <w:gridSpan w:val="2"/>
                  <w:tcBorders>
                    <w:top w:val="single" w:color="auto" w:sz="4" w:space="0"/>
                    <w:left w:val="single" w:color="auto" w:sz="4" w:space="0"/>
                    <w:bottom w:val="single" w:color="auto" w:sz="4" w:space="0"/>
                    <w:right w:val="single" w:color="auto" w:sz="4" w:space="0"/>
                  </w:tcBorders>
                  <w:vAlign w:val="center"/>
                </w:tcPr>
                <w:p>
                  <w:pPr>
                    <w:jc w:val="center"/>
                    <w:rPr>
                      <w:b/>
                      <w:color w:val="auto"/>
                      <w:szCs w:val="21"/>
                    </w:rPr>
                  </w:pPr>
                  <w:r>
                    <w:rPr>
                      <w:b/>
                      <w:color w:val="auto"/>
                      <w:szCs w:val="21"/>
                    </w:rPr>
                    <w:t>本项目建设情况</w:t>
                  </w:r>
                </w:p>
              </w:tc>
              <w:tc>
                <w:tcPr>
                  <w:tcW w:w="480" w:type="pct"/>
                  <w:gridSpan w:val="3"/>
                  <w:tcBorders>
                    <w:top w:val="single" w:color="auto" w:sz="4" w:space="0"/>
                    <w:left w:val="single" w:color="auto" w:sz="4" w:space="0"/>
                    <w:bottom w:val="single" w:color="auto" w:sz="4" w:space="0"/>
                    <w:right w:val="single" w:color="auto" w:sz="4" w:space="0"/>
                  </w:tcBorders>
                  <w:vAlign w:val="center"/>
                </w:tcPr>
                <w:p>
                  <w:pPr>
                    <w:jc w:val="center"/>
                    <w:rPr>
                      <w:b/>
                      <w:color w:val="auto"/>
                      <w:szCs w:val="21"/>
                    </w:rPr>
                  </w:pPr>
                  <w:r>
                    <w:rPr>
                      <w:b/>
                      <w:color w:val="auto"/>
                      <w:szCs w:val="21"/>
                    </w:rPr>
                    <w:t>相符性分析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1" w:type="pct"/>
                <w:jc w:val="center"/>
              </w:trPr>
              <w:tc>
                <w:tcPr>
                  <w:tcW w:w="4878" w:type="pct"/>
                  <w:gridSpan w:val="8"/>
                  <w:tcBorders>
                    <w:left w:val="nil"/>
                    <w:right w:val="nil"/>
                  </w:tcBorders>
                  <w:vAlign w:val="center"/>
                </w:tcPr>
                <w:p>
                  <w:pPr>
                    <w:jc w:val="center"/>
                    <w:rPr>
                      <w:b/>
                      <w:color w:val="auto"/>
                      <w:szCs w:val="21"/>
                    </w:rPr>
                  </w:pPr>
                  <w:r>
                    <w:rPr>
                      <w:b/>
                      <w:color w:val="auto"/>
                      <w:szCs w:val="21"/>
                    </w:rPr>
                    <w:t>三、淮河流域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21" w:type="pct"/>
                <w:jc w:val="center"/>
              </w:trPr>
              <w:tc>
                <w:tcPr>
                  <w:tcW w:w="323" w:type="pct"/>
                  <w:tcBorders>
                    <w:left w:val="nil"/>
                  </w:tcBorders>
                  <w:vAlign w:val="center"/>
                </w:tcPr>
                <w:p>
                  <w:pPr>
                    <w:jc w:val="center"/>
                    <w:rPr>
                      <w:color w:val="auto"/>
                      <w:szCs w:val="21"/>
                    </w:rPr>
                  </w:pPr>
                  <w:r>
                    <w:rPr>
                      <w:color w:val="auto"/>
                      <w:szCs w:val="21"/>
                    </w:rPr>
                    <w:t>空间布局约束</w:t>
                  </w:r>
                </w:p>
              </w:tc>
              <w:tc>
                <w:tcPr>
                  <w:tcW w:w="3243" w:type="pct"/>
                  <w:gridSpan w:val="2"/>
                  <w:vAlign w:val="center"/>
                </w:tcPr>
                <w:p>
                  <w:pPr>
                    <w:jc w:val="center"/>
                    <w:rPr>
                      <w:color w:val="auto"/>
                      <w:szCs w:val="21"/>
                    </w:rPr>
                  </w:pPr>
                  <w:r>
                    <w:rPr>
                      <w:color w:val="auto"/>
                      <w:szCs w:val="21"/>
                    </w:rPr>
                    <w:t>1．禁止在淮河流域新建化学制浆造纸企业，禁止在淮河流域新建制革、化工、印染、电镀、酿造等污染严重的小型企业。2．落实《江苏省通榆河水污染防治条例》，在通榆河一级保护区、二级保护区，禁止新建、改建、扩建制浆、造纸、化工、制革、酿造、染料、印染、电镀、炼油、铅酸蓄电池和排放水污染物的黑色金属冶炼及延压加工项目、有色金属冶炼及压延加工项目、金属制品项目等污染环境的项目。3、在通榆河一级保护区，禁止新建、扩建直接或者间接向水体排放污染物的项目，禁止建设工业固体废物集中贮存、利用、处置设施或者场所以及城市生活垃圾填埋场，禁止新建规模化畜禽养殖场。</w:t>
                  </w:r>
                </w:p>
              </w:tc>
              <w:tc>
                <w:tcPr>
                  <w:tcW w:w="823" w:type="pct"/>
                  <w:gridSpan w:val="2"/>
                  <w:vAlign w:val="center"/>
                </w:tcPr>
                <w:p>
                  <w:pPr>
                    <w:jc w:val="center"/>
                    <w:rPr>
                      <w:color w:val="auto"/>
                      <w:szCs w:val="21"/>
                    </w:rPr>
                  </w:pPr>
                  <w:r>
                    <w:rPr>
                      <w:color w:val="auto"/>
                      <w:szCs w:val="21"/>
                    </w:rPr>
                    <w:t>本项目为金属结构制造，属于金属制品业，不属于制革、化工、印染、电镀、酿造等污染严重的小型企业。本项目不位于通榆河一级保护区、二级保护区内。</w:t>
                  </w:r>
                </w:p>
              </w:tc>
              <w:tc>
                <w:tcPr>
                  <w:tcW w:w="487" w:type="pct"/>
                  <w:gridSpan w:val="2"/>
                  <w:tcBorders>
                    <w:right w:val="nil"/>
                  </w:tcBorders>
                  <w:vAlign w:val="center"/>
                </w:tcPr>
                <w:p>
                  <w:pPr>
                    <w:jc w:val="center"/>
                    <w:rPr>
                      <w:color w:val="auto"/>
                      <w:szCs w:val="21"/>
                    </w:rPr>
                  </w:pPr>
                  <w:r>
                    <w:rPr>
                      <w:color w:val="auto"/>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21" w:type="pct"/>
                <w:jc w:val="center"/>
              </w:trPr>
              <w:tc>
                <w:tcPr>
                  <w:tcW w:w="323" w:type="pct"/>
                  <w:tcBorders>
                    <w:left w:val="nil"/>
                  </w:tcBorders>
                  <w:vAlign w:val="center"/>
                </w:tcPr>
                <w:p>
                  <w:pPr>
                    <w:jc w:val="center"/>
                    <w:rPr>
                      <w:color w:val="auto"/>
                      <w:szCs w:val="21"/>
                    </w:rPr>
                  </w:pPr>
                  <w:r>
                    <w:rPr>
                      <w:color w:val="auto"/>
                      <w:szCs w:val="21"/>
                    </w:rPr>
                    <w:t>污染物排放管控</w:t>
                  </w:r>
                </w:p>
              </w:tc>
              <w:tc>
                <w:tcPr>
                  <w:tcW w:w="3243" w:type="pct"/>
                  <w:gridSpan w:val="2"/>
                  <w:vAlign w:val="center"/>
                </w:tcPr>
                <w:p>
                  <w:pPr>
                    <w:jc w:val="center"/>
                    <w:rPr>
                      <w:color w:val="auto"/>
                      <w:szCs w:val="21"/>
                    </w:rPr>
                  </w:pPr>
                  <w:r>
                    <w:rPr>
                      <w:color w:val="auto"/>
                      <w:szCs w:val="21"/>
                    </w:rPr>
                    <w:t>按照《淮河流域水体污染防治暂行条例》实施排污总量控制制度。</w:t>
                  </w:r>
                </w:p>
              </w:tc>
              <w:tc>
                <w:tcPr>
                  <w:tcW w:w="823" w:type="pct"/>
                  <w:gridSpan w:val="2"/>
                  <w:vAlign w:val="center"/>
                </w:tcPr>
                <w:p>
                  <w:pPr>
                    <w:jc w:val="center"/>
                    <w:rPr>
                      <w:color w:val="auto"/>
                      <w:szCs w:val="21"/>
                    </w:rPr>
                  </w:pPr>
                  <w:r>
                    <w:rPr>
                      <w:color w:val="auto"/>
                      <w:szCs w:val="21"/>
                    </w:rPr>
                    <w:t>本项目按照相关规定实施总量控制。</w:t>
                  </w:r>
                </w:p>
              </w:tc>
              <w:tc>
                <w:tcPr>
                  <w:tcW w:w="487" w:type="pct"/>
                  <w:gridSpan w:val="2"/>
                  <w:tcBorders>
                    <w:right w:val="nil"/>
                  </w:tcBorders>
                  <w:vAlign w:val="center"/>
                </w:tcPr>
                <w:p>
                  <w:pPr>
                    <w:jc w:val="center"/>
                    <w:rPr>
                      <w:color w:val="auto"/>
                      <w:szCs w:val="21"/>
                    </w:rPr>
                  </w:pPr>
                  <w:r>
                    <w:rPr>
                      <w:color w:val="auto"/>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21" w:type="pct"/>
                <w:jc w:val="center"/>
              </w:trPr>
              <w:tc>
                <w:tcPr>
                  <w:tcW w:w="323" w:type="pct"/>
                  <w:tcBorders>
                    <w:left w:val="nil"/>
                  </w:tcBorders>
                  <w:vAlign w:val="center"/>
                </w:tcPr>
                <w:p>
                  <w:pPr>
                    <w:jc w:val="center"/>
                    <w:rPr>
                      <w:color w:val="auto"/>
                      <w:szCs w:val="21"/>
                    </w:rPr>
                  </w:pPr>
                  <w:r>
                    <w:rPr>
                      <w:color w:val="auto"/>
                      <w:szCs w:val="21"/>
                    </w:rPr>
                    <w:t>环境风险防控</w:t>
                  </w:r>
                </w:p>
              </w:tc>
              <w:tc>
                <w:tcPr>
                  <w:tcW w:w="3243" w:type="pct"/>
                  <w:gridSpan w:val="2"/>
                  <w:vAlign w:val="center"/>
                </w:tcPr>
                <w:p>
                  <w:pPr>
                    <w:jc w:val="center"/>
                    <w:rPr>
                      <w:color w:val="auto"/>
                      <w:szCs w:val="21"/>
                    </w:rPr>
                  </w:pPr>
                  <w:r>
                    <w:rPr>
                      <w:color w:val="auto"/>
                      <w:szCs w:val="21"/>
                    </w:rPr>
                    <w:t>禁止运输剧毒化学品以及国家规定禁止通过内河运输的其他危险化学品的船舶进入通榆河及主要供水河道。</w:t>
                  </w:r>
                </w:p>
              </w:tc>
              <w:tc>
                <w:tcPr>
                  <w:tcW w:w="823" w:type="pct"/>
                  <w:gridSpan w:val="2"/>
                  <w:vAlign w:val="center"/>
                </w:tcPr>
                <w:p>
                  <w:pPr>
                    <w:jc w:val="center"/>
                    <w:rPr>
                      <w:color w:val="auto"/>
                      <w:szCs w:val="21"/>
                    </w:rPr>
                  </w:pPr>
                  <w:r>
                    <w:rPr>
                      <w:color w:val="auto"/>
                      <w:szCs w:val="21"/>
                    </w:rPr>
                    <w:t>本项目不涉及剧毒化学品和其他危险化学品，运输均为陆运，不涉及水运。</w:t>
                  </w:r>
                </w:p>
              </w:tc>
              <w:tc>
                <w:tcPr>
                  <w:tcW w:w="487" w:type="pct"/>
                  <w:gridSpan w:val="2"/>
                  <w:tcBorders>
                    <w:right w:val="nil"/>
                  </w:tcBorders>
                  <w:vAlign w:val="center"/>
                </w:tcPr>
                <w:p>
                  <w:pPr>
                    <w:jc w:val="center"/>
                    <w:rPr>
                      <w:color w:val="auto"/>
                      <w:szCs w:val="21"/>
                    </w:rPr>
                  </w:pPr>
                  <w:r>
                    <w:rPr>
                      <w:color w:val="auto"/>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21" w:type="pct"/>
                <w:jc w:val="center"/>
              </w:trPr>
              <w:tc>
                <w:tcPr>
                  <w:tcW w:w="323" w:type="pct"/>
                  <w:tcBorders>
                    <w:left w:val="nil"/>
                  </w:tcBorders>
                  <w:vAlign w:val="center"/>
                </w:tcPr>
                <w:p>
                  <w:pPr>
                    <w:jc w:val="center"/>
                    <w:rPr>
                      <w:color w:val="auto"/>
                      <w:szCs w:val="21"/>
                    </w:rPr>
                  </w:pPr>
                  <w:r>
                    <w:rPr>
                      <w:color w:val="auto"/>
                      <w:szCs w:val="21"/>
                    </w:rPr>
                    <w:t>资源利用效率要求</w:t>
                  </w:r>
                </w:p>
              </w:tc>
              <w:tc>
                <w:tcPr>
                  <w:tcW w:w="3243" w:type="pct"/>
                  <w:gridSpan w:val="2"/>
                  <w:vAlign w:val="center"/>
                </w:tcPr>
                <w:p>
                  <w:pPr>
                    <w:jc w:val="center"/>
                    <w:rPr>
                      <w:color w:val="auto"/>
                      <w:szCs w:val="21"/>
                    </w:rPr>
                  </w:pPr>
                  <w:r>
                    <w:rPr>
                      <w:color w:val="auto"/>
                      <w:szCs w:val="21"/>
                    </w:rPr>
                    <w:t>限制缺水地区发</w:t>
                  </w:r>
                  <w:r>
                    <w:rPr>
                      <w:rFonts w:hint="eastAsia"/>
                      <w:color w:val="auto"/>
                    </w:rPr>
                    <w:t>展</w:t>
                  </w:r>
                  <w:r>
                    <w:rPr>
                      <w:color w:val="auto"/>
                      <w:szCs w:val="21"/>
                    </w:rPr>
                    <w:t>耗水型产业，调整缺水地区的产业结构，严格控制高耗水、高耗能和重污染的建设项目。</w:t>
                  </w:r>
                </w:p>
              </w:tc>
              <w:tc>
                <w:tcPr>
                  <w:tcW w:w="823" w:type="pct"/>
                  <w:gridSpan w:val="2"/>
                  <w:vAlign w:val="center"/>
                </w:tcPr>
                <w:p>
                  <w:pPr>
                    <w:jc w:val="center"/>
                    <w:rPr>
                      <w:color w:val="auto"/>
                      <w:szCs w:val="21"/>
                    </w:rPr>
                  </w:pPr>
                  <w:r>
                    <w:rPr>
                      <w:color w:val="auto"/>
                      <w:szCs w:val="21"/>
                    </w:rPr>
                    <w:t>本项目不属于高耗水、高耗能和重污染的建设项目。</w:t>
                  </w:r>
                </w:p>
              </w:tc>
              <w:tc>
                <w:tcPr>
                  <w:tcW w:w="487" w:type="pct"/>
                  <w:gridSpan w:val="2"/>
                  <w:tcBorders>
                    <w:right w:val="nil"/>
                  </w:tcBorders>
                  <w:vAlign w:val="center"/>
                </w:tcPr>
                <w:p>
                  <w:pPr>
                    <w:jc w:val="center"/>
                    <w:rPr>
                      <w:color w:val="auto"/>
                      <w:szCs w:val="21"/>
                    </w:rPr>
                  </w:pPr>
                  <w:r>
                    <w:rPr>
                      <w:color w:val="auto"/>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1" w:type="pct"/>
                <w:jc w:val="center"/>
              </w:trPr>
              <w:tc>
                <w:tcPr>
                  <w:tcW w:w="4878" w:type="pct"/>
                  <w:gridSpan w:val="8"/>
                  <w:tcBorders>
                    <w:left w:val="nil"/>
                    <w:right w:val="nil"/>
                  </w:tcBorders>
                  <w:vAlign w:val="center"/>
                </w:tcPr>
                <w:p>
                  <w:pPr>
                    <w:jc w:val="center"/>
                    <w:rPr>
                      <w:color w:val="auto"/>
                      <w:szCs w:val="21"/>
                    </w:rPr>
                  </w:pPr>
                  <w:r>
                    <w:rPr>
                      <w:b/>
                      <w:bCs/>
                      <w:color w:val="auto"/>
                      <w:szCs w:val="21"/>
                    </w:rPr>
                    <w:t>江苏省省域生态环境管控要求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21" w:type="pct"/>
                <w:jc w:val="center"/>
              </w:trPr>
              <w:tc>
                <w:tcPr>
                  <w:tcW w:w="323" w:type="pct"/>
                  <w:tcBorders>
                    <w:left w:val="nil"/>
                  </w:tcBorders>
                  <w:vAlign w:val="center"/>
                </w:tcPr>
                <w:p>
                  <w:pPr>
                    <w:jc w:val="center"/>
                    <w:rPr>
                      <w:b/>
                      <w:color w:val="auto"/>
                      <w:szCs w:val="21"/>
                    </w:rPr>
                  </w:pPr>
                  <w:r>
                    <w:rPr>
                      <w:b/>
                      <w:color w:val="auto"/>
                      <w:szCs w:val="21"/>
                    </w:rPr>
                    <w:t>管控类别</w:t>
                  </w:r>
                </w:p>
              </w:tc>
              <w:tc>
                <w:tcPr>
                  <w:tcW w:w="3243" w:type="pct"/>
                  <w:gridSpan w:val="2"/>
                  <w:vAlign w:val="center"/>
                </w:tcPr>
                <w:p>
                  <w:pPr>
                    <w:jc w:val="center"/>
                    <w:rPr>
                      <w:b/>
                      <w:color w:val="auto"/>
                      <w:szCs w:val="21"/>
                    </w:rPr>
                  </w:pPr>
                  <w:r>
                    <w:rPr>
                      <w:b/>
                      <w:color w:val="auto"/>
                      <w:szCs w:val="21"/>
                    </w:rPr>
                    <w:t>重点管控要求</w:t>
                  </w:r>
                </w:p>
              </w:tc>
              <w:tc>
                <w:tcPr>
                  <w:tcW w:w="823" w:type="pct"/>
                  <w:gridSpan w:val="2"/>
                  <w:vAlign w:val="center"/>
                </w:tcPr>
                <w:p>
                  <w:pPr>
                    <w:jc w:val="center"/>
                    <w:rPr>
                      <w:b/>
                      <w:color w:val="auto"/>
                      <w:szCs w:val="21"/>
                    </w:rPr>
                  </w:pPr>
                  <w:r>
                    <w:rPr>
                      <w:b/>
                      <w:color w:val="auto"/>
                      <w:szCs w:val="21"/>
                    </w:rPr>
                    <w:t>本项目建设情况</w:t>
                  </w:r>
                </w:p>
              </w:tc>
              <w:tc>
                <w:tcPr>
                  <w:tcW w:w="487" w:type="pct"/>
                  <w:gridSpan w:val="2"/>
                  <w:tcBorders>
                    <w:right w:val="nil"/>
                  </w:tcBorders>
                  <w:vAlign w:val="center"/>
                </w:tcPr>
                <w:p>
                  <w:pPr>
                    <w:jc w:val="center"/>
                    <w:rPr>
                      <w:b/>
                      <w:color w:val="auto"/>
                      <w:szCs w:val="21"/>
                    </w:rPr>
                  </w:pPr>
                  <w:r>
                    <w:rPr>
                      <w:b/>
                      <w:color w:val="auto"/>
                      <w:szCs w:val="21"/>
                    </w:rPr>
                    <w:t>相符性分析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21" w:type="pct"/>
                <w:jc w:val="center"/>
              </w:trPr>
              <w:tc>
                <w:tcPr>
                  <w:tcW w:w="323" w:type="pct"/>
                  <w:tcBorders>
                    <w:left w:val="nil"/>
                  </w:tcBorders>
                  <w:vAlign w:val="center"/>
                </w:tcPr>
                <w:p>
                  <w:pPr>
                    <w:jc w:val="center"/>
                    <w:rPr>
                      <w:b/>
                      <w:color w:val="auto"/>
                      <w:szCs w:val="21"/>
                    </w:rPr>
                  </w:pPr>
                  <w:r>
                    <w:rPr>
                      <w:color w:val="auto"/>
                      <w:szCs w:val="21"/>
                    </w:rPr>
                    <w:t>空间布局约束</w:t>
                  </w:r>
                </w:p>
              </w:tc>
              <w:tc>
                <w:tcPr>
                  <w:tcW w:w="3243" w:type="pct"/>
                  <w:gridSpan w:val="2"/>
                  <w:vAlign w:val="center"/>
                </w:tcPr>
                <w:p>
                  <w:pPr>
                    <w:jc w:val="center"/>
                    <w:rPr>
                      <w:b/>
                      <w:color w:val="auto"/>
                      <w:szCs w:val="21"/>
                    </w:rPr>
                  </w:pPr>
                  <w:r>
                    <w:rPr>
                      <w:color w:val="auto"/>
                      <w:szCs w:val="21"/>
                    </w:rPr>
                    <w:t>1．按照《自然资源部生态环境部国家林业和草原局关于加强生态保护红线管理的通知（试行）》（自然资发〔2022〕142号）、《省政府关于印发江苏省生态空间管控区域规划的通知》（苏政发〔2020〕1号）、《关于进一步加强生态保护红线监督管理的通知》（苏自然函（2023）880号）、《江苏省国土空间规划（2021—2035年）》（国函〔2023〕69号），坚持节约优先、保护优先、自然恢复为主的方针，以改善生态环境质量为核心，以保障和维护生态功能为主线，统筹山水林田湖草一体化保护和修复，严守生态保护红线，实行最严格的生态空间管控制度，确保全省生态功能不降低、面积不减少、性质不改变，切实维护生态安全。生态保护红线不低于1.82万平方千米，其中海洋生态保护红线不低于0.95万平方千米。2．牢牢把握推动长江经济带发展“共抓大保护，不搞大开发”战略导向，对省域范围内需要重点保护的岸线、河段和区域实行严格管控，管住控好排放量大、耗能高、产能过剩的产业，推动长江经济带高质量发展。3．大幅压减沿长江干支流两侧1公里范围内、环境敏感区域、城镇人口密集区、化工园区外和规模以下化工生产企业，着力破解“重化围江”突出问题，高起点同步推进沿江地区战略性转型和沿海地区战略性布局。4．全省钢铁行业坚持布局调整和产能整合相结合，坚持企业搬迁与转型升级相结合，鼓励有条件的企业实施跨地区、跨所有制的兼并重组，高起点、高标准规划建设沿海精品钢基地，做精做优沿江特钢产业基地，加快推动全省钢铁行业转型升级优化布局。5．对列入国家和省规划，涉及生态保护红线和相关法定保护区的重大民生项目、重大基础设施项目（交通基础设施项目等），应优化空间布局（选线）、主动避让；确实无法避让的，应采取无害化方式（如无害化穿、跨越方式等），依法依规履行行政审批手续，强化减缓生态环境影响和生态补偿措施。</w:t>
                  </w:r>
                </w:p>
              </w:tc>
              <w:tc>
                <w:tcPr>
                  <w:tcW w:w="823" w:type="pct"/>
                  <w:gridSpan w:val="2"/>
                  <w:vAlign w:val="center"/>
                </w:tcPr>
                <w:p>
                  <w:pPr>
                    <w:jc w:val="center"/>
                    <w:rPr>
                      <w:bCs/>
                      <w:color w:val="auto"/>
                      <w:szCs w:val="21"/>
                    </w:rPr>
                  </w:pPr>
                  <w:r>
                    <w:rPr>
                      <w:rFonts w:hint="eastAsia"/>
                      <w:bCs/>
                      <w:color w:val="auto"/>
                      <w:szCs w:val="21"/>
                    </w:rPr>
                    <w:t>1、本项目位于江苏省淮安市淮阴区古清口街道农科村淮三路168号，不占用生态保护红线；2、本企业不属于</w:t>
                  </w:r>
                  <w:r>
                    <w:rPr>
                      <w:color w:val="auto"/>
                      <w:szCs w:val="21"/>
                    </w:rPr>
                    <w:t>高耗水、高耗能和重污染的建设项目</w:t>
                  </w:r>
                  <w:r>
                    <w:rPr>
                      <w:rFonts w:hint="eastAsia"/>
                      <w:color w:val="auto"/>
                      <w:szCs w:val="21"/>
                    </w:rPr>
                    <w:t>；3、本项目不属于</w:t>
                  </w:r>
                  <w:r>
                    <w:rPr>
                      <w:color w:val="auto"/>
                      <w:szCs w:val="21"/>
                    </w:rPr>
                    <w:t>沿长江干支流两侧1公里范围内、环境敏感区域、城镇人口密集区、化工园区外和规模以下化工生产企业</w:t>
                  </w:r>
                  <w:r>
                    <w:rPr>
                      <w:rFonts w:hint="eastAsia"/>
                      <w:color w:val="auto"/>
                      <w:szCs w:val="21"/>
                    </w:rPr>
                    <w:t>；4、本项目不属于钢铁行业；5、本项目不属于列入国家和省规划，涉及生态保护红线和相关法定保护区的重大民生项目、重大基础设施项目。</w:t>
                  </w:r>
                </w:p>
              </w:tc>
              <w:tc>
                <w:tcPr>
                  <w:tcW w:w="487" w:type="pct"/>
                  <w:gridSpan w:val="2"/>
                  <w:tcBorders>
                    <w:right w:val="nil"/>
                  </w:tcBorders>
                  <w:vAlign w:val="center"/>
                </w:tcPr>
                <w:p>
                  <w:pPr>
                    <w:jc w:val="center"/>
                    <w:rPr>
                      <w:bCs/>
                      <w:color w:val="auto"/>
                      <w:szCs w:val="21"/>
                    </w:rPr>
                  </w:pPr>
                  <w:r>
                    <w:rPr>
                      <w:color w:val="auto"/>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21" w:type="pct"/>
                <w:jc w:val="center"/>
              </w:trPr>
              <w:tc>
                <w:tcPr>
                  <w:tcW w:w="323" w:type="pct"/>
                  <w:tcBorders>
                    <w:left w:val="nil"/>
                  </w:tcBorders>
                  <w:vAlign w:val="center"/>
                </w:tcPr>
                <w:p>
                  <w:pPr>
                    <w:jc w:val="center"/>
                    <w:rPr>
                      <w:b/>
                      <w:color w:val="auto"/>
                      <w:szCs w:val="21"/>
                    </w:rPr>
                  </w:pPr>
                  <w:r>
                    <w:rPr>
                      <w:color w:val="auto"/>
                      <w:szCs w:val="21"/>
                    </w:rPr>
                    <w:t>污染物排放管控</w:t>
                  </w:r>
                </w:p>
              </w:tc>
              <w:tc>
                <w:tcPr>
                  <w:tcW w:w="3243" w:type="pct"/>
                  <w:gridSpan w:val="2"/>
                  <w:vAlign w:val="center"/>
                </w:tcPr>
                <w:p>
                  <w:pPr>
                    <w:jc w:val="center"/>
                    <w:rPr>
                      <w:b/>
                      <w:color w:val="auto"/>
                      <w:szCs w:val="21"/>
                    </w:rPr>
                  </w:pPr>
                  <w:r>
                    <w:rPr>
                      <w:color w:val="auto"/>
                      <w:szCs w:val="21"/>
                    </w:rPr>
                    <w:t>1．坚持生态环境质量只能更好、不能变坏，实施污染物总量控制，以环境容量定产业、定项目、定规模，确保开发建设行为不突破生态环境承载力。2．2025年，主要污染物排放减排完成国家下达任务，单位工业增加值二氧化碳排放量下降20%，主要高耗能行业单位产品二氧化碳排放达到世界先进水平。实施氮氧化物（NOx）和VOCs协同减排，推进多污染物和关联区域连防联控。</w:t>
                  </w:r>
                </w:p>
              </w:tc>
              <w:tc>
                <w:tcPr>
                  <w:tcW w:w="823" w:type="pct"/>
                  <w:gridSpan w:val="2"/>
                  <w:vAlign w:val="center"/>
                </w:tcPr>
                <w:p>
                  <w:pPr>
                    <w:jc w:val="center"/>
                    <w:rPr>
                      <w:bCs/>
                      <w:color w:val="auto"/>
                      <w:szCs w:val="21"/>
                    </w:rPr>
                  </w:pPr>
                  <w:r>
                    <w:rPr>
                      <w:rFonts w:hint="eastAsia" w:ascii="宋体" w:hAnsi="宋体" w:cs="宋体"/>
                      <w:bCs/>
                      <w:color w:val="auto"/>
                      <w:szCs w:val="21"/>
                    </w:rPr>
                    <w:t>1、本项目废气、废水污染物在区域内平衡，不突破区域生态环境承载力；2、本项目不是</w:t>
                  </w:r>
                  <w:r>
                    <w:rPr>
                      <w:rFonts w:hint="eastAsia" w:ascii="宋体" w:hAnsi="宋体" w:cs="宋体"/>
                      <w:color w:val="auto"/>
                      <w:szCs w:val="21"/>
                    </w:rPr>
                    <w:t>主要高耗能行业。</w:t>
                  </w:r>
                </w:p>
              </w:tc>
              <w:tc>
                <w:tcPr>
                  <w:tcW w:w="487" w:type="pct"/>
                  <w:gridSpan w:val="2"/>
                  <w:tcBorders>
                    <w:right w:val="nil"/>
                  </w:tcBorders>
                  <w:vAlign w:val="center"/>
                </w:tcPr>
                <w:p>
                  <w:pPr>
                    <w:jc w:val="center"/>
                    <w:rPr>
                      <w:bCs/>
                      <w:color w:val="auto"/>
                      <w:szCs w:val="21"/>
                    </w:rPr>
                  </w:pPr>
                  <w:r>
                    <w:rPr>
                      <w:color w:val="auto"/>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21" w:type="pct"/>
                <w:jc w:val="center"/>
              </w:trPr>
              <w:tc>
                <w:tcPr>
                  <w:tcW w:w="323" w:type="pct"/>
                  <w:tcBorders>
                    <w:left w:val="nil"/>
                  </w:tcBorders>
                  <w:vAlign w:val="center"/>
                </w:tcPr>
                <w:p>
                  <w:pPr>
                    <w:jc w:val="center"/>
                    <w:rPr>
                      <w:b/>
                      <w:color w:val="auto"/>
                      <w:szCs w:val="21"/>
                    </w:rPr>
                  </w:pPr>
                  <w:r>
                    <w:rPr>
                      <w:color w:val="auto"/>
                      <w:szCs w:val="21"/>
                    </w:rPr>
                    <w:t>环境风险防控</w:t>
                  </w:r>
                </w:p>
              </w:tc>
              <w:tc>
                <w:tcPr>
                  <w:tcW w:w="3243" w:type="pct"/>
                  <w:gridSpan w:val="2"/>
                  <w:vAlign w:val="center"/>
                </w:tcPr>
                <w:p>
                  <w:pPr>
                    <w:jc w:val="center"/>
                    <w:rPr>
                      <w:b/>
                      <w:color w:val="auto"/>
                      <w:szCs w:val="21"/>
                    </w:rPr>
                  </w:pPr>
                  <w:r>
                    <w:rPr>
                      <w:color w:val="auto"/>
                      <w:szCs w:val="21"/>
                    </w:rPr>
                    <w:t>1．强化饮用水水源环境风险管控。县级以上城市全部建成应急水源或双源供水。2．强化化工行业环境风险管控。重点加强化学工业园区、涉及大宗危化品使用企业、贮存和运输危化品的港口码头、尾矿库、集中式污水处理厂、危废处理企业的环境风险防控；严厉打击危险废物非法转移、处置和倾倒行为；加强关闭搬迁化工企业及遗留地块的调查评估、风险管控、治理修复。3．强化环境事故应急管理。深化跨部门、跨区域环境应急协调联动，分区域建立环境应急物资储备库。各级工业园区（集聚区）和企业的环境应急装备和储备物资应纳入储备体系。4．强化环境风险防控能力建设。按照统一信息平台、统一监管力度、统一应急等级、协同应急救援的思路，在沿江发展带、沿海发展带、环太湖等地区构建区域性环境风险预警应急响应机制，实施区域突发环境风险预警联防联控。</w:t>
                  </w:r>
                </w:p>
              </w:tc>
              <w:tc>
                <w:tcPr>
                  <w:tcW w:w="823" w:type="pct"/>
                  <w:gridSpan w:val="2"/>
                  <w:vAlign w:val="center"/>
                </w:tcPr>
                <w:p>
                  <w:pPr>
                    <w:jc w:val="center"/>
                    <w:rPr>
                      <w:bCs/>
                      <w:color w:val="auto"/>
                      <w:szCs w:val="21"/>
                    </w:rPr>
                  </w:pPr>
                  <w:r>
                    <w:rPr>
                      <w:bCs/>
                      <w:color w:val="auto"/>
                      <w:szCs w:val="21"/>
                    </w:rPr>
                    <w:t>1</w:t>
                  </w:r>
                  <w:r>
                    <w:rPr>
                      <w:rFonts w:hint="eastAsia"/>
                      <w:bCs/>
                      <w:color w:val="auto"/>
                      <w:szCs w:val="21"/>
                    </w:rPr>
                    <w:t>、</w:t>
                  </w:r>
                  <w:r>
                    <w:rPr>
                      <w:bCs/>
                      <w:color w:val="auto"/>
                      <w:szCs w:val="21"/>
                    </w:rPr>
                    <w:t>.本项目不涉及饮用水水源保护区；2</w:t>
                  </w:r>
                  <w:r>
                    <w:rPr>
                      <w:rFonts w:hint="eastAsia"/>
                      <w:bCs/>
                      <w:color w:val="auto"/>
                      <w:szCs w:val="21"/>
                    </w:rPr>
                    <w:t>、</w:t>
                  </w:r>
                  <w:r>
                    <w:rPr>
                      <w:bCs/>
                      <w:color w:val="auto"/>
                      <w:szCs w:val="21"/>
                    </w:rPr>
                    <w:t>建设单位已按照相关要求建立环境风险防控措施，降低对周边水环境的风险，本项目严格执行转移联单制度；3</w:t>
                  </w:r>
                  <w:r>
                    <w:rPr>
                      <w:rFonts w:hint="eastAsia"/>
                      <w:bCs/>
                      <w:color w:val="auto"/>
                      <w:szCs w:val="21"/>
                    </w:rPr>
                    <w:t>、</w:t>
                  </w:r>
                  <w:r>
                    <w:rPr>
                      <w:bCs/>
                      <w:color w:val="auto"/>
                      <w:szCs w:val="21"/>
                    </w:rPr>
                    <w:t>建设单位</w:t>
                  </w:r>
                  <w:r>
                    <w:rPr>
                      <w:rFonts w:hint="eastAsia"/>
                      <w:bCs/>
                      <w:color w:val="auto"/>
                      <w:szCs w:val="21"/>
                    </w:rPr>
                    <w:t>将</w:t>
                  </w:r>
                  <w:r>
                    <w:rPr>
                      <w:bCs/>
                      <w:color w:val="auto"/>
                      <w:szCs w:val="21"/>
                    </w:rPr>
                    <w:t>建立环境应急装备、储备物资和应急队伍；4、本项目应急装备、储备物资和应急队伍与园区有效衔接，实行突发环境风险预警联防联控。</w:t>
                  </w:r>
                </w:p>
              </w:tc>
              <w:tc>
                <w:tcPr>
                  <w:tcW w:w="487" w:type="pct"/>
                  <w:gridSpan w:val="2"/>
                  <w:tcBorders>
                    <w:right w:val="nil"/>
                  </w:tcBorders>
                  <w:vAlign w:val="center"/>
                </w:tcPr>
                <w:p>
                  <w:pPr>
                    <w:jc w:val="center"/>
                    <w:rPr>
                      <w:bCs/>
                      <w:color w:val="auto"/>
                      <w:szCs w:val="21"/>
                    </w:rPr>
                  </w:pPr>
                  <w:r>
                    <w:rPr>
                      <w:color w:val="auto"/>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21" w:type="pct"/>
                <w:jc w:val="center"/>
              </w:trPr>
              <w:tc>
                <w:tcPr>
                  <w:tcW w:w="323" w:type="pct"/>
                  <w:tcBorders>
                    <w:left w:val="nil"/>
                    <w:bottom w:val="single" w:color="auto" w:sz="12" w:space="0"/>
                  </w:tcBorders>
                  <w:vAlign w:val="center"/>
                </w:tcPr>
                <w:p>
                  <w:pPr>
                    <w:jc w:val="center"/>
                    <w:rPr>
                      <w:b/>
                      <w:color w:val="auto"/>
                      <w:szCs w:val="21"/>
                    </w:rPr>
                  </w:pPr>
                  <w:r>
                    <w:rPr>
                      <w:color w:val="auto"/>
                      <w:szCs w:val="21"/>
                    </w:rPr>
                    <w:t>资源利用效率要求</w:t>
                  </w:r>
                </w:p>
              </w:tc>
              <w:tc>
                <w:tcPr>
                  <w:tcW w:w="3243" w:type="pct"/>
                  <w:gridSpan w:val="2"/>
                  <w:tcBorders>
                    <w:bottom w:val="single" w:color="auto" w:sz="12" w:space="0"/>
                  </w:tcBorders>
                  <w:vAlign w:val="center"/>
                </w:tcPr>
                <w:p>
                  <w:pPr>
                    <w:jc w:val="center"/>
                    <w:rPr>
                      <w:b/>
                      <w:color w:val="auto"/>
                      <w:szCs w:val="21"/>
                    </w:rPr>
                  </w:pPr>
                  <w:r>
                    <w:rPr>
                      <w:color w:val="auto"/>
                      <w:szCs w:val="21"/>
                    </w:rPr>
                    <w:t>1．水资源利用总量及效率要求：到2025年，全省用水总量控制在525.9亿立方米以内，万元地区生产总值用水量、万元工业增加值用水量下降完成国家下达目标，农田灌溉水有效利用系数提高到0.625。2．土地资源总量要求：到2025年，江苏省耕地保有量不低于5977万亩，其中永久基本农田保护面积不低于5344万亩。3．禁燃区要求：在禁燃区内，禁止销售、燃用高污染燃料；禁止新建、扩建燃用高污染燃料的设施，已建成的，应当在城市人民政府规定的期限内改用天然气、页岩气、液化石油气、电或者其他清洁能源。</w:t>
                  </w:r>
                </w:p>
              </w:tc>
              <w:tc>
                <w:tcPr>
                  <w:tcW w:w="823" w:type="pct"/>
                  <w:gridSpan w:val="2"/>
                  <w:tcBorders>
                    <w:bottom w:val="single" w:color="auto" w:sz="12" w:space="0"/>
                  </w:tcBorders>
                  <w:vAlign w:val="center"/>
                </w:tcPr>
                <w:p>
                  <w:pPr>
                    <w:pStyle w:val="49"/>
                    <w:jc w:val="center"/>
                    <w:rPr>
                      <w:rFonts w:ascii="Times New Roman" w:hAnsi="Times New Roman"/>
                      <w:bCs/>
                      <w:color w:val="auto"/>
                      <w:sz w:val="21"/>
                      <w:szCs w:val="21"/>
                      <w:lang w:eastAsia="zh-CN"/>
                    </w:rPr>
                  </w:pPr>
                  <w:r>
                    <w:rPr>
                      <w:rFonts w:ascii="Times New Roman" w:hAnsi="Times New Roman"/>
                      <w:color w:val="auto"/>
                      <w:spacing w:val="-2"/>
                      <w:sz w:val="21"/>
                      <w:szCs w:val="21"/>
                      <w:lang w:eastAsia="zh-CN"/>
                    </w:rPr>
                    <w:t>1</w:t>
                  </w:r>
                  <w:r>
                    <w:rPr>
                      <w:rFonts w:hint="eastAsia" w:ascii="Times New Roman" w:hAnsi="Times New Roman"/>
                      <w:color w:val="auto"/>
                      <w:spacing w:val="-2"/>
                      <w:sz w:val="21"/>
                      <w:szCs w:val="21"/>
                      <w:lang w:eastAsia="zh-CN"/>
                    </w:rPr>
                    <w:t>、</w:t>
                  </w:r>
                  <w:r>
                    <w:rPr>
                      <w:rFonts w:ascii="Times New Roman" w:hAnsi="Times New Roman"/>
                      <w:color w:val="auto"/>
                      <w:spacing w:val="-2"/>
                      <w:sz w:val="21"/>
                      <w:szCs w:val="21"/>
                      <w:lang w:eastAsia="zh-CN"/>
                    </w:rPr>
                    <w:t>本项目用水由区域</w:t>
                  </w:r>
                  <w:r>
                    <w:rPr>
                      <w:rFonts w:ascii="Times New Roman" w:hAnsi="Times New Roman"/>
                      <w:color w:val="auto"/>
                      <w:spacing w:val="18"/>
                      <w:sz w:val="21"/>
                      <w:szCs w:val="21"/>
                      <w:lang w:eastAsia="zh-CN"/>
                    </w:rPr>
                    <w:t>供水管网供给，不突破水资源利用上</w:t>
                  </w:r>
                  <w:r>
                    <w:rPr>
                      <w:rFonts w:ascii="Times New Roman" w:hAnsi="Times New Roman"/>
                      <w:color w:val="auto"/>
                      <w:spacing w:val="-1"/>
                      <w:sz w:val="21"/>
                      <w:szCs w:val="21"/>
                      <w:lang w:eastAsia="zh-CN"/>
                    </w:rPr>
                    <w:t>限；</w:t>
                  </w:r>
                  <w:r>
                    <w:rPr>
                      <w:rFonts w:ascii="Times New Roman" w:hAnsi="Times New Roman"/>
                      <w:color w:val="auto"/>
                      <w:sz w:val="21"/>
                      <w:szCs w:val="21"/>
                      <w:lang w:eastAsia="zh-CN"/>
                    </w:rPr>
                    <w:t>2</w:t>
                  </w:r>
                  <w:r>
                    <w:rPr>
                      <w:rFonts w:hint="eastAsia" w:ascii="Times New Roman" w:hAnsi="Times New Roman"/>
                      <w:color w:val="auto"/>
                      <w:sz w:val="21"/>
                      <w:szCs w:val="21"/>
                      <w:lang w:eastAsia="zh-CN"/>
                    </w:rPr>
                    <w:t>、</w:t>
                  </w:r>
                  <w:r>
                    <w:rPr>
                      <w:rFonts w:ascii="Times New Roman" w:hAnsi="Times New Roman"/>
                      <w:color w:val="auto"/>
                      <w:sz w:val="21"/>
                      <w:szCs w:val="21"/>
                      <w:lang w:eastAsia="zh-CN"/>
                    </w:rPr>
                    <w:t>本项目用地性质为</w:t>
                  </w:r>
                  <w:r>
                    <w:rPr>
                      <w:rFonts w:ascii="Times New Roman" w:hAnsi="Times New Roman"/>
                      <w:color w:val="auto"/>
                      <w:spacing w:val="17"/>
                      <w:sz w:val="21"/>
                      <w:szCs w:val="21"/>
                      <w:lang w:eastAsia="zh-CN"/>
                    </w:rPr>
                    <w:t>工业用地，不占用</w:t>
                  </w:r>
                  <w:r>
                    <w:rPr>
                      <w:rFonts w:ascii="Times New Roman" w:hAnsi="Times New Roman"/>
                      <w:color w:val="auto"/>
                      <w:spacing w:val="-3"/>
                      <w:sz w:val="21"/>
                      <w:szCs w:val="21"/>
                      <w:lang w:eastAsia="zh-CN"/>
                    </w:rPr>
                    <w:t>永久基本农田；</w:t>
                  </w:r>
                  <w:r>
                    <w:rPr>
                      <w:rFonts w:ascii="Times New Roman" w:hAnsi="Times New Roman"/>
                      <w:color w:val="auto"/>
                      <w:spacing w:val="-1"/>
                      <w:sz w:val="21"/>
                      <w:szCs w:val="21"/>
                      <w:lang w:eastAsia="zh-CN"/>
                    </w:rPr>
                    <w:t>3</w:t>
                  </w:r>
                  <w:r>
                    <w:rPr>
                      <w:rFonts w:hint="eastAsia" w:ascii="Times New Roman" w:hAnsi="Times New Roman"/>
                      <w:color w:val="auto"/>
                      <w:spacing w:val="-1"/>
                      <w:sz w:val="21"/>
                      <w:szCs w:val="21"/>
                      <w:lang w:eastAsia="zh-CN"/>
                    </w:rPr>
                    <w:t>、</w:t>
                  </w:r>
                  <w:r>
                    <w:rPr>
                      <w:rFonts w:ascii="Times New Roman" w:hAnsi="Times New Roman"/>
                      <w:color w:val="auto"/>
                      <w:spacing w:val="-1"/>
                      <w:sz w:val="21"/>
                      <w:szCs w:val="21"/>
                      <w:lang w:eastAsia="zh-CN"/>
                    </w:rPr>
                    <w:t>本项目不涉及高污</w:t>
                  </w:r>
                  <w:r>
                    <w:rPr>
                      <w:rFonts w:ascii="Times New Roman" w:hAnsi="Times New Roman"/>
                      <w:color w:val="auto"/>
                      <w:spacing w:val="-3"/>
                      <w:sz w:val="21"/>
                      <w:szCs w:val="21"/>
                      <w:lang w:eastAsia="zh-CN"/>
                    </w:rPr>
                    <w:t>染燃料。</w:t>
                  </w:r>
                </w:p>
              </w:tc>
              <w:tc>
                <w:tcPr>
                  <w:tcW w:w="487" w:type="pct"/>
                  <w:gridSpan w:val="2"/>
                  <w:tcBorders>
                    <w:bottom w:val="single" w:color="auto" w:sz="12" w:space="0"/>
                    <w:right w:val="nil"/>
                  </w:tcBorders>
                  <w:vAlign w:val="center"/>
                </w:tcPr>
                <w:p>
                  <w:pPr>
                    <w:jc w:val="center"/>
                    <w:rPr>
                      <w:bCs/>
                      <w:color w:val="auto"/>
                      <w:szCs w:val="21"/>
                    </w:rPr>
                  </w:pPr>
                  <w:r>
                    <w:rPr>
                      <w:color w:val="auto"/>
                      <w:szCs w:val="21"/>
                    </w:rPr>
                    <w:t>符合</w:t>
                  </w:r>
                </w:p>
              </w:tc>
            </w:tr>
          </w:tbl>
          <w:p>
            <w:pPr>
              <w:pStyle w:val="16"/>
              <w:adjustRightInd w:val="0"/>
              <w:snapToGrid w:val="0"/>
              <w:spacing w:after="0" w:line="360" w:lineRule="auto"/>
              <w:ind w:left="0" w:leftChars="0" w:firstLine="480"/>
              <w:rPr>
                <w:color w:val="auto"/>
                <w:sz w:val="24"/>
                <w:szCs w:val="32"/>
              </w:rPr>
            </w:pPr>
            <w:r>
              <w:rPr>
                <w:rFonts w:hint="eastAsia"/>
                <w:color w:val="auto"/>
                <w:sz w:val="24"/>
                <w:szCs w:val="32"/>
              </w:rPr>
              <w:t>b.与《市政府关于印发淮安市“三线一单”生态环境分区管控方案的通知》（淮政发〔2020〕16号）相符性分析</w:t>
            </w:r>
          </w:p>
          <w:p>
            <w:pPr>
              <w:keepNext/>
              <w:adjustRightInd w:val="0"/>
              <w:snapToGrid w:val="0"/>
              <w:spacing w:line="360" w:lineRule="auto"/>
              <w:ind w:firstLine="480" w:firstLineChars="200"/>
              <w:rPr>
                <w:b/>
                <w:color w:val="auto"/>
                <w:sz w:val="24"/>
              </w:rPr>
            </w:pPr>
            <w:r>
              <w:rPr>
                <w:rFonts w:hint="eastAsia"/>
                <w:bCs/>
                <w:color w:val="auto"/>
                <w:sz w:val="24"/>
              </w:rPr>
              <w:t>根据《市政府关于印发淮安市“三线一单”生态环境分区管控方案的通知》（淮政发〔2020〕16号）附件2，涉及到的淮阴区环境管控单元名录见表1-3-4。</w:t>
            </w:r>
          </w:p>
          <w:p>
            <w:pPr>
              <w:keepNext/>
              <w:adjustRightInd w:val="0"/>
              <w:snapToGrid w:val="0"/>
              <w:jc w:val="center"/>
              <w:rPr>
                <w:b/>
                <w:color w:val="auto"/>
              </w:rPr>
            </w:pPr>
            <w:r>
              <w:rPr>
                <w:b/>
                <w:color w:val="auto"/>
                <w:sz w:val="24"/>
                <w:szCs w:val="32"/>
              </w:rPr>
              <w:t>表1</w:t>
            </w:r>
            <w:r>
              <w:rPr>
                <w:rFonts w:hint="eastAsia"/>
                <w:b/>
                <w:color w:val="auto"/>
                <w:sz w:val="24"/>
                <w:szCs w:val="32"/>
              </w:rPr>
              <w:t>.3-4</w:t>
            </w:r>
            <w:r>
              <w:rPr>
                <w:b/>
                <w:color w:val="auto"/>
                <w:sz w:val="24"/>
                <w:szCs w:val="32"/>
              </w:rPr>
              <w:t xml:space="preserve">  淮安市环境管控单元名录表（</w:t>
            </w:r>
            <w:r>
              <w:rPr>
                <w:rFonts w:hint="eastAsia"/>
                <w:b/>
                <w:color w:val="auto"/>
                <w:sz w:val="24"/>
                <w:szCs w:val="32"/>
              </w:rPr>
              <w:t>淮阴区</w:t>
            </w:r>
            <w:r>
              <w:rPr>
                <w:b/>
                <w:color w:val="auto"/>
                <w:sz w:val="24"/>
                <w:szCs w:val="32"/>
              </w:rPr>
              <w:t>）</w:t>
            </w:r>
          </w:p>
          <w:tbl>
            <w:tblPr>
              <w:tblStyle w:val="20"/>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
            <w:tblGrid>
              <w:gridCol w:w="507"/>
              <w:gridCol w:w="528"/>
              <w:gridCol w:w="2200"/>
              <w:gridCol w:w="2379"/>
              <w:gridCol w:w="2005"/>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332" w:type="pct"/>
                  <w:tcBorders>
                    <w:top w:val="single" w:color="auto" w:sz="12" w:space="0"/>
                    <w:left w:val="nil"/>
                    <w:bottom w:val="single" w:color="auto" w:sz="12" w:space="0"/>
                  </w:tcBorders>
                  <w:vAlign w:val="center"/>
                </w:tcPr>
                <w:p>
                  <w:pPr>
                    <w:keepNext/>
                    <w:adjustRightInd w:val="0"/>
                    <w:snapToGrid w:val="0"/>
                    <w:jc w:val="center"/>
                    <w:rPr>
                      <w:b/>
                      <w:color w:val="auto"/>
                    </w:rPr>
                  </w:pPr>
                  <w:r>
                    <w:rPr>
                      <w:b/>
                      <w:color w:val="auto"/>
                    </w:rPr>
                    <w:t>行政区</w:t>
                  </w:r>
                </w:p>
              </w:tc>
              <w:tc>
                <w:tcPr>
                  <w:tcW w:w="346" w:type="pct"/>
                  <w:tcBorders>
                    <w:top w:val="single" w:color="auto" w:sz="12" w:space="0"/>
                    <w:bottom w:val="single" w:color="auto" w:sz="12" w:space="0"/>
                  </w:tcBorders>
                  <w:vAlign w:val="center"/>
                </w:tcPr>
                <w:p>
                  <w:pPr>
                    <w:keepNext/>
                    <w:adjustRightInd w:val="0"/>
                    <w:snapToGrid w:val="0"/>
                    <w:jc w:val="center"/>
                    <w:rPr>
                      <w:b/>
                      <w:color w:val="auto"/>
                    </w:rPr>
                  </w:pPr>
                  <w:r>
                    <w:rPr>
                      <w:b/>
                      <w:color w:val="auto"/>
                    </w:rPr>
                    <w:t>单元总数</w:t>
                  </w:r>
                </w:p>
              </w:tc>
              <w:tc>
                <w:tcPr>
                  <w:tcW w:w="1444" w:type="pct"/>
                  <w:tcBorders>
                    <w:top w:val="single" w:color="auto" w:sz="12" w:space="0"/>
                    <w:bottom w:val="single" w:color="auto" w:sz="12" w:space="0"/>
                  </w:tcBorders>
                  <w:vAlign w:val="center"/>
                </w:tcPr>
                <w:p>
                  <w:pPr>
                    <w:keepNext/>
                    <w:adjustRightInd w:val="0"/>
                    <w:snapToGrid w:val="0"/>
                    <w:jc w:val="center"/>
                    <w:rPr>
                      <w:b/>
                      <w:color w:val="auto"/>
                    </w:rPr>
                  </w:pPr>
                  <w:r>
                    <w:rPr>
                      <w:b/>
                      <w:color w:val="auto"/>
                    </w:rPr>
                    <w:t>优先保护单元</w:t>
                  </w:r>
                </w:p>
                <w:p>
                  <w:pPr>
                    <w:keepNext/>
                    <w:adjustRightInd w:val="0"/>
                    <w:snapToGrid w:val="0"/>
                    <w:jc w:val="center"/>
                    <w:rPr>
                      <w:b/>
                      <w:color w:val="auto"/>
                    </w:rPr>
                  </w:pPr>
                  <w:r>
                    <w:rPr>
                      <w:b/>
                      <w:color w:val="auto"/>
                    </w:rPr>
                    <w:t>（生态保护红线、生态空间管控区域）</w:t>
                  </w:r>
                </w:p>
              </w:tc>
              <w:tc>
                <w:tcPr>
                  <w:tcW w:w="1561" w:type="pct"/>
                  <w:tcBorders>
                    <w:top w:val="single" w:color="auto" w:sz="12" w:space="0"/>
                    <w:bottom w:val="single" w:color="auto" w:sz="12" w:space="0"/>
                  </w:tcBorders>
                  <w:vAlign w:val="center"/>
                </w:tcPr>
                <w:p>
                  <w:pPr>
                    <w:keepNext/>
                    <w:adjustRightInd w:val="0"/>
                    <w:snapToGrid w:val="0"/>
                    <w:jc w:val="center"/>
                    <w:rPr>
                      <w:b/>
                      <w:color w:val="auto"/>
                    </w:rPr>
                  </w:pPr>
                  <w:r>
                    <w:rPr>
                      <w:b/>
                      <w:color w:val="auto"/>
                    </w:rPr>
                    <w:t>重点管控单元（产业园区、中心城区）</w:t>
                  </w:r>
                </w:p>
              </w:tc>
              <w:tc>
                <w:tcPr>
                  <w:tcW w:w="1316" w:type="pct"/>
                  <w:tcBorders>
                    <w:top w:val="single" w:color="auto" w:sz="12" w:space="0"/>
                    <w:bottom w:val="single" w:color="auto" w:sz="12" w:space="0"/>
                    <w:right w:val="nil"/>
                  </w:tcBorders>
                  <w:vAlign w:val="center"/>
                </w:tcPr>
                <w:p>
                  <w:pPr>
                    <w:keepNext/>
                    <w:adjustRightInd w:val="0"/>
                    <w:snapToGrid w:val="0"/>
                    <w:jc w:val="center"/>
                    <w:rPr>
                      <w:b/>
                      <w:color w:val="auto"/>
                    </w:rPr>
                  </w:pPr>
                  <w:r>
                    <w:rPr>
                      <w:b/>
                      <w:color w:val="auto"/>
                    </w:rPr>
                    <w:t>一般管控</w:t>
                  </w:r>
                </w:p>
                <w:p>
                  <w:pPr>
                    <w:keepNext/>
                    <w:adjustRightInd w:val="0"/>
                    <w:snapToGrid w:val="0"/>
                    <w:jc w:val="center"/>
                    <w:rPr>
                      <w:b/>
                      <w:color w:val="auto"/>
                    </w:rPr>
                  </w:pPr>
                  <w:r>
                    <w:rPr>
                      <w:b/>
                      <w:color w:val="auto"/>
                    </w:rPr>
                    <w:t>单元*</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332" w:type="pct"/>
                  <w:tcBorders>
                    <w:top w:val="single" w:color="auto" w:sz="12" w:space="0"/>
                    <w:left w:val="nil"/>
                  </w:tcBorders>
                  <w:vAlign w:val="center"/>
                </w:tcPr>
                <w:p>
                  <w:pPr>
                    <w:jc w:val="center"/>
                    <w:rPr>
                      <w:color w:val="auto"/>
                      <w:szCs w:val="21"/>
                    </w:rPr>
                  </w:pPr>
                  <w:r>
                    <w:rPr>
                      <w:rFonts w:hint="eastAsia"/>
                      <w:color w:val="auto"/>
                      <w:szCs w:val="21"/>
                    </w:rPr>
                    <w:t>淮阴区</w:t>
                  </w:r>
                </w:p>
              </w:tc>
              <w:tc>
                <w:tcPr>
                  <w:tcW w:w="346" w:type="pct"/>
                  <w:tcBorders>
                    <w:top w:val="single" w:color="auto" w:sz="12" w:space="0"/>
                  </w:tcBorders>
                  <w:vAlign w:val="center"/>
                </w:tcPr>
                <w:p>
                  <w:pPr>
                    <w:jc w:val="center"/>
                    <w:rPr>
                      <w:color w:val="auto"/>
                      <w:szCs w:val="21"/>
                    </w:rPr>
                  </w:pPr>
                  <w:r>
                    <w:rPr>
                      <w:color w:val="auto"/>
                      <w:szCs w:val="21"/>
                    </w:rPr>
                    <w:t>5</w:t>
                  </w:r>
                  <w:r>
                    <w:rPr>
                      <w:rFonts w:hint="eastAsia"/>
                      <w:color w:val="auto"/>
                      <w:szCs w:val="21"/>
                    </w:rPr>
                    <w:t>1</w:t>
                  </w:r>
                </w:p>
              </w:tc>
              <w:tc>
                <w:tcPr>
                  <w:tcW w:w="1444" w:type="pct"/>
                  <w:tcBorders>
                    <w:top w:val="single" w:color="auto" w:sz="12" w:space="0"/>
                  </w:tcBorders>
                  <w:vAlign w:val="center"/>
                </w:tcPr>
                <w:p>
                  <w:pPr>
                    <w:jc w:val="center"/>
                    <w:rPr>
                      <w:color w:val="auto"/>
                      <w:szCs w:val="21"/>
                    </w:rPr>
                  </w:pPr>
                  <w:r>
                    <w:rPr>
                      <w:rFonts w:hint="eastAsia"/>
                      <w:color w:val="auto"/>
                      <w:szCs w:val="21"/>
                    </w:rPr>
                    <w:t>12个</w:t>
                  </w:r>
                </w:p>
                <w:p>
                  <w:pPr>
                    <w:jc w:val="center"/>
                    <w:rPr>
                      <w:color w:val="auto"/>
                      <w:szCs w:val="21"/>
                    </w:rPr>
                  </w:pPr>
                  <w:r>
                    <w:rPr>
                      <w:rFonts w:hint="eastAsia"/>
                      <w:color w:val="auto"/>
                      <w:szCs w:val="21"/>
                    </w:rPr>
                    <w:t>淮阴区渔沟水厂饮用水水源保护区、二河（淮阴区）饮用水水源保护区、洪泽湖东部湿地湿地省级自然保护区（淮阴区）、淮阴区饮用水水源保护区、洪泽湖（淮阴区）重要湿地、民便河洪水调蓄区、淮阴区生态公益林、六塘河（淮阴区）清水通道维护区、二河生态公益林、京杭大运河（淮阴区）清水通道维护区、淮沭河洪水调蓄区、废黄河（淮阴区）重要湿地</w:t>
                  </w:r>
                </w:p>
              </w:tc>
              <w:tc>
                <w:tcPr>
                  <w:tcW w:w="1561" w:type="pct"/>
                  <w:tcBorders>
                    <w:top w:val="single" w:color="auto" w:sz="12" w:space="0"/>
                  </w:tcBorders>
                  <w:vAlign w:val="center"/>
                </w:tcPr>
                <w:p>
                  <w:pPr>
                    <w:jc w:val="center"/>
                    <w:rPr>
                      <w:color w:val="auto"/>
                      <w:szCs w:val="21"/>
                    </w:rPr>
                  </w:pPr>
                  <w:r>
                    <w:rPr>
                      <w:rFonts w:hint="eastAsia"/>
                      <w:color w:val="auto"/>
                      <w:szCs w:val="21"/>
                    </w:rPr>
                    <w:t>17个</w:t>
                  </w:r>
                </w:p>
                <w:p>
                  <w:pPr>
                    <w:jc w:val="center"/>
                    <w:rPr>
                      <w:color w:val="auto"/>
                      <w:szCs w:val="21"/>
                    </w:rPr>
                  </w:pPr>
                  <w:r>
                    <w:rPr>
                      <w:rFonts w:hint="eastAsia"/>
                      <w:color w:val="auto"/>
                      <w:szCs w:val="21"/>
                    </w:rPr>
                    <w:t>棉花庄镇工业集中区、淮安高新技术产业开发区、三树镇工业集中区、王营镇工业集中区、新渡工业集中区、淮安国家农业科技园区工业产业片区、淮阴工业新区、长江路街道办工业集中区、徐溜镇工业集中区、刘老庄镇古寨工业集中区、丁集镇工业集中区、淮安高新区渔沟工业园、淮高镇张棉机械产业园、马头镇三凌工业集中区、古清口街道桂塘工业集中区、南陈集镇工业集中区、淮安市中心城区（淮阴区）</w:t>
                  </w:r>
                </w:p>
                <w:p>
                  <w:pPr>
                    <w:jc w:val="center"/>
                    <w:rPr>
                      <w:color w:val="auto"/>
                      <w:szCs w:val="21"/>
                    </w:rPr>
                  </w:pPr>
                </w:p>
              </w:tc>
              <w:tc>
                <w:tcPr>
                  <w:tcW w:w="1316" w:type="pct"/>
                  <w:tcBorders>
                    <w:top w:val="single" w:color="auto" w:sz="12" w:space="0"/>
                    <w:bottom w:val="single" w:color="auto" w:sz="12" w:space="0"/>
                    <w:right w:val="nil"/>
                  </w:tcBorders>
                  <w:vAlign w:val="center"/>
                </w:tcPr>
                <w:p>
                  <w:pPr>
                    <w:jc w:val="center"/>
                    <w:rPr>
                      <w:color w:val="auto"/>
                      <w:szCs w:val="21"/>
                    </w:rPr>
                  </w:pPr>
                  <w:r>
                    <w:rPr>
                      <w:rFonts w:hint="eastAsia"/>
                      <w:color w:val="auto"/>
                      <w:szCs w:val="21"/>
                    </w:rPr>
                    <w:t>22个</w:t>
                  </w:r>
                </w:p>
                <w:p>
                  <w:pPr>
                    <w:jc w:val="center"/>
                    <w:rPr>
                      <w:color w:val="auto"/>
                      <w:szCs w:val="21"/>
                    </w:rPr>
                  </w:pPr>
                  <w:r>
                    <w:rPr>
                      <w:rFonts w:hint="eastAsia"/>
                      <w:color w:val="auto"/>
                      <w:szCs w:val="21"/>
                    </w:rPr>
                    <w:t>王营镇（王家营街道、长江路街道）、吴城镇（马头镇）、码头镇（马头镇）、王兴镇（淮高镇）、棉花庄镇（淮高镇）、丁集镇、五里镇（丁集镇）、高新区、古寨乡（刘老庄镇）、刘老庄镇、袁集乡</w:t>
                  </w:r>
                  <w:r>
                    <w:rPr>
                      <w:rFonts w:hint="eastAsia"/>
                      <w:b/>
                      <w:bCs/>
                      <w:color w:val="auto"/>
                      <w:szCs w:val="21"/>
                    </w:rPr>
                    <w:t>（古清口街道）</w:t>
                  </w:r>
                  <w:r>
                    <w:rPr>
                      <w:rFonts w:hint="eastAsia"/>
                      <w:color w:val="auto"/>
                      <w:szCs w:val="21"/>
                    </w:rPr>
                    <w:t>、凌桥乡（马头镇）、老张集乡（淮高镇）、新渡乡（新渡口街道）、韩桥乡（高家堰镇）、三树镇、西宋集镇（徐溜镇）、吴集镇（渔沟镇）、渔沟镇、徐溜镇、南陈集镇、赵集镇（高家堰镇）</w:t>
                  </w:r>
                </w:p>
              </w:tc>
            </w:tr>
          </w:tbl>
          <w:p>
            <w:pPr>
              <w:pStyle w:val="17"/>
              <w:ind w:firstLine="480"/>
              <w:rPr>
                <w:color w:val="auto"/>
              </w:rPr>
            </w:pPr>
            <w:r>
              <w:rPr>
                <w:rFonts w:ascii="Times New Roman" w:cs="Times New Roman"/>
                <w:b w:val="0"/>
                <w:bCs/>
                <w:color w:val="auto"/>
              </w:rPr>
              <w:t>本项目位于江苏省淮安市淮阴区古清口街道农科村淮三路168号，属于淮安市环境管控单元名录中的</w:t>
            </w:r>
            <w:r>
              <w:rPr>
                <w:rFonts w:hint="eastAsia" w:ascii="Times New Roman" w:cs="Times New Roman"/>
                <w:b w:val="0"/>
                <w:bCs/>
                <w:color w:val="auto"/>
                <w:lang w:eastAsia="zh-CN"/>
              </w:rPr>
              <w:t>一般</w:t>
            </w:r>
            <w:r>
              <w:rPr>
                <w:rFonts w:ascii="Times New Roman" w:cs="Times New Roman"/>
                <w:b w:val="0"/>
                <w:bCs/>
                <w:color w:val="auto"/>
              </w:rPr>
              <w:t>管控单元。</w:t>
            </w:r>
            <w:r>
              <w:rPr>
                <w:rFonts w:hint="eastAsia" w:ascii="Times New Roman" w:cs="Times New Roman"/>
                <w:b w:val="0"/>
                <w:bCs/>
                <w:color w:val="auto"/>
              </w:rPr>
              <w:t>对照</w:t>
            </w:r>
            <w:r>
              <w:rPr>
                <w:rFonts w:ascii="Times New Roman" w:cs="Times New Roman"/>
                <w:b w:val="0"/>
                <w:bCs/>
                <w:color w:val="auto"/>
              </w:rPr>
              <w:t>《市政府关于印发淮安市</w:t>
            </w:r>
            <w:r>
              <w:rPr>
                <w:rFonts w:hint="eastAsia" w:ascii="Times New Roman" w:cs="Times New Roman"/>
                <w:b w:val="0"/>
                <w:bCs/>
                <w:color w:val="auto"/>
              </w:rPr>
              <w:t>“</w:t>
            </w:r>
            <w:r>
              <w:rPr>
                <w:rFonts w:ascii="Times New Roman" w:cs="Times New Roman"/>
                <w:b w:val="0"/>
                <w:bCs/>
                <w:color w:val="auto"/>
              </w:rPr>
              <w:t>三线一单</w:t>
            </w:r>
            <w:r>
              <w:rPr>
                <w:rFonts w:hint="eastAsia" w:ascii="Times New Roman" w:cs="Times New Roman"/>
                <w:b w:val="0"/>
                <w:bCs/>
                <w:color w:val="auto"/>
              </w:rPr>
              <w:t>”</w:t>
            </w:r>
            <w:r>
              <w:rPr>
                <w:rFonts w:ascii="Times New Roman" w:cs="Times New Roman"/>
                <w:b w:val="0"/>
                <w:bCs/>
                <w:color w:val="auto"/>
              </w:rPr>
              <w:t>生态环境分区管控方案的通知》（淮政发〔2020〕16号）和《市政府办公室关于对淮安市“三线一单”生态环境分区管控方案内容修改的通知》（淮政办函〔2022〕5号）相符性分析见表1</w:t>
            </w:r>
            <w:r>
              <w:rPr>
                <w:rFonts w:hint="eastAsia" w:ascii="Times New Roman" w:cs="Times New Roman"/>
                <w:b w:val="0"/>
                <w:bCs/>
                <w:color w:val="auto"/>
              </w:rPr>
              <w:t>.3-5</w:t>
            </w:r>
            <w:r>
              <w:rPr>
                <w:rFonts w:ascii="Times New Roman" w:cs="Times New Roman"/>
                <w:b w:val="0"/>
                <w:bCs/>
                <w:color w:val="auto"/>
              </w:rPr>
              <w:t>。</w:t>
            </w:r>
            <w:r>
              <w:rPr>
                <w:rFonts w:hint="eastAsia" w:hAnsi="宋体"/>
                <w:b w:val="0"/>
                <w:bCs/>
                <w:color w:val="auto"/>
              </w:rPr>
              <w:t>本项目与《淮安市“三线一单”生态环境分区管控方案》中“淮安市环境管控单元图”位置关系见附图</w:t>
            </w:r>
            <w:r>
              <w:rPr>
                <w:rFonts w:hint="eastAsia" w:ascii="Times New Roman" w:cs="Times New Roman"/>
                <w:b w:val="0"/>
                <w:bCs/>
                <w:color w:val="auto"/>
                <w:lang w:val="en-US" w:eastAsia="zh-CN"/>
              </w:rPr>
              <w:t>5</w:t>
            </w:r>
            <w:r>
              <w:rPr>
                <w:rFonts w:hint="eastAsia" w:hAnsi="宋体"/>
                <w:b w:val="0"/>
                <w:bCs/>
                <w:color w:val="auto"/>
              </w:rPr>
              <w:t>。</w:t>
            </w:r>
          </w:p>
          <w:p>
            <w:pPr>
              <w:keepNext/>
              <w:adjustRightInd w:val="0"/>
              <w:snapToGrid w:val="0"/>
              <w:spacing w:line="360" w:lineRule="auto"/>
              <w:jc w:val="center"/>
              <w:rPr>
                <w:b/>
                <w:color w:val="auto"/>
              </w:rPr>
            </w:pPr>
            <w:r>
              <w:rPr>
                <w:b/>
                <w:color w:val="auto"/>
                <w:sz w:val="24"/>
                <w:szCs w:val="32"/>
              </w:rPr>
              <w:t>表1</w:t>
            </w:r>
            <w:r>
              <w:rPr>
                <w:rFonts w:hint="eastAsia"/>
                <w:b/>
                <w:color w:val="auto"/>
                <w:sz w:val="24"/>
                <w:szCs w:val="32"/>
              </w:rPr>
              <w:t>.3-5</w:t>
            </w:r>
            <w:r>
              <w:rPr>
                <w:b/>
                <w:color w:val="auto"/>
                <w:sz w:val="24"/>
                <w:szCs w:val="32"/>
              </w:rPr>
              <w:t xml:space="preserve">  与淮安市“三线一单”生态环境分区管控方案相符性分析</w:t>
            </w:r>
          </w:p>
          <w:tbl>
            <w:tblPr>
              <w:tblStyle w:val="20"/>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3"/>
              <w:gridCol w:w="3894"/>
              <w:gridCol w:w="2719"/>
              <w:gridCol w:w="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43" w:type="pct"/>
                  <w:tcBorders>
                    <w:top w:val="single" w:color="auto" w:sz="12" w:space="0"/>
                  </w:tcBorders>
                  <w:vAlign w:val="center"/>
                </w:tcPr>
                <w:p>
                  <w:pPr>
                    <w:keepNext/>
                    <w:snapToGrid w:val="0"/>
                    <w:jc w:val="center"/>
                    <w:rPr>
                      <w:b/>
                      <w:color w:val="auto"/>
                    </w:rPr>
                  </w:pPr>
                  <w:r>
                    <w:rPr>
                      <w:b/>
                      <w:color w:val="auto"/>
                    </w:rPr>
                    <w:t>管控类别</w:t>
                  </w:r>
                </w:p>
              </w:tc>
              <w:tc>
                <w:tcPr>
                  <w:tcW w:w="2561" w:type="pct"/>
                  <w:tcBorders>
                    <w:top w:val="single" w:color="auto" w:sz="12" w:space="0"/>
                  </w:tcBorders>
                  <w:vAlign w:val="center"/>
                </w:tcPr>
                <w:p>
                  <w:pPr>
                    <w:keepNext/>
                    <w:snapToGrid w:val="0"/>
                    <w:jc w:val="center"/>
                    <w:rPr>
                      <w:b/>
                      <w:color w:val="auto"/>
                    </w:rPr>
                  </w:pPr>
                  <w:r>
                    <w:rPr>
                      <w:b/>
                      <w:color w:val="auto"/>
                    </w:rPr>
                    <w:t>管控要求</w:t>
                  </w:r>
                </w:p>
              </w:tc>
              <w:tc>
                <w:tcPr>
                  <w:tcW w:w="1788" w:type="pct"/>
                  <w:tcBorders>
                    <w:top w:val="single" w:color="auto" w:sz="12" w:space="0"/>
                  </w:tcBorders>
                  <w:vAlign w:val="center"/>
                </w:tcPr>
                <w:p>
                  <w:pPr>
                    <w:keepNext/>
                    <w:snapToGrid w:val="0"/>
                    <w:jc w:val="center"/>
                    <w:rPr>
                      <w:b/>
                      <w:color w:val="auto"/>
                    </w:rPr>
                  </w:pPr>
                  <w:r>
                    <w:rPr>
                      <w:b/>
                      <w:color w:val="auto"/>
                    </w:rPr>
                    <w:t>本项目建设情况</w:t>
                  </w:r>
                </w:p>
              </w:tc>
              <w:tc>
                <w:tcPr>
                  <w:tcW w:w="306" w:type="pct"/>
                  <w:tcBorders>
                    <w:top w:val="single" w:color="auto" w:sz="12" w:space="0"/>
                    <w:right w:val="nil"/>
                  </w:tcBorders>
                  <w:vAlign w:val="center"/>
                </w:tcPr>
                <w:p>
                  <w:pPr>
                    <w:keepNext/>
                    <w:snapToGrid w:val="0"/>
                    <w:jc w:val="center"/>
                    <w:rPr>
                      <w:b/>
                      <w:color w:val="auto"/>
                    </w:rPr>
                  </w:pPr>
                  <w:r>
                    <w:rPr>
                      <w:b/>
                      <w:color w:val="auto"/>
                    </w:rPr>
                    <w:t>相符性分析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tcBorders>
                    <w:left w:val="nil"/>
                  </w:tcBorders>
                  <w:vAlign w:val="center"/>
                </w:tcPr>
                <w:p>
                  <w:pPr>
                    <w:jc w:val="center"/>
                    <w:rPr>
                      <w:color w:val="auto"/>
                      <w:szCs w:val="21"/>
                    </w:rPr>
                  </w:pPr>
                  <w:r>
                    <w:rPr>
                      <w:color w:val="auto"/>
                      <w:szCs w:val="21"/>
                    </w:rPr>
                    <w:t>空间布局约束性</w:t>
                  </w:r>
                </w:p>
              </w:tc>
              <w:tc>
                <w:tcPr>
                  <w:tcW w:w="2561" w:type="pct"/>
                  <w:vAlign w:val="center"/>
                </w:tcPr>
                <w:p>
                  <w:pPr>
                    <w:jc w:val="center"/>
                    <w:rPr>
                      <w:color w:val="auto"/>
                      <w:szCs w:val="21"/>
                    </w:rPr>
                  </w:pPr>
                  <w:r>
                    <w:rPr>
                      <w:color w:val="auto"/>
                      <w:szCs w:val="21"/>
                    </w:rPr>
                    <w:t>1.严格执行《中共淮安市委淮安市人民政府关于全面加强生态环境保护坚决打好污染防治攻坚战的实施意见》（淮发〔2018〕33号）、《淮安市打赢蓝天保卫战三年行动计划实施方案》（淮政发〔2018〕113号）、《淮安市“两减六治三提升”专项行动方案》（淮发〔2017〕26号）、《淮安市土壤污染防治工作方案》（淮政发〔2017〕86号）、《淮安市水污染防治工作方案》（淮政发〔2016〕95号）等文件要求。2.严格执行《中共淮安市委淮安市人民政府关于优化全市空间功能定位和产业布局的意见》（淮发〔2016〕37号）、《淮安市产业结构调整指导目录（2018-2020年版）》（淮政办发〔2018〕6号）等文件要求，重点鼓励休闲农业、电子信息、高端装备制造、新能源汽车及零部件、金融、旅游、健康养生等资源节约型、环境友好型产业。对钢铁、电解铝、水泥、平板玻璃、船舶等产能严重过剩行业，以及酒精、造纸、皮革、农药、橡胶、水泥、金属冶炼等高耗能、高污染、技术落后的产业进行限制和禁止。同时，对属于限制类的现有生产能力，允许企业开展技术改造，推动产业转型升级。3.根据《淮安市“两减六治三提升”专项行动方案》（淮发〔2017〕26号），推动化工企业入园进区，禁止园区外（除重点监测点化工企业外）一切新建、扩建化工项目。一律不批化工园区内环境基础设施不完善或长期不能稳定运行企业的新改扩建化工项目。新建（含搬迁）化工项目必须进入已经依法完成规划环评审查的化工园区。园区外化工企业（除重点监测点化工企业外）只允许在原有生产产品种类不变、产能规模不变、排放总量不增加的前提下，进行安全隐患改造和节能环保设施改造。禁止限制类项目产能（搬迁改造升级项目除外）入园进区。4.根据《中共淮安市委淮安市人民政府关于全面加强生态环境保护坚决打好污染防治攻坚战的实施意见》（淮发〔2018〕33号），从严控制京杭大运河（南水北调东线）沿岸两侧危化品码头新建项目的审批。严禁在京杭运河沿线1公里范围内新建布局化工园区和化工企业。5.根据《省政府关于加强全省化工园区化工集中区规范化管理的通知》（苏政发〔2020〕94号），淮安市具备化工定位的化工集中区为江苏淮安工业园区，化工集中区内已建成的企业要通过改进工艺、更新装备、加大信息化智能化改造等措施提升本质安全水平。取消化工定位的园区（集中区）要大幅压减化工生产企业数量，不得新增化工生产企业、新建扩建化工生产项目，现有化工生产企业符合条件的可以定位为化工重点监测点，重点监测点在不新增供地和污染物排放总量的情况下可以实施产业政策鼓励类、允许类的技术改造项目。</w:t>
                  </w:r>
                </w:p>
              </w:tc>
              <w:tc>
                <w:tcPr>
                  <w:tcW w:w="1788" w:type="pct"/>
                  <w:vAlign w:val="center"/>
                </w:tcPr>
                <w:p>
                  <w:pPr>
                    <w:jc w:val="center"/>
                    <w:rPr>
                      <w:color w:val="auto"/>
                      <w:szCs w:val="21"/>
                    </w:rPr>
                  </w:pPr>
                  <w:r>
                    <w:rPr>
                      <w:color w:val="auto"/>
                      <w:szCs w:val="21"/>
                    </w:rPr>
                    <w:t>本项目为金属结构制造项目，属于金属制品业，位于江苏省淮安市淮阴区古清口街道农科村淮三路168号，不属于高耗能、高污染、技术落后的产业，不属于新建、扩建化工项目。不属于限制类和禁止类行业，属于允许入园项目，满足空间布局管控要求。</w:t>
                  </w:r>
                </w:p>
              </w:tc>
              <w:tc>
                <w:tcPr>
                  <w:tcW w:w="306" w:type="pct"/>
                  <w:tcBorders>
                    <w:right w:val="nil"/>
                  </w:tcBorders>
                  <w:vAlign w:val="center"/>
                </w:tcPr>
                <w:p>
                  <w:pPr>
                    <w:jc w:val="center"/>
                    <w:rPr>
                      <w:color w:val="auto"/>
                      <w:szCs w:val="21"/>
                    </w:rPr>
                  </w:pPr>
                  <w:r>
                    <w:rPr>
                      <w:color w:val="auto"/>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tcBorders>
                    <w:left w:val="nil"/>
                  </w:tcBorders>
                  <w:vAlign w:val="center"/>
                </w:tcPr>
                <w:p>
                  <w:pPr>
                    <w:jc w:val="center"/>
                    <w:rPr>
                      <w:color w:val="auto"/>
                      <w:szCs w:val="21"/>
                    </w:rPr>
                  </w:pPr>
                  <w:r>
                    <w:rPr>
                      <w:color w:val="auto"/>
                      <w:szCs w:val="21"/>
                    </w:rPr>
                    <w:t>污染物排放管控</w:t>
                  </w:r>
                </w:p>
              </w:tc>
              <w:tc>
                <w:tcPr>
                  <w:tcW w:w="2561" w:type="pct"/>
                  <w:vAlign w:val="center"/>
                </w:tcPr>
                <w:p>
                  <w:pPr>
                    <w:jc w:val="center"/>
                    <w:rPr>
                      <w:color w:val="auto"/>
                      <w:szCs w:val="21"/>
                    </w:rPr>
                  </w:pPr>
                  <w:r>
                    <w:rPr>
                      <w:color w:val="auto"/>
                      <w:szCs w:val="21"/>
                    </w:rPr>
                    <w:t>1.允许排放量要求：根据《淮安市“十三五”节能减排综合实施方案》（淮政发〔2017〕119号），到2020年，淮安市化学需氧量、氨氮、总氮、总磷、二氧化硫、氮氧化物、VOCS排放量不得超过5.91万吨/年、0.77万吨/年、1.50万吨/年、0.155万吨/年、3.57万吨/年、4.72万吨/年、7.92万吨/年。2.新增源排放标准限制：根据《淮安市打赢蓝天保卫战三年行动计划实施方案》（淮政发〔2018〕113号），全市范围内二氧化硫、氮氧化物、颗粒物、VOCS全面执行大气污染物特别排放限值。</w:t>
                  </w:r>
                </w:p>
              </w:tc>
              <w:tc>
                <w:tcPr>
                  <w:tcW w:w="1788" w:type="pct"/>
                  <w:vAlign w:val="center"/>
                </w:tcPr>
                <w:p>
                  <w:pPr>
                    <w:jc w:val="both"/>
                    <w:rPr>
                      <w:rFonts w:hint="eastAsia" w:eastAsia="宋体"/>
                      <w:color w:val="auto"/>
                      <w:szCs w:val="21"/>
                      <w:lang w:eastAsia="zh-CN"/>
                    </w:rPr>
                  </w:pPr>
                  <w:r>
                    <w:rPr>
                      <w:color w:val="auto"/>
                      <w:szCs w:val="21"/>
                    </w:rPr>
                    <w:t>①本项目排放的污染物总量可在</w:t>
                  </w:r>
                  <w:r>
                    <w:rPr>
                      <w:rFonts w:hint="eastAsia"/>
                      <w:color w:val="auto"/>
                      <w:szCs w:val="21"/>
                    </w:rPr>
                    <w:t>淮阴区</w:t>
                  </w:r>
                  <w:r>
                    <w:rPr>
                      <w:color w:val="auto"/>
                      <w:szCs w:val="21"/>
                    </w:rPr>
                    <w:t>范围内平衡；②</w:t>
                  </w:r>
                  <w:r>
                    <w:rPr>
                      <w:rFonts w:hint="eastAsia"/>
                      <w:color w:val="auto"/>
                      <w:szCs w:val="21"/>
                    </w:rPr>
                    <w:t>本项目切割、焊接</w:t>
                  </w:r>
                  <w:r>
                    <w:rPr>
                      <w:rFonts w:hint="eastAsia"/>
                      <w:color w:val="auto"/>
                      <w:szCs w:val="21"/>
                      <w:lang w:eastAsia="zh-CN"/>
                    </w:rPr>
                    <w:t>、抛丸</w:t>
                  </w:r>
                  <w:r>
                    <w:rPr>
                      <w:color w:val="auto"/>
                      <w:szCs w:val="21"/>
                    </w:rPr>
                    <w:t>颗粒物</w:t>
                  </w:r>
                  <w:r>
                    <w:rPr>
                      <w:rFonts w:hint="eastAsia"/>
                      <w:color w:val="auto"/>
                      <w:szCs w:val="21"/>
                    </w:rPr>
                    <w:t>执行江苏省《大气污染物综合排放标准》</w:t>
                  </w:r>
                  <w:r>
                    <w:rPr>
                      <w:color w:val="auto"/>
                      <w:szCs w:val="21"/>
                    </w:rPr>
                    <w:t>（DB32/4041-2021）表1规定的大气污染物有组织排放限值，</w:t>
                  </w:r>
                  <w:r>
                    <w:rPr>
                      <w:rFonts w:hint="eastAsia"/>
                      <w:color w:val="auto"/>
                      <w:szCs w:val="21"/>
                    </w:rPr>
                    <w:t>调漆、喷漆、晾干</w:t>
                  </w:r>
                  <w:r>
                    <w:rPr>
                      <w:color w:val="auto"/>
                      <w:szCs w:val="21"/>
                    </w:rPr>
                    <w:t>非甲烷总烃、颗粒物排放满足表面涂装（工程机械和钢结构行业）大气污染物排放标准（DB32/4147-2021）表1排放标准限值，</w:t>
                  </w:r>
                  <w:r>
                    <w:rPr>
                      <w:rFonts w:hint="eastAsia"/>
                      <w:color w:val="auto"/>
                      <w:szCs w:val="21"/>
                    </w:rPr>
                    <w:t>无组织污染物执行江苏省</w:t>
                  </w:r>
                  <w:r>
                    <w:rPr>
                      <w:color w:val="auto"/>
                      <w:szCs w:val="21"/>
                    </w:rPr>
                    <w:t>大气污染物综合排放标准（DB324041-2021）表3排放标准限值</w:t>
                  </w:r>
                  <w:r>
                    <w:rPr>
                      <w:rFonts w:hint="eastAsia"/>
                      <w:color w:val="auto"/>
                      <w:szCs w:val="21"/>
                      <w:lang w:eastAsia="zh-CN"/>
                    </w:rPr>
                    <w:t>。</w:t>
                  </w:r>
                </w:p>
              </w:tc>
              <w:tc>
                <w:tcPr>
                  <w:tcW w:w="306" w:type="pct"/>
                  <w:tcBorders>
                    <w:right w:val="nil"/>
                  </w:tcBorders>
                  <w:vAlign w:val="center"/>
                </w:tcPr>
                <w:p>
                  <w:pPr>
                    <w:jc w:val="center"/>
                    <w:rPr>
                      <w:color w:val="auto"/>
                      <w:szCs w:val="21"/>
                    </w:rPr>
                  </w:pPr>
                  <w:r>
                    <w:rPr>
                      <w:color w:val="auto"/>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tcBorders>
                    <w:left w:val="nil"/>
                  </w:tcBorders>
                  <w:vAlign w:val="center"/>
                </w:tcPr>
                <w:p>
                  <w:pPr>
                    <w:jc w:val="center"/>
                    <w:rPr>
                      <w:color w:val="auto"/>
                      <w:szCs w:val="21"/>
                    </w:rPr>
                  </w:pPr>
                  <w:r>
                    <w:rPr>
                      <w:color w:val="auto"/>
                      <w:szCs w:val="21"/>
                    </w:rPr>
                    <w:t>环境风险防控</w:t>
                  </w:r>
                </w:p>
              </w:tc>
              <w:tc>
                <w:tcPr>
                  <w:tcW w:w="2561" w:type="pct"/>
                  <w:vAlign w:val="center"/>
                </w:tcPr>
                <w:p>
                  <w:pPr>
                    <w:jc w:val="center"/>
                    <w:rPr>
                      <w:color w:val="auto"/>
                      <w:szCs w:val="21"/>
                    </w:rPr>
                  </w:pPr>
                  <w:r>
                    <w:rPr>
                      <w:color w:val="auto"/>
                      <w:szCs w:val="21"/>
                    </w:rPr>
                    <w:t>1.严格执行《淮安市突发环境事件应急预案》（淮政办发〔2017〕93号）、《淮安市集中式饮用水源突发污染事件应急预案》（淮政办发〔2010〕173号）、《淮安市核与辐射突发环境事件应急预案》《淮安市重污染天气应急预案》（淮政办发〔2016〕159号）等文件要求，建立区域监测预警系统，建立省市县上下联动、区域之间左右联动等联动应急响应体系，实行联防联控。2.根据《淮安市“两减六治三提升”专项行动方案》（淮发〔2017〕26号），加强县以上城市应急备用水源建设和管理，强化应急体系建设，建立饮用水源地实时监测监控系统，落实水源地日常巡查制度。3.根据《中共淮安市委淮安市人民政府关于全面加强生态环境保护坚决打好污染防治攻坚战的实施意见》（淮发〔2018〕33号），严格控制环境风险项目，整合和提升现有工业集聚区，加快城市建成区内石化、化工、水泥、钢铁重污染企业和危险化学品企业搬迁改造。深化跨部门、跨县区环境应急协调联动，建立环境应急预案电子备案系统。分区域建立环境应急物资储备库，市、县（区）两级政府建立应急物资储备库，各级工业园区和企业环境应急装备和储备物资应纳入储备体系。完善市、县、乡三级突发环境事件应急响应体系，定期组织演练，提高应急处置能力。</w:t>
                  </w:r>
                </w:p>
              </w:tc>
              <w:tc>
                <w:tcPr>
                  <w:tcW w:w="1788" w:type="pct"/>
                  <w:vAlign w:val="center"/>
                </w:tcPr>
                <w:p>
                  <w:pPr>
                    <w:jc w:val="center"/>
                    <w:rPr>
                      <w:color w:val="auto"/>
                      <w:szCs w:val="21"/>
                    </w:rPr>
                  </w:pPr>
                  <w:r>
                    <w:rPr>
                      <w:color w:val="auto"/>
                      <w:szCs w:val="21"/>
                    </w:rPr>
                    <w:t>本项目建成后将积极主动加入区域联动系统，响应联防联控，减小环境事件的影响。本项目将建立完善的环境应急措施，并将应急装备和储备物资纳入储备体系，积极响应市、县、乡突发环境</w:t>
                  </w:r>
                  <w:r>
                    <w:rPr>
                      <w:rFonts w:hint="eastAsia"/>
                      <w:color w:val="auto"/>
                      <w:szCs w:val="21"/>
                    </w:rPr>
                    <w:t>事件</w:t>
                  </w:r>
                  <w:r>
                    <w:rPr>
                      <w:color w:val="auto"/>
                      <w:szCs w:val="21"/>
                    </w:rPr>
                    <w:t>应急响应体系，并积极参加定期组织的演练，从而提高应急处置能力。</w:t>
                  </w:r>
                </w:p>
              </w:tc>
              <w:tc>
                <w:tcPr>
                  <w:tcW w:w="306" w:type="pct"/>
                  <w:tcBorders>
                    <w:right w:val="nil"/>
                  </w:tcBorders>
                  <w:vAlign w:val="center"/>
                </w:tcPr>
                <w:p>
                  <w:pPr>
                    <w:jc w:val="center"/>
                    <w:rPr>
                      <w:color w:val="auto"/>
                      <w:szCs w:val="21"/>
                    </w:rPr>
                  </w:pPr>
                  <w:r>
                    <w:rPr>
                      <w:color w:val="auto"/>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tcBorders>
                    <w:left w:val="nil"/>
                    <w:bottom w:val="single" w:color="auto" w:sz="12" w:space="0"/>
                  </w:tcBorders>
                  <w:vAlign w:val="center"/>
                </w:tcPr>
                <w:p>
                  <w:pPr>
                    <w:jc w:val="center"/>
                    <w:rPr>
                      <w:color w:val="auto"/>
                      <w:szCs w:val="21"/>
                    </w:rPr>
                  </w:pPr>
                  <w:r>
                    <w:rPr>
                      <w:color w:val="auto"/>
                      <w:szCs w:val="21"/>
                    </w:rPr>
                    <w:t>资源利用效率要求</w:t>
                  </w:r>
                </w:p>
              </w:tc>
              <w:tc>
                <w:tcPr>
                  <w:tcW w:w="2561" w:type="pct"/>
                  <w:tcBorders>
                    <w:bottom w:val="single" w:color="auto" w:sz="12" w:space="0"/>
                  </w:tcBorders>
                  <w:vAlign w:val="center"/>
                </w:tcPr>
                <w:p>
                  <w:pPr>
                    <w:jc w:val="center"/>
                    <w:rPr>
                      <w:color w:val="auto"/>
                      <w:szCs w:val="21"/>
                    </w:rPr>
                  </w:pPr>
                  <w:r>
                    <w:rPr>
                      <w:color w:val="auto"/>
                      <w:szCs w:val="21"/>
                    </w:rPr>
                    <w:t>1.水资源利用总量及效率要求：根据《省最严格水资源管理考核联席会议关于下达2020年和2030年全省实行最严格水资源管理制度控制指标的通知》（苏水资联〔2016〕5号），到2020年，淮安市用水总量不得超过33.33亿立方米，万元地区生产总值用水量降至79立方米以下，万元工业增加值用水量降至10.3立方米以下，农田灌溉水有效利用系数达到0.610以上。2.地下水开采要求：根据《淮安市“两减六治三提升”专项行动方案》（淮发〔2017〕26号），到2020年，淮安市地下水超采区全面达到用水总量控制和水位红线控制要求，累计压缩地下水开采量3952.3万立方米。3.土地资源利用总量及效率要求：根据《淮安市土地利用总体规划（2006-2020年）调整方案》，到2020年，淮安市耕地保有量不得低于47.6027万公顷，永久基本农田保护面积不低于39.4699万公顷，开发强度不得高于18%。4.能源利用总量及效率要求：根据《淮安市“两减六治三提升”专项行动方案》（淮发〔2017〕26号），到2020年，淮安市煤炭消费总量比2016年减少55万吨，电子行业煤炭消费占煤炭消费总量的比重提高到65%以上，非化石能源占一次能源比重达到10%。5.禁燃区要求：根据《江苏省大气污染防治条例》，禁燃区禁止新建、扩建燃用高污染燃料的项目和设施，已建成的应逐步或依法限期改用天然气、电或者其他清洁能源。6.能耗要求：根据《淮安市打赢蓝天保卫战三年行动计划实施方案》（淮政发〔2018〕113号），新建高耗能项目单位产品（产值）能耗要达到国际先进水平。</w:t>
                  </w:r>
                </w:p>
              </w:tc>
              <w:tc>
                <w:tcPr>
                  <w:tcW w:w="1788" w:type="pct"/>
                  <w:tcBorders>
                    <w:bottom w:val="single" w:color="auto" w:sz="12" w:space="0"/>
                  </w:tcBorders>
                  <w:vAlign w:val="center"/>
                </w:tcPr>
                <w:p>
                  <w:pPr>
                    <w:jc w:val="center"/>
                    <w:rPr>
                      <w:color w:val="auto"/>
                      <w:szCs w:val="21"/>
                    </w:rPr>
                  </w:pPr>
                  <w:r>
                    <w:rPr>
                      <w:color w:val="auto"/>
                      <w:szCs w:val="21"/>
                    </w:rPr>
                    <w:t>①本项目不属于高耗水行业；②本项目占地为工业用地，不占用基本农田；③本项目不使用高污染燃料；④本项目不属于高耗能项目。</w:t>
                  </w:r>
                </w:p>
              </w:tc>
              <w:tc>
                <w:tcPr>
                  <w:tcW w:w="306" w:type="pct"/>
                  <w:tcBorders>
                    <w:bottom w:val="single" w:color="auto" w:sz="12" w:space="0"/>
                    <w:right w:val="nil"/>
                  </w:tcBorders>
                  <w:vAlign w:val="center"/>
                </w:tcPr>
                <w:p>
                  <w:pPr>
                    <w:jc w:val="center"/>
                    <w:rPr>
                      <w:color w:val="auto"/>
                      <w:szCs w:val="21"/>
                    </w:rPr>
                  </w:pPr>
                  <w:r>
                    <w:rPr>
                      <w:color w:val="auto"/>
                      <w:szCs w:val="21"/>
                    </w:rPr>
                    <w:t>符合</w:t>
                  </w:r>
                </w:p>
              </w:tc>
            </w:tr>
          </w:tbl>
          <w:p>
            <w:pPr>
              <w:wordWrap w:val="0"/>
              <w:spacing w:line="360" w:lineRule="auto"/>
              <w:ind w:firstLine="482" w:firstLineChars="200"/>
              <w:rPr>
                <w:b/>
                <w:bCs/>
                <w:color w:val="auto"/>
                <w:sz w:val="24"/>
              </w:rPr>
            </w:pPr>
            <w:r>
              <w:rPr>
                <w:rFonts w:hint="eastAsia"/>
                <w:b/>
                <w:bCs/>
                <w:color w:val="auto"/>
                <w:sz w:val="24"/>
              </w:rPr>
              <w:t>1.4</w:t>
            </w:r>
            <w:r>
              <w:rPr>
                <w:b/>
                <w:bCs/>
                <w:color w:val="auto"/>
                <w:sz w:val="24"/>
              </w:rPr>
              <w:t>环境质量底线</w:t>
            </w:r>
          </w:p>
          <w:p>
            <w:pPr>
              <w:widowControl/>
              <w:spacing w:line="360" w:lineRule="auto"/>
              <w:ind w:firstLine="482" w:firstLineChars="200"/>
              <w:jc w:val="left"/>
              <w:rPr>
                <w:b/>
                <w:bCs/>
                <w:color w:val="auto"/>
                <w:kern w:val="0"/>
                <w:sz w:val="24"/>
                <w:lang w:bidi="ar"/>
              </w:rPr>
            </w:pPr>
            <w:r>
              <w:rPr>
                <w:b/>
                <w:bCs/>
                <w:color w:val="auto"/>
                <w:kern w:val="0"/>
                <w:sz w:val="24"/>
                <w:lang w:bidi="ar"/>
              </w:rPr>
              <w:t>①大气环境</w:t>
            </w:r>
          </w:p>
          <w:p>
            <w:pPr>
              <w:adjustRightInd w:val="0"/>
              <w:snapToGrid w:val="0"/>
              <w:spacing w:line="360" w:lineRule="auto"/>
              <w:ind w:firstLine="480" w:firstLineChars="200"/>
              <w:rPr>
                <w:color w:val="auto"/>
                <w:sz w:val="24"/>
              </w:rPr>
            </w:pPr>
            <w:r>
              <w:rPr>
                <w:color w:val="auto"/>
                <w:sz w:val="24"/>
              </w:rPr>
              <w:t>根据淮安市生态环境局2024年6月5日发布的《2023年淮安市生态环境状况公报》，2023年，全市细颗粒物（PM</w:t>
            </w:r>
            <w:r>
              <w:rPr>
                <w:color w:val="auto"/>
                <w:sz w:val="24"/>
                <w:vertAlign w:val="subscript"/>
              </w:rPr>
              <w:t>2.5</w:t>
            </w:r>
            <w:r>
              <w:rPr>
                <w:color w:val="auto"/>
                <w:sz w:val="24"/>
              </w:rPr>
              <w:t>）、可吸入颗粒物（PM</w:t>
            </w:r>
            <w:r>
              <w:rPr>
                <w:color w:val="auto"/>
                <w:sz w:val="24"/>
                <w:vertAlign w:val="subscript"/>
              </w:rPr>
              <w:t>10</w:t>
            </w:r>
            <w:r>
              <w:rPr>
                <w:color w:val="auto"/>
                <w:sz w:val="24"/>
              </w:rPr>
              <w:t>）、二氧化硫（SO</w:t>
            </w:r>
            <w:r>
              <w:rPr>
                <w:color w:val="auto"/>
                <w:sz w:val="24"/>
                <w:vertAlign w:val="subscript"/>
              </w:rPr>
              <w:t>2</w:t>
            </w:r>
            <w:r>
              <w:rPr>
                <w:color w:val="auto"/>
                <w:sz w:val="24"/>
              </w:rPr>
              <w:t>）、二氧化氮（NO</w:t>
            </w:r>
            <w:r>
              <w:rPr>
                <w:color w:val="auto"/>
                <w:sz w:val="24"/>
                <w:vertAlign w:val="subscript"/>
              </w:rPr>
              <w:t>2</w:t>
            </w:r>
            <w:r>
              <w:rPr>
                <w:color w:val="auto"/>
                <w:sz w:val="24"/>
              </w:rPr>
              <w:t>）年均浓度分别为36微克/立方米、58微克/立方米、8微克/立方米、25微克/立方米；一氧化碳（CO）和臭氧（O</w:t>
            </w:r>
            <w:r>
              <w:rPr>
                <w:color w:val="auto"/>
                <w:sz w:val="24"/>
                <w:vertAlign w:val="subscript"/>
              </w:rPr>
              <w:t>3</w:t>
            </w:r>
            <w:r>
              <w:rPr>
                <w:color w:val="auto"/>
                <w:sz w:val="24"/>
              </w:rPr>
              <w:t>）浓度分别为1.0毫克/立方米、158微克/立方米，均达到国家二级标准。</w:t>
            </w:r>
          </w:p>
          <w:p>
            <w:pPr>
              <w:widowControl/>
              <w:spacing w:line="360" w:lineRule="auto"/>
              <w:ind w:firstLine="482" w:firstLineChars="200"/>
              <w:jc w:val="left"/>
              <w:rPr>
                <w:b/>
                <w:bCs/>
                <w:color w:val="auto"/>
                <w:kern w:val="0"/>
                <w:sz w:val="24"/>
                <w:lang w:bidi="ar"/>
              </w:rPr>
            </w:pPr>
          </w:p>
          <w:p>
            <w:pPr>
              <w:widowControl/>
              <w:spacing w:line="360" w:lineRule="auto"/>
              <w:ind w:firstLine="482" w:firstLineChars="200"/>
              <w:jc w:val="left"/>
              <w:rPr>
                <w:b/>
                <w:bCs/>
                <w:color w:val="auto"/>
                <w:kern w:val="0"/>
                <w:sz w:val="24"/>
                <w:lang w:bidi="ar"/>
              </w:rPr>
            </w:pPr>
            <w:r>
              <w:rPr>
                <w:b/>
                <w:bCs/>
                <w:color w:val="auto"/>
                <w:kern w:val="0"/>
                <w:sz w:val="24"/>
                <w:lang w:bidi="ar"/>
              </w:rPr>
              <w:t>②地表水环境</w:t>
            </w:r>
          </w:p>
          <w:p>
            <w:pPr>
              <w:widowControl/>
              <w:spacing w:line="360" w:lineRule="auto"/>
              <w:ind w:firstLine="480" w:firstLineChars="200"/>
              <w:jc w:val="left"/>
              <w:rPr>
                <w:color w:val="auto"/>
                <w:kern w:val="0"/>
                <w:sz w:val="24"/>
                <w:lang w:bidi="ar"/>
              </w:rPr>
            </w:pPr>
            <w:r>
              <w:rPr>
                <w:color w:val="auto"/>
                <w:sz w:val="24"/>
              </w:rPr>
              <w:t>建设项目不涉及生产废水，生活污水经化粪池处理后肥田，不外排</w:t>
            </w:r>
            <w:r>
              <w:rPr>
                <w:color w:val="auto"/>
                <w:kern w:val="0"/>
                <w:sz w:val="24"/>
                <w:lang w:bidi="ar"/>
              </w:rPr>
              <w:t>。本项目最近的河流为淮沭新河，淮沭新河执行《地表水环境质量标准》（GB3838-2002）Ⅲ类水质标准。根据《2023年淮安市生态环境状况公报》“2023年淮安市水环境质量总体较好，优II比例超过省定考核指标，27条主要河流水质状况达优良，湖泊水质保持稳定，饮用水源地水质稳定达标，地下水水质稳中趋好。</w:t>
            </w:r>
          </w:p>
          <w:p>
            <w:pPr>
              <w:widowControl/>
              <w:spacing w:line="360" w:lineRule="auto"/>
              <w:ind w:firstLine="480" w:firstLineChars="200"/>
              <w:jc w:val="left"/>
              <w:rPr>
                <w:color w:val="auto"/>
              </w:rPr>
            </w:pPr>
            <w:r>
              <w:rPr>
                <w:color w:val="auto"/>
                <w:kern w:val="0"/>
                <w:sz w:val="24"/>
                <w:lang w:bidi="ar"/>
              </w:rPr>
              <w:t>纳入“十四五”国家地表水环境质量考核的11个国考断面中，年均水质达到或好于Ⅲ类标准的断面9个(Ⅱ类断面4个)，优Ⅲ比例81.8%，达标率100%，无V类和劣V类断面。纳入江苏省“十四五”水环境质量目标考核的57个断面中水质达到或好于III类标准的断面有53个，优Ⅲ比例93%，达标率100%，无V类和劣V类断面。”。由上所述淮沭新河水质能够满足《地表水环境质量标准》（GB3838-2002》Ⅲ类水标准，水质状况良好。</w:t>
            </w:r>
          </w:p>
          <w:p>
            <w:pPr>
              <w:widowControl/>
              <w:spacing w:line="360" w:lineRule="auto"/>
              <w:ind w:firstLine="482" w:firstLineChars="200"/>
              <w:jc w:val="left"/>
              <w:rPr>
                <w:b/>
                <w:bCs/>
                <w:color w:val="auto"/>
                <w:kern w:val="0"/>
                <w:sz w:val="24"/>
                <w:lang w:bidi="ar"/>
              </w:rPr>
            </w:pPr>
            <w:r>
              <w:rPr>
                <w:b/>
                <w:bCs/>
                <w:color w:val="auto"/>
                <w:kern w:val="0"/>
                <w:sz w:val="24"/>
                <w:lang w:bidi="ar"/>
              </w:rPr>
              <w:t>③声环境</w:t>
            </w:r>
          </w:p>
          <w:p>
            <w:pPr>
              <w:adjustRightInd w:val="0"/>
              <w:snapToGrid w:val="0"/>
              <w:spacing w:line="360" w:lineRule="auto"/>
              <w:ind w:firstLine="480" w:firstLineChars="200"/>
              <w:rPr>
                <w:color w:val="auto"/>
                <w:sz w:val="24"/>
              </w:rPr>
            </w:pPr>
            <w:r>
              <w:rPr>
                <w:color w:val="auto"/>
                <w:sz w:val="24"/>
              </w:rPr>
              <w:t>根据《2023年淮安市生态环境状况公报》显示，全市声环境质量总体稳定。区域环境噪声昼间均值为57.4dB（A），处于城市区域环境噪声“一般”级别。全市功能区噪声昼间达标率为85.3%，夜间达标率为77.9%。</w:t>
            </w:r>
          </w:p>
          <w:p>
            <w:pPr>
              <w:adjustRightInd w:val="0"/>
              <w:snapToGrid w:val="0"/>
              <w:spacing w:line="360" w:lineRule="auto"/>
              <w:ind w:firstLine="480" w:firstLineChars="200"/>
              <w:rPr>
                <w:color w:val="auto"/>
                <w:sz w:val="24"/>
              </w:rPr>
            </w:pPr>
            <w:r>
              <w:rPr>
                <w:color w:val="auto"/>
                <w:sz w:val="24"/>
              </w:rPr>
              <w:t>建设项目废气、废水、噪声、固体废弃物等经有效处理后，对环境影响较小，不会改变环境质量现状。</w:t>
            </w:r>
          </w:p>
          <w:p>
            <w:pPr>
              <w:adjustRightInd w:val="0"/>
              <w:snapToGrid w:val="0"/>
              <w:spacing w:line="360" w:lineRule="auto"/>
              <w:ind w:firstLine="480" w:firstLineChars="200"/>
              <w:rPr>
                <w:color w:val="auto"/>
                <w:sz w:val="24"/>
              </w:rPr>
            </w:pPr>
            <w:r>
              <w:rPr>
                <w:color w:val="auto"/>
                <w:sz w:val="24"/>
              </w:rPr>
              <w:t>因此建设项目的建设符合环境质量底线要求。</w:t>
            </w:r>
          </w:p>
          <w:p>
            <w:pPr>
              <w:wordWrap w:val="0"/>
              <w:spacing w:line="360" w:lineRule="auto"/>
              <w:ind w:firstLine="482" w:firstLineChars="200"/>
              <w:rPr>
                <w:b/>
                <w:bCs/>
                <w:color w:val="auto"/>
                <w:sz w:val="24"/>
              </w:rPr>
            </w:pPr>
            <w:r>
              <w:rPr>
                <w:rFonts w:hint="eastAsia"/>
                <w:b/>
                <w:bCs/>
                <w:color w:val="auto"/>
                <w:sz w:val="24"/>
              </w:rPr>
              <w:t>1.5</w:t>
            </w:r>
            <w:r>
              <w:rPr>
                <w:b/>
                <w:bCs/>
                <w:color w:val="auto"/>
                <w:sz w:val="24"/>
              </w:rPr>
              <w:t>资源利用上线</w:t>
            </w:r>
          </w:p>
          <w:p>
            <w:pPr>
              <w:wordWrap w:val="0"/>
              <w:spacing w:line="360" w:lineRule="auto"/>
              <w:ind w:firstLine="480" w:firstLineChars="200"/>
              <w:rPr>
                <w:color w:val="auto"/>
                <w:sz w:val="24"/>
              </w:rPr>
            </w:pPr>
            <w:r>
              <w:rPr>
                <w:color w:val="auto"/>
                <w:sz w:val="24"/>
              </w:rPr>
              <w:t>本项目用水来自市政自来水管网，用电市政电网供给，用水和用电量均很小，不会达到资源利用上线，亦不会达到能源利用上线。满足土地利用规划要求，亦不会达到土地资源利用上线。</w:t>
            </w:r>
          </w:p>
          <w:p>
            <w:pPr>
              <w:wordWrap w:val="0"/>
              <w:spacing w:line="360" w:lineRule="auto"/>
              <w:ind w:firstLine="480" w:firstLineChars="200"/>
              <w:rPr>
                <w:color w:val="auto"/>
                <w:sz w:val="24"/>
              </w:rPr>
            </w:pPr>
            <w:r>
              <w:rPr>
                <w:color w:val="auto"/>
                <w:sz w:val="24"/>
              </w:rPr>
              <w:t>因此，本项目的建设符合资源利用上线要求。</w:t>
            </w:r>
          </w:p>
          <w:p>
            <w:pPr>
              <w:widowControl/>
              <w:spacing w:line="360" w:lineRule="auto"/>
              <w:ind w:firstLine="482" w:firstLineChars="200"/>
              <w:jc w:val="left"/>
              <w:rPr>
                <w:b/>
                <w:bCs/>
                <w:color w:val="auto"/>
                <w:sz w:val="24"/>
              </w:rPr>
            </w:pPr>
            <w:r>
              <w:rPr>
                <w:rFonts w:hint="eastAsia"/>
                <w:b/>
                <w:bCs/>
                <w:color w:val="auto"/>
                <w:sz w:val="24"/>
              </w:rPr>
              <w:t>1.6</w:t>
            </w:r>
            <w:r>
              <w:rPr>
                <w:b/>
                <w:bCs/>
                <w:color w:val="auto"/>
                <w:sz w:val="24"/>
              </w:rPr>
              <w:t>、环境准入负面清单</w:t>
            </w:r>
          </w:p>
          <w:p>
            <w:pPr>
              <w:pStyle w:val="2"/>
              <w:wordWrap w:val="0"/>
              <w:adjustRightInd w:val="0"/>
              <w:spacing w:before="0" w:after="0" w:line="360" w:lineRule="auto"/>
              <w:ind w:right="0" w:firstLine="480" w:firstLineChars="200"/>
              <w:rPr>
                <w:color w:val="auto"/>
                <w:sz w:val="24"/>
              </w:rPr>
            </w:pPr>
            <w:r>
              <w:rPr>
                <w:color w:val="auto"/>
                <w:sz w:val="24"/>
              </w:rPr>
              <w:t>项目位于淮安市淮阴区内，建设项目位于淮安市淮阴区古清口街道，与《市场准入负面清单（2022年版）》（发改体改规〔2022〕397号）等文件中禁限止事项分析项目的相符性，见表1.</w:t>
            </w:r>
            <w:r>
              <w:rPr>
                <w:rFonts w:hint="eastAsia"/>
                <w:color w:val="auto"/>
                <w:sz w:val="24"/>
              </w:rPr>
              <w:t>6-1</w:t>
            </w:r>
            <w:r>
              <w:rPr>
                <w:color w:val="auto"/>
                <w:sz w:val="24"/>
              </w:rPr>
              <w:t>。</w:t>
            </w:r>
          </w:p>
          <w:p>
            <w:pPr>
              <w:wordWrap w:val="0"/>
              <w:spacing w:line="360" w:lineRule="auto"/>
              <w:jc w:val="center"/>
              <w:rPr>
                <w:b/>
                <w:color w:val="auto"/>
                <w:szCs w:val="21"/>
              </w:rPr>
            </w:pPr>
            <w:r>
              <w:rPr>
                <w:b/>
                <w:color w:val="auto"/>
                <w:szCs w:val="21"/>
              </w:rPr>
              <w:t>表 1</w:t>
            </w:r>
            <w:r>
              <w:rPr>
                <w:rFonts w:hint="eastAsia"/>
                <w:b/>
                <w:color w:val="auto"/>
                <w:szCs w:val="21"/>
              </w:rPr>
              <w:t>.6-1</w:t>
            </w:r>
            <w:r>
              <w:rPr>
                <w:b/>
                <w:color w:val="auto"/>
                <w:szCs w:val="21"/>
              </w:rPr>
              <w:t xml:space="preserve"> 建设项目与市场准入负面清单相符性分析一览表</w:t>
            </w:r>
          </w:p>
          <w:tbl>
            <w:tblPr>
              <w:tblStyle w:val="20"/>
              <w:tblW w:w="7842"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86"/>
              <w:gridCol w:w="3933"/>
              <w:gridCol w:w="2234"/>
              <w:gridCol w:w="68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pPr>
                    <w:widowControl/>
                    <w:jc w:val="center"/>
                    <w:rPr>
                      <w:b/>
                      <w:bCs/>
                      <w:color w:val="auto"/>
                      <w:kern w:val="0"/>
                      <w:szCs w:val="21"/>
                      <w:lang w:bidi="ar"/>
                    </w:rPr>
                  </w:pPr>
                  <w:r>
                    <w:rPr>
                      <w:b/>
                      <w:bCs/>
                      <w:color w:val="auto"/>
                      <w:kern w:val="0"/>
                      <w:szCs w:val="21"/>
                      <w:lang w:bidi="ar"/>
                    </w:rPr>
                    <w:t>序号</w:t>
                  </w:r>
                </w:p>
              </w:tc>
              <w:tc>
                <w:tcPr>
                  <w:tcW w:w="4140" w:type="dxa"/>
                  <w:vAlign w:val="center"/>
                </w:tcPr>
                <w:p>
                  <w:pPr>
                    <w:widowControl/>
                    <w:jc w:val="center"/>
                    <w:rPr>
                      <w:b/>
                      <w:bCs/>
                      <w:color w:val="auto"/>
                      <w:kern w:val="0"/>
                      <w:szCs w:val="21"/>
                      <w:lang w:bidi="ar"/>
                    </w:rPr>
                  </w:pPr>
                  <w:r>
                    <w:rPr>
                      <w:b/>
                      <w:bCs/>
                      <w:color w:val="auto"/>
                      <w:kern w:val="0"/>
                      <w:szCs w:val="21"/>
                      <w:lang w:bidi="ar"/>
                    </w:rPr>
                    <w:t>文件</w:t>
                  </w:r>
                </w:p>
              </w:tc>
              <w:tc>
                <w:tcPr>
                  <w:tcW w:w="2351" w:type="dxa"/>
                  <w:vAlign w:val="center"/>
                </w:tcPr>
                <w:p>
                  <w:pPr>
                    <w:widowControl/>
                    <w:jc w:val="center"/>
                    <w:rPr>
                      <w:b/>
                      <w:bCs/>
                      <w:color w:val="auto"/>
                      <w:kern w:val="0"/>
                      <w:szCs w:val="21"/>
                      <w:lang w:bidi="ar"/>
                    </w:rPr>
                  </w:pPr>
                  <w:r>
                    <w:rPr>
                      <w:b/>
                      <w:bCs/>
                      <w:color w:val="auto"/>
                      <w:kern w:val="0"/>
                      <w:szCs w:val="21"/>
                      <w:lang w:bidi="ar"/>
                    </w:rPr>
                    <w:t>相符性分析</w:t>
                  </w:r>
                </w:p>
              </w:tc>
              <w:tc>
                <w:tcPr>
                  <w:tcW w:w="708" w:type="dxa"/>
                  <w:vAlign w:val="center"/>
                </w:tcPr>
                <w:p>
                  <w:pPr>
                    <w:widowControl/>
                    <w:jc w:val="center"/>
                    <w:rPr>
                      <w:b/>
                      <w:bCs/>
                      <w:color w:val="auto"/>
                      <w:kern w:val="0"/>
                      <w:szCs w:val="21"/>
                      <w:lang w:bidi="ar"/>
                    </w:rPr>
                  </w:pPr>
                  <w:r>
                    <w:rPr>
                      <w:b/>
                      <w:bCs/>
                      <w:color w:val="auto"/>
                      <w:kern w:val="0"/>
                      <w:szCs w:val="21"/>
                      <w:lang w:bidi="ar"/>
                    </w:rPr>
                    <w:t>判定结果</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pPr>
                    <w:widowControl/>
                    <w:jc w:val="center"/>
                    <w:rPr>
                      <w:color w:val="auto"/>
                      <w:kern w:val="0"/>
                      <w:szCs w:val="21"/>
                      <w:lang w:bidi="ar"/>
                    </w:rPr>
                  </w:pPr>
                  <w:r>
                    <w:rPr>
                      <w:rFonts w:hint="eastAsia"/>
                      <w:color w:val="auto"/>
                      <w:kern w:val="0"/>
                      <w:szCs w:val="21"/>
                      <w:lang w:bidi="ar"/>
                    </w:rPr>
                    <w:t>1</w:t>
                  </w:r>
                </w:p>
              </w:tc>
              <w:tc>
                <w:tcPr>
                  <w:tcW w:w="4140" w:type="dxa"/>
                  <w:vAlign w:val="center"/>
                </w:tcPr>
                <w:p>
                  <w:pPr>
                    <w:widowControl/>
                    <w:jc w:val="left"/>
                    <w:rPr>
                      <w:color w:val="auto"/>
                      <w:kern w:val="0"/>
                      <w:szCs w:val="21"/>
                      <w:lang w:bidi="ar"/>
                    </w:rPr>
                  </w:pPr>
                  <w:r>
                    <w:rPr>
                      <w:color w:val="auto"/>
                      <w:kern w:val="0"/>
                      <w:szCs w:val="21"/>
                      <w:lang w:bidi="ar"/>
                    </w:rPr>
                    <w:t>《市场准</w:t>
                  </w:r>
                  <w:r>
                    <w:rPr>
                      <w:color w:val="auto"/>
                      <w:kern w:val="0"/>
                      <w:szCs w:val="21"/>
                    </w:rPr>
                    <w:t>入负面清单（2022年版）》（发改体改规〔2022〕397号）</w:t>
                  </w:r>
                </w:p>
              </w:tc>
              <w:tc>
                <w:tcPr>
                  <w:tcW w:w="2351" w:type="dxa"/>
                  <w:vAlign w:val="center"/>
                </w:tcPr>
                <w:p>
                  <w:pPr>
                    <w:widowControl/>
                    <w:jc w:val="left"/>
                    <w:rPr>
                      <w:color w:val="auto"/>
                      <w:kern w:val="0"/>
                      <w:szCs w:val="21"/>
                      <w:lang w:bidi="ar"/>
                    </w:rPr>
                  </w:pPr>
                  <w:r>
                    <w:rPr>
                      <w:color w:val="auto"/>
                      <w:kern w:val="0"/>
                      <w:szCs w:val="21"/>
                      <w:lang w:bidi="ar"/>
                    </w:rPr>
                    <w:t>不属于市场禁止准入事项</w:t>
                  </w:r>
                </w:p>
              </w:tc>
              <w:tc>
                <w:tcPr>
                  <w:tcW w:w="708" w:type="dxa"/>
                  <w:vAlign w:val="center"/>
                </w:tcPr>
                <w:p>
                  <w:pPr>
                    <w:widowControl/>
                    <w:jc w:val="center"/>
                    <w:rPr>
                      <w:color w:val="auto"/>
                      <w:kern w:val="0"/>
                      <w:szCs w:val="21"/>
                      <w:lang w:bidi="ar"/>
                    </w:rPr>
                  </w:pPr>
                  <w:r>
                    <w:rPr>
                      <w:color w:val="auto"/>
                      <w:kern w:val="0"/>
                      <w:szCs w:val="21"/>
                      <w:lang w:bidi="ar"/>
                    </w:rPr>
                    <w:t>符合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pPr>
                    <w:widowControl/>
                    <w:jc w:val="center"/>
                    <w:rPr>
                      <w:color w:val="auto"/>
                      <w:kern w:val="0"/>
                      <w:szCs w:val="21"/>
                      <w:lang w:bidi="ar"/>
                    </w:rPr>
                  </w:pPr>
                  <w:r>
                    <w:rPr>
                      <w:rFonts w:hint="eastAsia"/>
                      <w:color w:val="auto"/>
                      <w:kern w:val="0"/>
                      <w:szCs w:val="21"/>
                      <w:lang w:bidi="ar"/>
                    </w:rPr>
                    <w:t>2</w:t>
                  </w:r>
                </w:p>
              </w:tc>
              <w:tc>
                <w:tcPr>
                  <w:tcW w:w="4140" w:type="dxa"/>
                  <w:vAlign w:val="center"/>
                </w:tcPr>
                <w:p>
                  <w:pPr>
                    <w:widowControl/>
                    <w:jc w:val="left"/>
                    <w:rPr>
                      <w:color w:val="auto"/>
                      <w:kern w:val="0"/>
                      <w:szCs w:val="21"/>
                      <w:lang w:bidi="ar"/>
                    </w:rPr>
                  </w:pPr>
                  <w:r>
                    <w:rPr>
                      <w:color w:val="auto"/>
                      <w:kern w:val="0"/>
                      <w:szCs w:val="21"/>
                      <w:lang w:bidi="ar"/>
                    </w:rPr>
                    <w:t>《长江经</w:t>
                  </w:r>
                  <w:r>
                    <w:rPr>
                      <w:color w:val="auto"/>
                      <w:kern w:val="0"/>
                      <w:szCs w:val="21"/>
                    </w:rPr>
                    <w:t>济带发展负面清单指南（试行，2022 年版）》（长江办[2022]7 号）</w:t>
                  </w:r>
                </w:p>
              </w:tc>
              <w:tc>
                <w:tcPr>
                  <w:tcW w:w="2351" w:type="dxa"/>
                  <w:vAlign w:val="center"/>
                </w:tcPr>
                <w:p>
                  <w:pPr>
                    <w:widowControl/>
                    <w:jc w:val="left"/>
                    <w:rPr>
                      <w:color w:val="auto"/>
                      <w:kern w:val="0"/>
                      <w:szCs w:val="21"/>
                      <w:lang w:bidi="ar"/>
                    </w:rPr>
                  </w:pPr>
                  <w:r>
                    <w:rPr>
                      <w:color w:val="auto"/>
                      <w:kern w:val="0"/>
                      <w:szCs w:val="21"/>
                      <w:lang w:bidi="ar"/>
                    </w:rPr>
                    <w:t>不属于负面清单中禁止类项目</w:t>
                  </w:r>
                </w:p>
              </w:tc>
              <w:tc>
                <w:tcPr>
                  <w:tcW w:w="708" w:type="dxa"/>
                  <w:vAlign w:val="center"/>
                </w:tcPr>
                <w:p>
                  <w:pPr>
                    <w:widowControl/>
                    <w:jc w:val="center"/>
                    <w:rPr>
                      <w:color w:val="auto"/>
                      <w:kern w:val="0"/>
                      <w:szCs w:val="21"/>
                      <w:lang w:bidi="ar"/>
                    </w:rPr>
                  </w:pPr>
                  <w:r>
                    <w:rPr>
                      <w:color w:val="auto"/>
                      <w:kern w:val="0"/>
                      <w:szCs w:val="21"/>
                      <w:lang w:bidi="ar"/>
                    </w:rPr>
                    <w:t>符合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pPr>
                    <w:widowControl/>
                    <w:jc w:val="center"/>
                    <w:rPr>
                      <w:color w:val="auto"/>
                      <w:kern w:val="0"/>
                      <w:szCs w:val="21"/>
                      <w:lang w:bidi="ar"/>
                    </w:rPr>
                  </w:pPr>
                  <w:r>
                    <w:rPr>
                      <w:rFonts w:hint="eastAsia"/>
                      <w:color w:val="auto"/>
                      <w:kern w:val="0"/>
                      <w:szCs w:val="21"/>
                      <w:lang w:bidi="ar"/>
                    </w:rPr>
                    <w:t>3</w:t>
                  </w:r>
                </w:p>
              </w:tc>
              <w:tc>
                <w:tcPr>
                  <w:tcW w:w="4140" w:type="dxa"/>
                  <w:vAlign w:val="center"/>
                </w:tcPr>
                <w:p>
                  <w:pPr>
                    <w:widowControl/>
                    <w:jc w:val="left"/>
                    <w:rPr>
                      <w:color w:val="auto"/>
                      <w:kern w:val="0"/>
                      <w:szCs w:val="21"/>
                    </w:rPr>
                  </w:pPr>
                  <w:r>
                    <w:rPr>
                      <w:color w:val="auto"/>
                      <w:kern w:val="0"/>
                      <w:szCs w:val="21"/>
                    </w:rPr>
                    <w:t>《&lt;长江经济带发展负面清单指南（试行，2022 年版）&gt;江苏省实施细则》（苏长江办发[2022]55 号）</w:t>
                  </w:r>
                </w:p>
              </w:tc>
              <w:tc>
                <w:tcPr>
                  <w:tcW w:w="2351" w:type="dxa"/>
                  <w:vAlign w:val="center"/>
                </w:tcPr>
                <w:p>
                  <w:pPr>
                    <w:widowControl/>
                    <w:jc w:val="left"/>
                    <w:rPr>
                      <w:color w:val="auto"/>
                      <w:kern w:val="0"/>
                      <w:szCs w:val="21"/>
                      <w:lang w:bidi="ar"/>
                    </w:rPr>
                  </w:pPr>
                  <w:r>
                    <w:rPr>
                      <w:color w:val="auto"/>
                      <w:kern w:val="0"/>
                      <w:szCs w:val="21"/>
                      <w:lang w:bidi="ar"/>
                    </w:rPr>
                    <w:t>不属于负面清单中禁止类项目</w:t>
                  </w:r>
                </w:p>
              </w:tc>
              <w:tc>
                <w:tcPr>
                  <w:tcW w:w="708" w:type="dxa"/>
                  <w:vAlign w:val="center"/>
                </w:tcPr>
                <w:p>
                  <w:pPr>
                    <w:widowControl/>
                    <w:jc w:val="center"/>
                    <w:rPr>
                      <w:color w:val="auto"/>
                      <w:kern w:val="0"/>
                      <w:szCs w:val="21"/>
                      <w:lang w:bidi="ar"/>
                    </w:rPr>
                  </w:pPr>
                  <w:r>
                    <w:rPr>
                      <w:color w:val="auto"/>
                      <w:kern w:val="0"/>
                      <w:szCs w:val="21"/>
                      <w:lang w:bidi="ar"/>
                    </w:rPr>
                    <w:t>符合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pPr>
                    <w:widowControl/>
                    <w:jc w:val="center"/>
                    <w:rPr>
                      <w:color w:val="auto"/>
                      <w:kern w:val="0"/>
                      <w:szCs w:val="21"/>
                      <w:lang w:bidi="ar"/>
                    </w:rPr>
                  </w:pPr>
                  <w:r>
                    <w:rPr>
                      <w:rFonts w:hint="eastAsia"/>
                      <w:color w:val="auto"/>
                      <w:kern w:val="0"/>
                      <w:szCs w:val="21"/>
                      <w:lang w:bidi="ar"/>
                    </w:rPr>
                    <w:t>4</w:t>
                  </w:r>
                </w:p>
              </w:tc>
              <w:tc>
                <w:tcPr>
                  <w:tcW w:w="4140" w:type="dxa"/>
                  <w:vAlign w:val="center"/>
                </w:tcPr>
                <w:p>
                  <w:pPr>
                    <w:widowControl/>
                    <w:jc w:val="left"/>
                    <w:rPr>
                      <w:color w:val="auto"/>
                      <w:kern w:val="0"/>
                      <w:szCs w:val="21"/>
                    </w:rPr>
                  </w:pPr>
                  <w:r>
                    <w:rPr>
                      <w:color w:val="auto"/>
                      <w:kern w:val="0"/>
                      <w:szCs w:val="21"/>
                    </w:rPr>
                    <w:t>根据《淮安市环境管控单元生态环境准入清单》（淮环发〔2020〕264号）文件要求：</w:t>
                  </w:r>
                </w:p>
                <w:p>
                  <w:pPr>
                    <w:widowControl/>
                    <w:jc w:val="left"/>
                    <w:rPr>
                      <w:color w:val="auto"/>
                      <w:kern w:val="0"/>
                      <w:szCs w:val="21"/>
                    </w:rPr>
                  </w:pPr>
                  <w:r>
                    <w:rPr>
                      <w:color w:val="auto"/>
                      <w:kern w:val="0"/>
                      <w:szCs w:val="21"/>
                    </w:rPr>
                    <w:t>（1）优先发展：以机械、电子、纺织、建材、物流产业为主。</w:t>
                  </w:r>
                </w:p>
                <w:p>
                  <w:pPr>
                    <w:widowControl/>
                    <w:jc w:val="left"/>
                    <w:rPr>
                      <w:color w:val="auto"/>
                      <w:kern w:val="0"/>
                      <w:szCs w:val="21"/>
                    </w:rPr>
                  </w:pPr>
                  <w:r>
                    <w:rPr>
                      <w:color w:val="auto"/>
                      <w:kern w:val="0"/>
                      <w:szCs w:val="21"/>
                    </w:rPr>
                    <w:t>（2）限制发展：①电子、机械：富士康集团占地 604ha，废水量控制在9.07万吨/日；电子配套区占地 42.43ha，废水量控制在0.66万吨/日。②纺织：含印染小区占地 44.48ha，废水量控制在 0.76万吨/日。③食品：白酒、酒精、糖精、味精等。</w:t>
                  </w:r>
                </w:p>
                <w:p>
                  <w:pPr>
                    <w:widowControl/>
                    <w:jc w:val="left"/>
                    <w:rPr>
                      <w:color w:val="auto"/>
                      <w:kern w:val="0"/>
                      <w:szCs w:val="21"/>
                    </w:rPr>
                  </w:pPr>
                  <w:r>
                    <w:rPr>
                      <w:color w:val="auto"/>
                      <w:kern w:val="0"/>
                      <w:szCs w:val="21"/>
                    </w:rPr>
                    <w:t>（3）禁止发展：①食品：油脂加工。②建材工业、新材料；水泥、化学合成材料。③生物医药：原药、医药中间体。④其它：非主导产业中污染较严重。</w:t>
                  </w:r>
                </w:p>
              </w:tc>
              <w:tc>
                <w:tcPr>
                  <w:tcW w:w="2351" w:type="dxa"/>
                  <w:vAlign w:val="center"/>
                </w:tcPr>
                <w:p>
                  <w:pPr>
                    <w:widowControl/>
                    <w:jc w:val="left"/>
                    <w:rPr>
                      <w:color w:val="auto"/>
                      <w:kern w:val="0"/>
                      <w:szCs w:val="21"/>
                      <w:lang w:bidi="ar"/>
                    </w:rPr>
                  </w:pPr>
                  <w:r>
                    <w:rPr>
                      <w:color w:val="auto"/>
                      <w:kern w:val="0"/>
                      <w:szCs w:val="21"/>
                      <w:lang w:bidi="ar"/>
                    </w:rPr>
                    <w:t>建设项目为钢结构制造项目，不属于限制、禁止发展类产业。</w:t>
                  </w:r>
                </w:p>
              </w:tc>
              <w:tc>
                <w:tcPr>
                  <w:tcW w:w="708" w:type="dxa"/>
                  <w:vAlign w:val="center"/>
                </w:tcPr>
                <w:p>
                  <w:pPr>
                    <w:widowControl/>
                    <w:jc w:val="center"/>
                    <w:rPr>
                      <w:color w:val="auto"/>
                      <w:kern w:val="0"/>
                      <w:szCs w:val="21"/>
                      <w:lang w:bidi="ar"/>
                    </w:rPr>
                  </w:pPr>
                  <w:r>
                    <w:rPr>
                      <w:color w:val="auto"/>
                      <w:kern w:val="0"/>
                      <w:szCs w:val="21"/>
                      <w:lang w:bidi="ar"/>
                    </w:rPr>
                    <w:t>符合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pPr>
                    <w:widowControl/>
                    <w:jc w:val="center"/>
                    <w:rPr>
                      <w:color w:val="auto"/>
                      <w:kern w:val="0"/>
                      <w:szCs w:val="21"/>
                      <w:lang w:bidi="ar"/>
                    </w:rPr>
                  </w:pPr>
                  <w:r>
                    <w:rPr>
                      <w:rFonts w:hint="eastAsia"/>
                      <w:color w:val="auto"/>
                      <w:kern w:val="0"/>
                      <w:szCs w:val="21"/>
                      <w:lang w:bidi="ar"/>
                    </w:rPr>
                    <w:t>5</w:t>
                  </w:r>
                </w:p>
              </w:tc>
              <w:tc>
                <w:tcPr>
                  <w:tcW w:w="4140" w:type="dxa"/>
                  <w:vAlign w:val="center"/>
                </w:tcPr>
                <w:p>
                  <w:pPr>
                    <w:widowControl/>
                    <w:jc w:val="left"/>
                    <w:rPr>
                      <w:color w:val="auto"/>
                      <w:kern w:val="0"/>
                      <w:szCs w:val="21"/>
                    </w:rPr>
                  </w:pPr>
                  <w:r>
                    <w:rPr>
                      <w:color w:val="auto"/>
                      <w:kern w:val="0"/>
                      <w:szCs w:val="21"/>
                    </w:rPr>
                    <w:t>《关于加快全省化工钢铁煤电行业转型升级高质量发展的实施意见》（苏办发[2018]32 号）附件3“江苏省产业结构调整限制、淘汰和禁止目录”</w:t>
                  </w:r>
                </w:p>
              </w:tc>
              <w:tc>
                <w:tcPr>
                  <w:tcW w:w="2351" w:type="dxa"/>
                  <w:vAlign w:val="center"/>
                </w:tcPr>
                <w:p>
                  <w:pPr>
                    <w:widowControl/>
                    <w:jc w:val="left"/>
                    <w:rPr>
                      <w:color w:val="auto"/>
                      <w:kern w:val="0"/>
                      <w:szCs w:val="21"/>
                      <w:lang w:bidi="ar"/>
                    </w:rPr>
                  </w:pPr>
                  <w:r>
                    <w:rPr>
                      <w:color w:val="auto"/>
                      <w:kern w:val="0"/>
                      <w:szCs w:val="21"/>
                      <w:lang w:bidi="ar"/>
                    </w:rPr>
                    <w:t>不属于限制类、淘汰类、禁止类项目</w:t>
                  </w:r>
                </w:p>
              </w:tc>
              <w:tc>
                <w:tcPr>
                  <w:tcW w:w="708" w:type="dxa"/>
                  <w:vAlign w:val="center"/>
                </w:tcPr>
                <w:p>
                  <w:pPr>
                    <w:widowControl/>
                    <w:jc w:val="center"/>
                    <w:rPr>
                      <w:color w:val="auto"/>
                      <w:kern w:val="0"/>
                      <w:szCs w:val="21"/>
                      <w:lang w:bidi="ar"/>
                    </w:rPr>
                  </w:pPr>
                  <w:r>
                    <w:rPr>
                      <w:color w:val="auto"/>
                      <w:kern w:val="0"/>
                      <w:szCs w:val="21"/>
                      <w:lang w:bidi="ar"/>
                    </w:rPr>
                    <w:t>符合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43" w:type="dxa"/>
                  <w:vAlign w:val="center"/>
                </w:tcPr>
                <w:p>
                  <w:pPr>
                    <w:widowControl/>
                    <w:jc w:val="center"/>
                    <w:rPr>
                      <w:color w:val="auto"/>
                      <w:kern w:val="0"/>
                      <w:szCs w:val="21"/>
                      <w:lang w:bidi="ar"/>
                    </w:rPr>
                  </w:pPr>
                  <w:r>
                    <w:rPr>
                      <w:rFonts w:hint="eastAsia"/>
                      <w:color w:val="auto"/>
                      <w:kern w:val="0"/>
                      <w:szCs w:val="21"/>
                      <w:lang w:bidi="ar"/>
                    </w:rPr>
                    <w:t>6</w:t>
                  </w:r>
                </w:p>
              </w:tc>
              <w:tc>
                <w:tcPr>
                  <w:tcW w:w="4140" w:type="dxa"/>
                  <w:vAlign w:val="center"/>
                </w:tcPr>
                <w:p>
                  <w:pPr>
                    <w:widowControl/>
                    <w:jc w:val="left"/>
                    <w:rPr>
                      <w:color w:val="auto"/>
                      <w:kern w:val="0"/>
                      <w:szCs w:val="21"/>
                    </w:rPr>
                  </w:pPr>
                  <w:r>
                    <w:rPr>
                      <w:color w:val="auto"/>
                      <w:kern w:val="0"/>
                      <w:szCs w:val="21"/>
                    </w:rPr>
                    <w:t>产业结构调整指导目录（2024年本）</w:t>
                  </w:r>
                </w:p>
              </w:tc>
              <w:tc>
                <w:tcPr>
                  <w:tcW w:w="2351" w:type="dxa"/>
                  <w:vAlign w:val="center"/>
                </w:tcPr>
                <w:p>
                  <w:pPr>
                    <w:widowControl/>
                    <w:jc w:val="left"/>
                    <w:rPr>
                      <w:color w:val="auto"/>
                      <w:kern w:val="0"/>
                      <w:szCs w:val="21"/>
                      <w:lang w:bidi="ar"/>
                    </w:rPr>
                  </w:pPr>
                  <w:r>
                    <w:rPr>
                      <w:color w:val="auto"/>
                      <w:kern w:val="0"/>
                      <w:szCs w:val="21"/>
                      <w:lang w:bidi="ar"/>
                    </w:rPr>
                    <w:t>不属于限制类、淘汰类项目</w:t>
                  </w:r>
                </w:p>
              </w:tc>
              <w:tc>
                <w:tcPr>
                  <w:tcW w:w="708" w:type="dxa"/>
                  <w:vAlign w:val="center"/>
                </w:tcPr>
                <w:p>
                  <w:pPr>
                    <w:widowControl/>
                    <w:jc w:val="center"/>
                    <w:rPr>
                      <w:color w:val="auto"/>
                      <w:kern w:val="0"/>
                      <w:szCs w:val="21"/>
                      <w:lang w:bidi="ar"/>
                    </w:rPr>
                  </w:pPr>
                  <w:r>
                    <w:rPr>
                      <w:color w:val="auto"/>
                      <w:kern w:val="0"/>
                      <w:szCs w:val="21"/>
                      <w:lang w:bidi="ar"/>
                    </w:rPr>
                    <w:t>符合</w:t>
                  </w:r>
                </w:p>
              </w:tc>
            </w:tr>
          </w:tbl>
          <w:p>
            <w:pPr>
              <w:pStyle w:val="2"/>
              <w:wordWrap w:val="0"/>
              <w:adjustRightInd w:val="0"/>
              <w:spacing w:before="0" w:after="0" w:line="360" w:lineRule="auto"/>
              <w:ind w:right="0" w:firstLine="480" w:firstLineChars="200"/>
              <w:rPr>
                <w:color w:val="auto"/>
                <w:sz w:val="24"/>
              </w:rPr>
            </w:pPr>
            <w:r>
              <w:rPr>
                <w:color w:val="auto"/>
                <w:sz w:val="24"/>
              </w:rPr>
              <w:t>综上所述，本项目的建设符合“三线一单”管控要求。</w:t>
            </w:r>
          </w:p>
          <w:p>
            <w:pPr>
              <w:wordWrap w:val="0"/>
              <w:spacing w:line="360" w:lineRule="auto"/>
              <w:ind w:firstLine="482" w:firstLineChars="200"/>
              <w:rPr>
                <w:b/>
                <w:color w:val="auto"/>
                <w:sz w:val="24"/>
              </w:rPr>
            </w:pPr>
            <w:bookmarkStart w:id="2" w:name="_Hlk61892080"/>
            <w:r>
              <w:rPr>
                <w:rFonts w:hint="eastAsia"/>
                <w:b/>
                <w:bCs/>
                <w:color w:val="auto"/>
                <w:sz w:val="24"/>
              </w:rPr>
              <w:t>1.7</w:t>
            </w:r>
            <w:r>
              <w:rPr>
                <w:b/>
                <w:color w:val="auto"/>
                <w:sz w:val="24"/>
              </w:rPr>
              <w:t>与</w:t>
            </w:r>
            <w:r>
              <w:rPr>
                <w:rFonts w:hint="eastAsia"/>
                <w:b/>
                <w:color w:val="auto"/>
                <w:sz w:val="24"/>
              </w:rPr>
              <w:t>其他</w:t>
            </w:r>
            <w:r>
              <w:rPr>
                <w:rFonts w:hAnsi="宋体"/>
                <w:b/>
                <w:color w:val="auto"/>
                <w:sz w:val="24"/>
              </w:rPr>
              <w:t>相关环保法规、指南等相符性分析</w:t>
            </w:r>
          </w:p>
          <w:p>
            <w:pPr>
              <w:adjustRightInd w:val="0"/>
              <w:snapToGrid w:val="0"/>
              <w:jc w:val="center"/>
              <w:rPr>
                <w:b/>
                <w:bCs/>
                <w:color w:val="auto"/>
                <w:sz w:val="24"/>
              </w:rPr>
            </w:pPr>
            <w:r>
              <w:rPr>
                <w:color w:val="auto"/>
                <w:sz w:val="24"/>
              </w:rPr>
              <w:t>建设项目与国家、江苏省、淮安市相关环保法规、指南相符性分析，见下表。</w:t>
            </w:r>
            <w:r>
              <w:rPr>
                <w:rFonts w:hAnsi="宋体"/>
                <w:b/>
                <w:bCs/>
                <w:color w:val="auto"/>
                <w:sz w:val="24"/>
              </w:rPr>
              <w:t>表</w:t>
            </w:r>
            <w:r>
              <w:rPr>
                <w:rFonts w:hint="eastAsia"/>
                <w:b/>
                <w:bCs/>
                <w:color w:val="auto"/>
                <w:sz w:val="24"/>
              </w:rPr>
              <w:t>1.7-1</w:t>
            </w:r>
            <w:r>
              <w:rPr>
                <w:rFonts w:hAnsi="宋体"/>
                <w:b/>
                <w:bCs/>
                <w:color w:val="auto"/>
                <w:sz w:val="24"/>
              </w:rPr>
              <w:t>相关环保法规、指南等相符性分析表</w:t>
            </w:r>
          </w:p>
          <w:tbl>
            <w:tblPr>
              <w:tblStyle w:val="20"/>
              <w:tblW w:w="5000" w:type="pct"/>
              <w:jc w:val="center"/>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28" w:type="dxa"/>
                <w:bottom w:w="0" w:type="dxa"/>
                <w:right w:w="28" w:type="dxa"/>
              </w:tblCellMar>
            </w:tblPr>
            <w:tblGrid>
              <w:gridCol w:w="1202"/>
              <w:gridCol w:w="582"/>
              <w:gridCol w:w="679"/>
              <w:gridCol w:w="2082"/>
              <w:gridCol w:w="2625"/>
              <w:gridCol w:w="449"/>
            </w:tblGrid>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812" w:hRule="atLeast"/>
                <w:jc w:val="center"/>
              </w:trPr>
              <w:tc>
                <w:tcPr>
                  <w:tcW w:w="1129" w:type="pct"/>
                  <w:gridSpan w:val="2"/>
                  <w:tcBorders>
                    <w:top w:val="single" w:color="000000" w:sz="12" w:space="0"/>
                    <w:left w:val="nil"/>
                    <w:bottom w:val="single" w:color="000000" w:sz="4" w:space="0"/>
                    <w:right w:val="single" w:color="000000" w:sz="4" w:space="0"/>
                  </w:tcBorders>
                  <w:vAlign w:val="center"/>
                </w:tcPr>
                <w:p>
                  <w:pPr>
                    <w:jc w:val="center"/>
                    <w:rPr>
                      <w:b/>
                      <w:bCs/>
                      <w:color w:val="auto"/>
                      <w:szCs w:val="21"/>
                    </w:rPr>
                  </w:pPr>
                  <w:r>
                    <w:rPr>
                      <w:b/>
                      <w:bCs/>
                      <w:color w:val="auto"/>
                      <w:szCs w:val="21"/>
                    </w:rPr>
                    <w:t>文件名称</w:t>
                  </w:r>
                </w:p>
              </w:tc>
              <w:tc>
                <w:tcPr>
                  <w:tcW w:w="1832" w:type="pct"/>
                  <w:gridSpan w:val="2"/>
                  <w:tcBorders>
                    <w:top w:val="single" w:color="000000" w:sz="12" w:space="0"/>
                    <w:left w:val="single" w:color="000000" w:sz="4" w:space="0"/>
                    <w:bottom w:val="single" w:color="000000" w:sz="4" w:space="0"/>
                    <w:right w:val="single" w:color="000000" w:sz="4" w:space="0"/>
                  </w:tcBorders>
                  <w:vAlign w:val="center"/>
                </w:tcPr>
                <w:p>
                  <w:pPr>
                    <w:jc w:val="center"/>
                    <w:rPr>
                      <w:b/>
                      <w:bCs/>
                      <w:color w:val="auto"/>
                      <w:szCs w:val="21"/>
                    </w:rPr>
                  </w:pPr>
                  <w:r>
                    <w:rPr>
                      <w:b/>
                      <w:bCs/>
                      <w:color w:val="auto"/>
                      <w:szCs w:val="21"/>
                    </w:rPr>
                    <w:t>要求</w:t>
                  </w:r>
                </w:p>
              </w:tc>
              <w:tc>
                <w:tcPr>
                  <w:tcW w:w="1732" w:type="pct"/>
                  <w:tcBorders>
                    <w:top w:val="single" w:color="000000" w:sz="12" w:space="0"/>
                    <w:left w:val="single" w:color="000000" w:sz="4" w:space="0"/>
                    <w:bottom w:val="single" w:color="000000" w:sz="4" w:space="0"/>
                    <w:right w:val="single" w:color="000000" w:sz="4" w:space="0"/>
                  </w:tcBorders>
                  <w:vAlign w:val="center"/>
                </w:tcPr>
                <w:p>
                  <w:pPr>
                    <w:jc w:val="center"/>
                    <w:rPr>
                      <w:b/>
                      <w:bCs/>
                      <w:color w:val="auto"/>
                      <w:szCs w:val="21"/>
                    </w:rPr>
                  </w:pPr>
                  <w:r>
                    <w:rPr>
                      <w:b/>
                      <w:bCs/>
                      <w:color w:val="auto"/>
                      <w:szCs w:val="21"/>
                    </w:rPr>
                    <w:t>建设项目情况</w:t>
                  </w:r>
                </w:p>
              </w:tc>
              <w:tc>
                <w:tcPr>
                  <w:tcW w:w="305" w:type="pct"/>
                  <w:tcBorders>
                    <w:top w:val="single" w:color="000000" w:sz="12" w:space="0"/>
                    <w:left w:val="single" w:color="000000" w:sz="4" w:space="0"/>
                    <w:bottom w:val="single" w:color="000000" w:sz="4" w:space="0"/>
                    <w:right w:val="nil"/>
                  </w:tcBorders>
                  <w:vAlign w:val="center"/>
                </w:tcPr>
                <w:p>
                  <w:pPr>
                    <w:jc w:val="center"/>
                    <w:rPr>
                      <w:b/>
                      <w:bCs/>
                      <w:color w:val="auto"/>
                      <w:szCs w:val="21"/>
                    </w:rPr>
                  </w:pPr>
                  <w:r>
                    <w:rPr>
                      <w:b/>
                      <w:bCs/>
                      <w:color w:val="auto"/>
                      <w:szCs w:val="21"/>
                    </w:rPr>
                    <w:t>相符性判定</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129" w:type="pct"/>
                  <w:gridSpan w:val="2"/>
                  <w:vMerge w:val="restart"/>
                  <w:tcBorders>
                    <w:top w:val="single" w:color="000000" w:sz="4" w:space="0"/>
                    <w:left w:val="nil"/>
                    <w:right w:val="single" w:color="000000" w:sz="4" w:space="0"/>
                  </w:tcBorders>
                  <w:vAlign w:val="center"/>
                </w:tcPr>
                <w:p>
                  <w:pPr>
                    <w:jc w:val="left"/>
                    <w:rPr>
                      <w:color w:val="auto"/>
                      <w:szCs w:val="21"/>
                    </w:rPr>
                  </w:pPr>
                  <w:r>
                    <w:rPr>
                      <w:color w:val="auto"/>
                      <w:szCs w:val="21"/>
                    </w:rPr>
                    <w:t>《挥发性有机物无组织排放控制标准》（GB37822-2019）</w:t>
                  </w:r>
                </w:p>
              </w:tc>
              <w:tc>
                <w:tcPr>
                  <w:tcW w:w="1832" w:type="pct"/>
                  <w:gridSpan w:val="2"/>
                  <w:tcBorders>
                    <w:top w:val="single" w:color="000000" w:sz="4" w:space="0"/>
                    <w:left w:val="single" w:color="000000" w:sz="4" w:space="0"/>
                    <w:bottom w:val="single" w:color="000000" w:sz="4" w:space="0"/>
                    <w:right w:val="single" w:color="000000" w:sz="4" w:space="0"/>
                  </w:tcBorders>
                  <w:vAlign w:val="center"/>
                </w:tcPr>
                <w:p>
                  <w:pPr>
                    <w:rPr>
                      <w:color w:val="auto"/>
                      <w:szCs w:val="21"/>
                    </w:rPr>
                  </w:pPr>
                  <w:r>
                    <w:rPr>
                      <w:color w:val="auto"/>
                      <w:szCs w:val="21"/>
                    </w:rPr>
                    <w:t>企业应考虑生产工艺、操作方式、废气性质、处理方法等因数，对VOCs废气进行分类收集。</w:t>
                  </w:r>
                </w:p>
              </w:tc>
              <w:tc>
                <w:tcPr>
                  <w:tcW w:w="1732"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both"/>
                    <w:rPr>
                      <w:color w:val="auto"/>
                      <w:szCs w:val="21"/>
                    </w:rPr>
                  </w:pPr>
                  <w:r>
                    <w:rPr>
                      <w:rFonts w:hint="eastAsia"/>
                      <w:color w:val="auto"/>
                      <w:szCs w:val="21"/>
                    </w:rPr>
                    <w:t>项目调漆、喷漆、晾干废气</w:t>
                  </w:r>
                  <w:r>
                    <w:rPr>
                      <w:rFonts w:hint="eastAsia"/>
                      <w:color w:val="auto"/>
                      <w:szCs w:val="21"/>
                      <w:lang w:eastAsia="zh-CN"/>
                    </w:rPr>
                    <w:t>、危废库废气</w:t>
                  </w:r>
                  <w:r>
                    <w:rPr>
                      <w:rFonts w:hint="eastAsia"/>
                      <w:color w:val="auto"/>
                      <w:szCs w:val="21"/>
                    </w:rPr>
                    <w:t>经</w:t>
                  </w:r>
                  <w:r>
                    <w:rPr>
                      <w:rFonts w:hint="eastAsia"/>
                      <w:color w:val="auto"/>
                      <w:szCs w:val="21"/>
                      <w:lang w:eastAsia="zh-CN"/>
                    </w:rPr>
                    <w:t>车间密闭负压</w:t>
                  </w:r>
                  <w:r>
                    <w:rPr>
                      <w:rFonts w:hint="eastAsia"/>
                      <w:color w:val="auto"/>
                      <w:szCs w:val="21"/>
                    </w:rPr>
                    <w:t>收集，通过干式过滤器+二级活性炭处理</w:t>
                  </w:r>
                </w:p>
              </w:tc>
              <w:tc>
                <w:tcPr>
                  <w:tcW w:w="305" w:type="pct"/>
                  <w:vMerge w:val="restart"/>
                  <w:tcBorders>
                    <w:top w:val="single" w:color="000000" w:sz="4" w:space="0"/>
                    <w:left w:val="single" w:color="000000" w:sz="4" w:space="0"/>
                    <w:right w:val="nil"/>
                  </w:tcBorders>
                  <w:vAlign w:val="center"/>
                </w:tcPr>
                <w:p>
                  <w:pPr>
                    <w:jc w:val="center"/>
                    <w:rPr>
                      <w:color w:val="auto"/>
                      <w:szCs w:val="21"/>
                    </w:rPr>
                  </w:pPr>
                  <w:r>
                    <w:rPr>
                      <w:color w:val="auto"/>
                      <w:szCs w:val="21"/>
                    </w:rPr>
                    <w:t>符合</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414" w:hRule="atLeast"/>
                <w:jc w:val="center"/>
              </w:trPr>
              <w:tc>
                <w:tcPr>
                  <w:tcW w:w="1129" w:type="pct"/>
                  <w:gridSpan w:val="2"/>
                  <w:vMerge w:val="continue"/>
                  <w:tcBorders>
                    <w:left w:val="nil"/>
                    <w:right w:val="single" w:color="000000" w:sz="4" w:space="0"/>
                  </w:tcBorders>
                  <w:vAlign w:val="center"/>
                </w:tcPr>
                <w:p>
                  <w:pPr>
                    <w:jc w:val="left"/>
                    <w:rPr>
                      <w:color w:val="auto"/>
                      <w:szCs w:val="21"/>
                    </w:rPr>
                  </w:pPr>
                </w:p>
              </w:tc>
              <w:tc>
                <w:tcPr>
                  <w:tcW w:w="1832" w:type="pct"/>
                  <w:gridSpan w:val="2"/>
                  <w:tcBorders>
                    <w:top w:val="single" w:color="000000" w:sz="4" w:space="0"/>
                    <w:left w:val="single" w:color="000000" w:sz="4" w:space="0"/>
                    <w:bottom w:val="single" w:color="000000" w:sz="4" w:space="0"/>
                    <w:right w:val="single" w:color="000000" w:sz="4" w:space="0"/>
                  </w:tcBorders>
                  <w:vAlign w:val="center"/>
                </w:tcPr>
                <w:p>
                  <w:pPr>
                    <w:rPr>
                      <w:color w:val="auto"/>
                      <w:szCs w:val="21"/>
                    </w:rPr>
                  </w:pPr>
                  <w:r>
                    <w:rPr>
                      <w:color w:val="auto"/>
                      <w:szCs w:val="21"/>
                    </w:rPr>
                    <w:t>废气收集系统的输送管道应密闭。</w:t>
                  </w:r>
                </w:p>
              </w:tc>
              <w:tc>
                <w:tcPr>
                  <w:tcW w:w="1732" w:type="pct"/>
                  <w:tcBorders>
                    <w:top w:val="single" w:color="000000" w:sz="4" w:space="0"/>
                    <w:left w:val="single" w:color="000000" w:sz="4" w:space="0"/>
                    <w:bottom w:val="single" w:color="000000" w:sz="4" w:space="0"/>
                    <w:right w:val="single" w:color="000000" w:sz="4" w:space="0"/>
                  </w:tcBorders>
                  <w:vAlign w:val="center"/>
                </w:tcPr>
                <w:p>
                  <w:pPr>
                    <w:jc w:val="both"/>
                    <w:rPr>
                      <w:color w:val="auto"/>
                      <w:szCs w:val="21"/>
                    </w:rPr>
                  </w:pPr>
                  <w:r>
                    <w:rPr>
                      <w:color w:val="auto"/>
                      <w:szCs w:val="21"/>
                    </w:rPr>
                    <w:t>建设项目废气收集系统的输送管道密闭。</w:t>
                  </w:r>
                </w:p>
              </w:tc>
              <w:tc>
                <w:tcPr>
                  <w:tcW w:w="305" w:type="pct"/>
                  <w:vMerge w:val="continue"/>
                  <w:tcBorders>
                    <w:left w:val="single" w:color="000000" w:sz="4" w:space="0"/>
                    <w:right w:val="nil"/>
                  </w:tcBorders>
                  <w:vAlign w:val="center"/>
                </w:tcPr>
                <w:p>
                  <w:pPr>
                    <w:jc w:val="center"/>
                    <w:rPr>
                      <w:color w:val="auto"/>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129" w:type="pct"/>
                  <w:gridSpan w:val="2"/>
                  <w:vMerge w:val="continue"/>
                  <w:tcBorders>
                    <w:left w:val="nil"/>
                    <w:right w:val="single" w:color="000000" w:sz="4" w:space="0"/>
                  </w:tcBorders>
                  <w:vAlign w:val="center"/>
                </w:tcPr>
                <w:p>
                  <w:pPr>
                    <w:jc w:val="left"/>
                    <w:rPr>
                      <w:color w:val="auto"/>
                      <w:szCs w:val="21"/>
                    </w:rPr>
                  </w:pPr>
                </w:p>
              </w:tc>
              <w:tc>
                <w:tcPr>
                  <w:tcW w:w="1832" w:type="pct"/>
                  <w:gridSpan w:val="2"/>
                  <w:tcBorders>
                    <w:top w:val="single" w:color="000000" w:sz="4" w:space="0"/>
                    <w:left w:val="single" w:color="000000" w:sz="4" w:space="0"/>
                    <w:bottom w:val="single" w:color="000000" w:sz="4" w:space="0"/>
                    <w:right w:val="single" w:color="000000" w:sz="4" w:space="0"/>
                  </w:tcBorders>
                  <w:vAlign w:val="center"/>
                </w:tcPr>
                <w:p>
                  <w:pPr>
                    <w:rPr>
                      <w:color w:val="auto"/>
                      <w:szCs w:val="21"/>
                    </w:rPr>
                  </w:pPr>
                  <w:r>
                    <w:rPr>
                      <w:color w:val="auto"/>
                      <w:szCs w:val="21"/>
                    </w:rPr>
                    <w:t>收集处理系统污染物排放应符合GB16297或相关行业排放标准的规定。</w:t>
                  </w:r>
                </w:p>
              </w:tc>
              <w:tc>
                <w:tcPr>
                  <w:tcW w:w="1732" w:type="pct"/>
                  <w:tcBorders>
                    <w:top w:val="single" w:color="000000" w:sz="4" w:space="0"/>
                    <w:left w:val="single" w:color="000000" w:sz="4" w:space="0"/>
                    <w:bottom w:val="single" w:color="000000" w:sz="4" w:space="0"/>
                    <w:right w:val="single" w:color="000000" w:sz="4" w:space="0"/>
                  </w:tcBorders>
                  <w:vAlign w:val="center"/>
                </w:tcPr>
                <w:p>
                  <w:pPr>
                    <w:jc w:val="both"/>
                    <w:rPr>
                      <w:color w:val="auto"/>
                      <w:szCs w:val="21"/>
                    </w:rPr>
                  </w:pPr>
                  <w:r>
                    <w:rPr>
                      <w:rFonts w:hint="eastAsia"/>
                      <w:color w:val="auto"/>
                      <w:szCs w:val="21"/>
                    </w:rPr>
                    <w:t>本项目切割、焊接</w:t>
                  </w:r>
                  <w:r>
                    <w:rPr>
                      <w:rFonts w:hint="eastAsia"/>
                      <w:color w:val="auto"/>
                      <w:szCs w:val="21"/>
                      <w:lang w:eastAsia="zh-CN"/>
                    </w:rPr>
                    <w:t>、抛丸</w:t>
                  </w:r>
                  <w:r>
                    <w:rPr>
                      <w:color w:val="auto"/>
                      <w:szCs w:val="21"/>
                    </w:rPr>
                    <w:t>颗粒物</w:t>
                  </w:r>
                  <w:r>
                    <w:rPr>
                      <w:rFonts w:hint="eastAsia"/>
                      <w:color w:val="auto"/>
                      <w:szCs w:val="21"/>
                    </w:rPr>
                    <w:t>执行</w:t>
                  </w:r>
                  <w:r>
                    <w:rPr>
                      <w:color w:val="auto"/>
                      <w:szCs w:val="21"/>
                    </w:rPr>
                    <w:t>污染物综合排放标准（DB32/4041-2021）表1规定的大气污染物有组织排放限值，</w:t>
                  </w:r>
                  <w:r>
                    <w:rPr>
                      <w:rFonts w:hint="eastAsia"/>
                      <w:color w:val="auto"/>
                      <w:szCs w:val="21"/>
                    </w:rPr>
                    <w:t>调漆、喷漆、晾干</w:t>
                  </w:r>
                  <w:r>
                    <w:rPr>
                      <w:color w:val="auto"/>
                      <w:szCs w:val="21"/>
                    </w:rPr>
                    <w:t>非甲烷总烃、颗粒物排放满足表面涂装（工程机械和钢结构行业）大气污染物排放标准（DB32/4147-2021）表1排放标准限值，大气污染物综合排放标准（DB324041-2021）表3排放标准限值</w:t>
                  </w:r>
                </w:p>
              </w:tc>
              <w:tc>
                <w:tcPr>
                  <w:tcW w:w="305" w:type="pct"/>
                  <w:vMerge w:val="continue"/>
                  <w:tcBorders>
                    <w:left w:val="single" w:color="000000" w:sz="4" w:space="0"/>
                    <w:right w:val="nil"/>
                  </w:tcBorders>
                  <w:vAlign w:val="center"/>
                </w:tcPr>
                <w:p>
                  <w:pPr>
                    <w:jc w:val="center"/>
                    <w:rPr>
                      <w:color w:val="auto"/>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129" w:type="pct"/>
                  <w:gridSpan w:val="2"/>
                  <w:vMerge w:val="continue"/>
                  <w:tcBorders>
                    <w:left w:val="nil"/>
                    <w:right w:val="single" w:color="000000" w:sz="4" w:space="0"/>
                  </w:tcBorders>
                  <w:vAlign w:val="center"/>
                </w:tcPr>
                <w:p>
                  <w:pPr>
                    <w:jc w:val="left"/>
                    <w:rPr>
                      <w:color w:val="auto"/>
                      <w:szCs w:val="21"/>
                    </w:rPr>
                  </w:pPr>
                </w:p>
              </w:tc>
              <w:tc>
                <w:tcPr>
                  <w:tcW w:w="1832" w:type="pct"/>
                  <w:gridSpan w:val="2"/>
                  <w:tcBorders>
                    <w:top w:val="single" w:color="000000" w:sz="4" w:space="0"/>
                    <w:left w:val="single" w:color="000000" w:sz="4" w:space="0"/>
                    <w:bottom w:val="single" w:color="000000" w:sz="4" w:space="0"/>
                    <w:right w:val="single" w:color="000000" w:sz="4" w:space="0"/>
                  </w:tcBorders>
                </w:tcPr>
                <w:p>
                  <w:pPr>
                    <w:jc w:val="left"/>
                    <w:rPr>
                      <w:color w:val="auto"/>
                      <w:szCs w:val="21"/>
                    </w:rPr>
                  </w:pPr>
                  <w:r>
                    <w:rPr>
                      <w:color w:val="auto"/>
                      <w:szCs w:val="21"/>
                    </w:rPr>
                    <w:t>收集的废气中NMHC初始排放速率≥3kg/h时，应配置VOCs处理设施，处理效率不应低于80%；对于重点地区，收集的废气NMHC初始排放速率≥2kg/h时，应配置VOCs处理设施，处理效率不应低于80%；采用的原辅材料符合国家有关低VOCs含量产品规定的除外。</w:t>
                  </w:r>
                </w:p>
              </w:tc>
              <w:tc>
                <w:tcPr>
                  <w:tcW w:w="1732" w:type="pct"/>
                  <w:tcBorders>
                    <w:top w:val="single" w:color="000000" w:sz="4" w:space="0"/>
                    <w:left w:val="single" w:color="000000" w:sz="4" w:space="0"/>
                    <w:bottom w:val="single" w:color="000000" w:sz="4" w:space="0"/>
                    <w:right w:val="single" w:color="000000" w:sz="4" w:space="0"/>
                  </w:tcBorders>
                  <w:vAlign w:val="center"/>
                </w:tcPr>
                <w:p>
                  <w:pPr>
                    <w:jc w:val="both"/>
                    <w:rPr>
                      <w:color w:val="auto"/>
                      <w:szCs w:val="21"/>
                    </w:rPr>
                  </w:pPr>
                  <w:r>
                    <w:rPr>
                      <w:rFonts w:hint="eastAsia"/>
                      <w:color w:val="auto"/>
                      <w:szCs w:val="21"/>
                    </w:rPr>
                    <w:t>项目调漆、喷漆、晾干废气</w:t>
                  </w:r>
                  <w:r>
                    <w:rPr>
                      <w:rFonts w:hint="eastAsia"/>
                      <w:color w:val="auto"/>
                      <w:szCs w:val="21"/>
                      <w:lang w:eastAsia="zh-CN"/>
                    </w:rPr>
                    <w:t>、危废库废气</w:t>
                  </w:r>
                  <w:r>
                    <w:rPr>
                      <w:rFonts w:hint="eastAsia"/>
                      <w:color w:val="auto"/>
                      <w:szCs w:val="21"/>
                    </w:rPr>
                    <w:t>经</w:t>
                  </w:r>
                  <w:r>
                    <w:rPr>
                      <w:rFonts w:hint="eastAsia"/>
                      <w:color w:val="auto"/>
                      <w:szCs w:val="21"/>
                      <w:lang w:eastAsia="zh-CN"/>
                    </w:rPr>
                    <w:t>车间密闭负压</w:t>
                  </w:r>
                  <w:r>
                    <w:rPr>
                      <w:rFonts w:hint="eastAsia"/>
                      <w:color w:val="auto"/>
                      <w:szCs w:val="21"/>
                    </w:rPr>
                    <w:t>收集，干式过滤器+二级活性炭处理，处理效率为90%</w:t>
                  </w:r>
                </w:p>
              </w:tc>
              <w:tc>
                <w:tcPr>
                  <w:tcW w:w="305" w:type="pct"/>
                  <w:vMerge w:val="continue"/>
                  <w:tcBorders>
                    <w:left w:val="single" w:color="000000" w:sz="4" w:space="0"/>
                    <w:right w:val="nil"/>
                  </w:tcBorders>
                  <w:vAlign w:val="center"/>
                </w:tcPr>
                <w:p>
                  <w:pPr>
                    <w:jc w:val="center"/>
                    <w:rPr>
                      <w:color w:val="auto"/>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129" w:type="pct"/>
                  <w:gridSpan w:val="2"/>
                  <w:vMerge w:val="continue"/>
                  <w:tcBorders>
                    <w:left w:val="nil"/>
                    <w:right w:val="single" w:color="000000" w:sz="4" w:space="0"/>
                  </w:tcBorders>
                  <w:vAlign w:val="center"/>
                </w:tcPr>
                <w:p>
                  <w:pPr>
                    <w:jc w:val="left"/>
                    <w:rPr>
                      <w:color w:val="auto"/>
                      <w:szCs w:val="21"/>
                    </w:rPr>
                  </w:pPr>
                </w:p>
              </w:tc>
              <w:tc>
                <w:tcPr>
                  <w:tcW w:w="1832" w:type="pct"/>
                  <w:gridSpan w:val="2"/>
                  <w:tcBorders>
                    <w:top w:val="single" w:color="000000" w:sz="4" w:space="0"/>
                    <w:left w:val="single" w:color="000000" w:sz="4" w:space="0"/>
                    <w:bottom w:val="single" w:color="000000" w:sz="4" w:space="0"/>
                    <w:right w:val="single" w:color="000000" w:sz="4" w:space="0"/>
                  </w:tcBorders>
                </w:tcPr>
                <w:p>
                  <w:pPr>
                    <w:jc w:val="left"/>
                    <w:rPr>
                      <w:color w:val="auto"/>
                      <w:szCs w:val="21"/>
                    </w:rPr>
                  </w:pPr>
                  <w:r>
                    <w:rPr>
                      <w:color w:val="auto"/>
                      <w:szCs w:val="21"/>
                    </w:rPr>
                    <w:t>排气筒高度不低于15m（因安全考虑或有特殊工艺要求的除外），具体高度以及与周围建筑物的相对高度关系应根据环境影响评价文件确定。</w:t>
                  </w:r>
                </w:p>
              </w:tc>
              <w:tc>
                <w:tcPr>
                  <w:tcW w:w="1732" w:type="pct"/>
                  <w:tcBorders>
                    <w:top w:val="single" w:color="000000" w:sz="4" w:space="0"/>
                    <w:left w:val="single" w:color="000000" w:sz="4" w:space="0"/>
                    <w:bottom w:val="single" w:color="000000" w:sz="4" w:space="0"/>
                    <w:right w:val="single" w:color="000000" w:sz="4" w:space="0"/>
                  </w:tcBorders>
                  <w:vAlign w:val="center"/>
                </w:tcPr>
                <w:p>
                  <w:pPr>
                    <w:jc w:val="left"/>
                    <w:rPr>
                      <w:color w:val="auto"/>
                      <w:szCs w:val="21"/>
                    </w:rPr>
                  </w:pPr>
                  <w:r>
                    <w:rPr>
                      <w:color w:val="auto"/>
                      <w:szCs w:val="21"/>
                    </w:rPr>
                    <w:t>建设项目排气筒高度</w:t>
                  </w:r>
                  <w:r>
                    <w:rPr>
                      <w:rFonts w:hint="eastAsia"/>
                      <w:color w:val="auto"/>
                      <w:szCs w:val="21"/>
                    </w:rPr>
                    <w:t>为</w:t>
                  </w:r>
                  <w:r>
                    <w:rPr>
                      <w:color w:val="auto"/>
                      <w:szCs w:val="21"/>
                    </w:rPr>
                    <w:t>15m。</w:t>
                  </w:r>
                </w:p>
              </w:tc>
              <w:tc>
                <w:tcPr>
                  <w:tcW w:w="305" w:type="pct"/>
                  <w:vMerge w:val="continue"/>
                  <w:tcBorders>
                    <w:left w:val="single" w:color="000000" w:sz="4" w:space="0"/>
                    <w:right w:val="nil"/>
                  </w:tcBorders>
                  <w:vAlign w:val="center"/>
                </w:tcPr>
                <w:p>
                  <w:pPr>
                    <w:jc w:val="center"/>
                    <w:rPr>
                      <w:color w:val="auto"/>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129" w:type="pct"/>
                  <w:gridSpan w:val="2"/>
                  <w:tcBorders>
                    <w:left w:val="nil"/>
                    <w:right w:val="single" w:color="000000" w:sz="4" w:space="0"/>
                  </w:tcBorders>
                  <w:vAlign w:val="center"/>
                </w:tcPr>
                <w:p>
                  <w:pPr>
                    <w:jc w:val="left"/>
                    <w:rPr>
                      <w:color w:val="auto"/>
                      <w:szCs w:val="21"/>
                    </w:rPr>
                  </w:pPr>
                  <w:r>
                    <w:rPr>
                      <w:color w:val="auto"/>
                      <w:szCs w:val="21"/>
                    </w:rPr>
                    <w:t>《江苏省挥发性有机物污染防治管理办法》(省政府令119号)</w:t>
                  </w:r>
                </w:p>
              </w:tc>
              <w:tc>
                <w:tcPr>
                  <w:tcW w:w="1832" w:type="pct"/>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color w:val="auto"/>
                      <w:szCs w:val="21"/>
                    </w:rPr>
                  </w:pPr>
                  <w:r>
                    <w:rPr>
                      <w:color w:val="auto"/>
                      <w:szCs w:val="21"/>
                    </w:rPr>
                    <w:t>产生挥发性有机物废气的生产经营活动应当在密闭空间或者密闭设备中进行。生产场所、生产设备应当按照环境保护和安全生产等要求设计、安装和有效运行挥发性有机物回收或净化设施；</w:t>
                  </w:r>
                </w:p>
                <w:p>
                  <w:pPr>
                    <w:jc w:val="left"/>
                    <w:rPr>
                      <w:color w:val="auto"/>
                      <w:szCs w:val="21"/>
                    </w:rPr>
                  </w:pPr>
                  <w:r>
                    <w:rPr>
                      <w:color w:val="auto"/>
                      <w:szCs w:val="21"/>
                    </w:rPr>
                    <w:t>固体废物、废水、废气处理系统产生的废气应当收集和处理；含有挥发性有机物的物料应当密闭储存、运输、装卸、禁止敞口和露天放置。无法在密闭空间进行的生产经营活动应当采取有效措施，减少挥发性有机物排放量。</w:t>
                  </w:r>
                </w:p>
              </w:tc>
              <w:tc>
                <w:tcPr>
                  <w:tcW w:w="1732" w:type="pct"/>
                  <w:tcBorders>
                    <w:top w:val="single" w:color="000000" w:sz="4" w:space="0"/>
                    <w:left w:val="single" w:color="000000" w:sz="4" w:space="0"/>
                    <w:bottom w:val="single" w:color="000000" w:sz="4" w:space="0"/>
                    <w:right w:val="single" w:color="000000" w:sz="4" w:space="0"/>
                  </w:tcBorders>
                  <w:vAlign w:val="center"/>
                </w:tcPr>
                <w:p>
                  <w:pPr>
                    <w:jc w:val="both"/>
                    <w:rPr>
                      <w:color w:val="auto"/>
                      <w:szCs w:val="21"/>
                    </w:rPr>
                  </w:pPr>
                  <w:r>
                    <w:rPr>
                      <w:rFonts w:hint="eastAsia"/>
                      <w:color w:val="auto"/>
                      <w:szCs w:val="21"/>
                    </w:rPr>
                    <w:t>项目焊接废气</w:t>
                  </w:r>
                  <w:r>
                    <w:rPr>
                      <w:rFonts w:hint="eastAsia"/>
                      <w:color w:val="auto"/>
                      <w:szCs w:val="21"/>
                      <w:lang w:eastAsia="zh-CN"/>
                    </w:rPr>
                    <w:t>、</w:t>
                  </w:r>
                  <w:r>
                    <w:rPr>
                      <w:rFonts w:hint="eastAsia"/>
                      <w:color w:val="auto"/>
                      <w:szCs w:val="21"/>
                    </w:rPr>
                    <w:t>抛丸废气、打磨废气经集气罩收集后布袋除尘器处理经DA001排气筒排放，调漆、喷漆、晾干废气</w:t>
                  </w:r>
                  <w:r>
                    <w:rPr>
                      <w:rFonts w:hint="eastAsia"/>
                      <w:color w:val="auto"/>
                      <w:szCs w:val="21"/>
                      <w:lang w:eastAsia="zh-CN"/>
                    </w:rPr>
                    <w:t>、危废库废气</w:t>
                  </w:r>
                  <w:r>
                    <w:rPr>
                      <w:rFonts w:hint="eastAsia"/>
                      <w:color w:val="auto"/>
                      <w:szCs w:val="21"/>
                    </w:rPr>
                    <w:t>经</w:t>
                  </w:r>
                  <w:r>
                    <w:rPr>
                      <w:rFonts w:hint="eastAsia"/>
                      <w:color w:val="auto"/>
                      <w:szCs w:val="21"/>
                      <w:lang w:eastAsia="zh-CN"/>
                    </w:rPr>
                    <w:t>车间密闭负压</w:t>
                  </w:r>
                  <w:r>
                    <w:rPr>
                      <w:rFonts w:hint="eastAsia"/>
                      <w:color w:val="auto"/>
                      <w:szCs w:val="21"/>
                    </w:rPr>
                    <w:t>收集，干式过滤器+二级活性炭处理经DA002排气筒排放</w:t>
                  </w:r>
                  <w:r>
                    <w:rPr>
                      <w:color w:val="auto"/>
                      <w:szCs w:val="21"/>
                    </w:rPr>
                    <w:t>；原辅料中密闭</w:t>
                  </w:r>
                  <w:r>
                    <w:rPr>
                      <w:rFonts w:hint="eastAsia"/>
                      <w:color w:val="auto"/>
                      <w:szCs w:val="21"/>
                    </w:rPr>
                    <w:t>存放于</w:t>
                  </w:r>
                  <w:r>
                    <w:rPr>
                      <w:color w:val="auto"/>
                      <w:szCs w:val="21"/>
                    </w:rPr>
                    <w:t>原料仓库中储存。</w:t>
                  </w:r>
                </w:p>
              </w:tc>
              <w:tc>
                <w:tcPr>
                  <w:tcW w:w="305" w:type="pct"/>
                  <w:tcBorders>
                    <w:left w:val="single" w:color="000000" w:sz="4" w:space="0"/>
                    <w:right w:val="nil"/>
                  </w:tcBorders>
                  <w:vAlign w:val="center"/>
                </w:tcPr>
                <w:p>
                  <w:pPr>
                    <w:jc w:val="center"/>
                    <w:rPr>
                      <w:color w:val="auto"/>
                      <w:szCs w:val="21"/>
                    </w:rPr>
                  </w:pPr>
                  <w:r>
                    <w:rPr>
                      <w:color w:val="auto"/>
                      <w:szCs w:val="21"/>
                    </w:rPr>
                    <w:t>符合</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129" w:type="pct"/>
                  <w:gridSpan w:val="2"/>
                  <w:vMerge w:val="restart"/>
                  <w:tcBorders>
                    <w:left w:val="nil"/>
                    <w:right w:val="single" w:color="000000" w:sz="4" w:space="0"/>
                  </w:tcBorders>
                  <w:vAlign w:val="center"/>
                </w:tcPr>
                <w:p>
                  <w:pPr>
                    <w:jc w:val="left"/>
                    <w:rPr>
                      <w:color w:val="auto"/>
                      <w:szCs w:val="21"/>
                    </w:rPr>
                  </w:pPr>
                  <w:r>
                    <w:rPr>
                      <w:color w:val="auto"/>
                      <w:szCs w:val="21"/>
                    </w:rPr>
                    <w:t>《省生态环境厅关于实施厂区内挥发性有机物无组织排放监控要求的通告》（苏环办[2020]218号）</w:t>
                  </w:r>
                </w:p>
              </w:tc>
              <w:tc>
                <w:tcPr>
                  <w:tcW w:w="1832" w:type="pct"/>
                  <w:gridSpan w:val="2"/>
                  <w:tcBorders>
                    <w:top w:val="single" w:color="000000" w:sz="4" w:space="0"/>
                    <w:left w:val="single" w:color="000000" w:sz="4" w:space="0"/>
                    <w:bottom w:val="single" w:color="000000" w:sz="4" w:space="0"/>
                    <w:right w:val="single" w:color="000000" w:sz="4" w:space="0"/>
                  </w:tcBorders>
                  <w:vAlign w:val="center"/>
                </w:tcPr>
                <w:p>
                  <w:pPr>
                    <w:jc w:val="left"/>
                    <w:rPr>
                      <w:color w:val="auto"/>
                      <w:szCs w:val="21"/>
                    </w:rPr>
                  </w:pPr>
                  <w:r>
                    <w:rPr>
                      <w:color w:val="auto"/>
                      <w:szCs w:val="21"/>
                    </w:rPr>
                    <w:t>自2020年7月1日起，我省全面实施《</w:t>
                  </w:r>
                  <w:bookmarkStart w:id="3" w:name="OLE_LINK5"/>
                  <w:r>
                    <w:rPr>
                      <w:color w:val="auto"/>
                      <w:szCs w:val="21"/>
                    </w:rPr>
                    <w:t>挥发性有机物无组织排放控制标准</w:t>
                  </w:r>
                  <w:bookmarkEnd w:id="3"/>
                  <w:r>
                    <w:rPr>
                      <w:color w:val="auto"/>
                      <w:szCs w:val="21"/>
                    </w:rPr>
                    <w:t>》附录A“厂区内VOCs无组织排放监控要求”，实施范围为省内涉及VOCs无组织排放的现有企业及新建企业。</w:t>
                  </w:r>
                </w:p>
              </w:tc>
              <w:tc>
                <w:tcPr>
                  <w:tcW w:w="1732" w:type="pct"/>
                  <w:vMerge w:val="restart"/>
                  <w:tcBorders>
                    <w:top w:val="single" w:color="000000" w:sz="4" w:space="0"/>
                    <w:left w:val="single" w:color="000000" w:sz="4" w:space="0"/>
                    <w:right w:val="single" w:color="000000" w:sz="4" w:space="0"/>
                  </w:tcBorders>
                  <w:vAlign w:val="center"/>
                </w:tcPr>
                <w:p>
                  <w:pPr>
                    <w:jc w:val="both"/>
                    <w:rPr>
                      <w:rFonts w:hint="eastAsia" w:eastAsia="宋体"/>
                      <w:color w:val="auto"/>
                      <w:szCs w:val="21"/>
                      <w:lang w:eastAsia="zh-CN"/>
                    </w:rPr>
                  </w:pPr>
                  <w:r>
                    <w:rPr>
                      <w:rFonts w:hint="eastAsia"/>
                      <w:color w:val="auto"/>
                      <w:szCs w:val="21"/>
                    </w:rPr>
                    <w:t>本项目非甲烷总烃执行表面涂装（工程机械和钢结构行业）大气污染物排放标准（DB32/4147-2021）表1排放标准限值</w:t>
                  </w:r>
                  <w:r>
                    <w:rPr>
                      <w:rFonts w:hint="eastAsia"/>
                      <w:color w:val="auto"/>
                      <w:szCs w:val="21"/>
                      <w:lang w:eastAsia="zh-CN"/>
                    </w:rPr>
                    <w:t>。</w:t>
                  </w:r>
                </w:p>
              </w:tc>
              <w:tc>
                <w:tcPr>
                  <w:tcW w:w="305" w:type="pct"/>
                  <w:vMerge w:val="restart"/>
                  <w:tcBorders>
                    <w:left w:val="single" w:color="000000" w:sz="4" w:space="0"/>
                    <w:right w:val="nil"/>
                  </w:tcBorders>
                  <w:vAlign w:val="center"/>
                </w:tcPr>
                <w:p>
                  <w:pPr>
                    <w:jc w:val="center"/>
                    <w:rPr>
                      <w:color w:val="auto"/>
                      <w:szCs w:val="21"/>
                    </w:rPr>
                  </w:pPr>
                  <w:r>
                    <w:rPr>
                      <w:color w:val="auto"/>
                      <w:szCs w:val="21"/>
                    </w:rPr>
                    <w:t>符合</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129" w:type="pct"/>
                  <w:gridSpan w:val="2"/>
                  <w:vMerge w:val="continue"/>
                  <w:tcBorders>
                    <w:left w:val="nil"/>
                    <w:right w:val="single" w:color="000000" w:sz="4" w:space="0"/>
                  </w:tcBorders>
                  <w:vAlign w:val="center"/>
                </w:tcPr>
                <w:p>
                  <w:pPr>
                    <w:jc w:val="left"/>
                    <w:rPr>
                      <w:color w:val="auto"/>
                      <w:szCs w:val="21"/>
                    </w:rPr>
                  </w:pPr>
                </w:p>
              </w:tc>
              <w:tc>
                <w:tcPr>
                  <w:tcW w:w="1832" w:type="pct"/>
                  <w:gridSpan w:val="2"/>
                  <w:tcBorders>
                    <w:top w:val="single" w:color="000000" w:sz="4" w:space="0"/>
                    <w:left w:val="single" w:color="000000" w:sz="4" w:space="0"/>
                    <w:bottom w:val="single" w:color="000000" w:sz="4" w:space="0"/>
                    <w:right w:val="single" w:color="000000" w:sz="4" w:space="0"/>
                  </w:tcBorders>
                  <w:vAlign w:val="center"/>
                </w:tcPr>
                <w:p>
                  <w:pPr>
                    <w:jc w:val="left"/>
                    <w:rPr>
                      <w:color w:val="auto"/>
                      <w:szCs w:val="21"/>
                    </w:rPr>
                  </w:pPr>
                  <w:r>
                    <w:rPr>
                      <w:color w:val="auto"/>
                      <w:szCs w:val="21"/>
                    </w:rPr>
                    <w:t>企业厂区内VOCs无组织排放监控点浓度执行特别排放限值。</w:t>
                  </w:r>
                </w:p>
              </w:tc>
              <w:tc>
                <w:tcPr>
                  <w:tcW w:w="1732" w:type="pct"/>
                  <w:vMerge w:val="continue"/>
                  <w:tcBorders>
                    <w:left w:val="single" w:color="000000" w:sz="4" w:space="0"/>
                    <w:right w:val="single" w:color="000000" w:sz="4" w:space="0"/>
                  </w:tcBorders>
                  <w:vAlign w:val="center"/>
                </w:tcPr>
                <w:p>
                  <w:pPr>
                    <w:jc w:val="left"/>
                    <w:rPr>
                      <w:color w:val="auto"/>
                      <w:szCs w:val="21"/>
                    </w:rPr>
                  </w:pPr>
                </w:p>
              </w:tc>
              <w:tc>
                <w:tcPr>
                  <w:tcW w:w="305" w:type="pct"/>
                  <w:vMerge w:val="continue"/>
                  <w:tcBorders>
                    <w:left w:val="single" w:color="000000" w:sz="4" w:space="0"/>
                    <w:right w:val="nil"/>
                  </w:tcBorders>
                  <w:vAlign w:val="center"/>
                </w:tcPr>
                <w:p>
                  <w:pPr>
                    <w:jc w:val="center"/>
                    <w:rPr>
                      <w:color w:val="auto"/>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129" w:type="pct"/>
                  <w:gridSpan w:val="2"/>
                  <w:vMerge w:val="continue"/>
                  <w:tcBorders>
                    <w:left w:val="nil"/>
                    <w:right w:val="single" w:color="000000" w:sz="4" w:space="0"/>
                  </w:tcBorders>
                  <w:vAlign w:val="center"/>
                </w:tcPr>
                <w:p>
                  <w:pPr>
                    <w:jc w:val="left"/>
                    <w:rPr>
                      <w:color w:val="auto"/>
                      <w:szCs w:val="21"/>
                    </w:rPr>
                  </w:pPr>
                </w:p>
              </w:tc>
              <w:tc>
                <w:tcPr>
                  <w:tcW w:w="1832" w:type="pct"/>
                  <w:gridSpan w:val="2"/>
                  <w:tcBorders>
                    <w:top w:val="single" w:color="000000" w:sz="4" w:space="0"/>
                    <w:left w:val="single" w:color="000000" w:sz="4" w:space="0"/>
                    <w:bottom w:val="single" w:color="000000" w:sz="4" w:space="0"/>
                    <w:right w:val="single" w:color="000000" w:sz="4" w:space="0"/>
                  </w:tcBorders>
                  <w:vAlign w:val="center"/>
                </w:tcPr>
                <w:p>
                  <w:pPr>
                    <w:jc w:val="left"/>
                    <w:rPr>
                      <w:color w:val="auto"/>
                      <w:szCs w:val="21"/>
                    </w:rPr>
                  </w:pPr>
                  <w:r>
                    <w:rPr>
                      <w:color w:val="auto"/>
                      <w:szCs w:val="21"/>
                    </w:rPr>
                    <w:t>如新制（修）订标准或发布标准修改单有关规定严于《挥发性有机物无组织排放控制标准》附录A“厂区内VOCs无组织排放监控要求”的，按照更严格标准要求执行。</w:t>
                  </w:r>
                </w:p>
              </w:tc>
              <w:tc>
                <w:tcPr>
                  <w:tcW w:w="1732" w:type="pct"/>
                  <w:vMerge w:val="continue"/>
                  <w:tcBorders>
                    <w:left w:val="single" w:color="000000" w:sz="4" w:space="0"/>
                    <w:bottom w:val="single" w:color="000000" w:sz="4" w:space="0"/>
                    <w:right w:val="single" w:color="000000" w:sz="4" w:space="0"/>
                  </w:tcBorders>
                  <w:vAlign w:val="center"/>
                </w:tcPr>
                <w:p>
                  <w:pPr>
                    <w:jc w:val="left"/>
                    <w:rPr>
                      <w:color w:val="auto"/>
                      <w:szCs w:val="21"/>
                    </w:rPr>
                  </w:pPr>
                </w:p>
              </w:tc>
              <w:tc>
                <w:tcPr>
                  <w:tcW w:w="305" w:type="pct"/>
                  <w:vMerge w:val="continue"/>
                  <w:tcBorders>
                    <w:left w:val="single" w:color="000000" w:sz="4" w:space="0"/>
                    <w:right w:val="nil"/>
                  </w:tcBorders>
                  <w:vAlign w:val="center"/>
                </w:tcPr>
                <w:p>
                  <w:pPr>
                    <w:jc w:val="center"/>
                    <w:rPr>
                      <w:color w:val="auto"/>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129" w:type="pct"/>
                  <w:gridSpan w:val="2"/>
                  <w:vMerge w:val="restart"/>
                  <w:tcBorders>
                    <w:top w:val="single" w:color="000000" w:sz="4" w:space="0"/>
                    <w:left w:val="nil"/>
                    <w:right w:val="single" w:color="000000" w:sz="4" w:space="0"/>
                  </w:tcBorders>
                  <w:vAlign w:val="center"/>
                </w:tcPr>
                <w:p>
                  <w:pPr>
                    <w:jc w:val="left"/>
                    <w:rPr>
                      <w:color w:val="auto"/>
                      <w:szCs w:val="21"/>
                    </w:rPr>
                  </w:pPr>
                  <w:r>
                    <w:rPr>
                      <w:color w:val="auto"/>
                      <w:szCs w:val="21"/>
                    </w:rPr>
                    <w:t>《2020年挥发性有机物治理攻坚方案》（环大气[2020]33号）</w:t>
                  </w:r>
                </w:p>
              </w:tc>
              <w:tc>
                <w:tcPr>
                  <w:tcW w:w="1832" w:type="pct"/>
                  <w:gridSpan w:val="2"/>
                  <w:tcBorders>
                    <w:top w:val="single" w:color="000000" w:sz="4" w:space="0"/>
                    <w:left w:val="single" w:color="000000" w:sz="4" w:space="0"/>
                    <w:bottom w:val="single" w:color="000000" w:sz="4" w:space="0"/>
                    <w:right w:val="single" w:color="000000" w:sz="4" w:space="0"/>
                  </w:tcBorders>
                  <w:vAlign w:val="center"/>
                </w:tcPr>
                <w:p>
                  <w:pPr>
                    <w:jc w:val="left"/>
                    <w:rPr>
                      <w:color w:val="auto"/>
                      <w:szCs w:val="21"/>
                    </w:rPr>
                  </w:pPr>
                  <w:r>
                    <w:rPr>
                      <w:color w:val="auto"/>
                      <w:szCs w:val="21"/>
                    </w:rPr>
                    <w:t>企业在无组织排放排查整治过程中，在保证安全的前提下，加强含VOCs物料全方位、全链条、全环节密闭管理。储存环节应采用密闭容器、包装袋，高效密封储罐，封闭式储库、料仓等。装卸、转移和输送环节应采用密闭管道或密闭容器、罐车等。生产和使用环节应采用密闭设备，或在密闭空间中操作并有效收集废气，或进行局部气体收集；非取用状态时容器应密闭。处置环节应将盛装过VOCs物料的包装容器、含VOCs废料（渣、液）、废吸附剂等通过加盖、封装等方式密闭，妥善存放，不得随意丢弃；</w:t>
                  </w:r>
                </w:p>
              </w:tc>
              <w:tc>
                <w:tcPr>
                  <w:tcW w:w="1732" w:type="pct"/>
                  <w:tcBorders>
                    <w:top w:val="single" w:color="000000" w:sz="4" w:space="0"/>
                    <w:left w:val="single" w:color="000000" w:sz="4" w:space="0"/>
                    <w:bottom w:val="single" w:color="000000" w:sz="4" w:space="0"/>
                    <w:right w:val="single" w:color="000000" w:sz="4" w:space="0"/>
                  </w:tcBorders>
                  <w:vAlign w:val="center"/>
                </w:tcPr>
                <w:p>
                  <w:pPr>
                    <w:jc w:val="left"/>
                    <w:rPr>
                      <w:color w:val="auto"/>
                      <w:szCs w:val="21"/>
                    </w:rPr>
                  </w:pPr>
                  <w:r>
                    <w:rPr>
                      <w:color w:val="auto"/>
                      <w:szCs w:val="21"/>
                    </w:rPr>
                    <w:t>建设项目</w:t>
                  </w:r>
                  <w:r>
                    <w:rPr>
                      <w:rFonts w:hint="eastAsia"/>
                      <w:color w:val="auto"/>
                      <w:szCs w:val="21"/>
                      <w:lang w:eastAsia="zh-CN"/>
                    </w:rPr>
                    <w:t>晾</w:t>
                  </w:r>
                  <w:r>
                    <w:rPr>
                      <w:color w:val="auto"/>
                      <w:szCs w:val="21"/>
                    </w:rPr>
                    <w:t>干废气</w:t>
                  </w:r>
                  <w:r>
                    <w:rPr>
                      <w:bCs/>
                      <w:color w:val="auto"/>
                      <w:kern w:val="0"/>
                      <w:szCs w:val="21"/>
                    </w:rPr>
                    <w:t>工序产生的非甲烷总烃经</w:t>
                  </w:r>
                  <w:r>
                    <w:rPr>
                      <w:rFonts w:hint="eastAsia"/>
                      <w:color w:val="auto"/>
                      <w:szCs w:val="21"/>
                      <w:lang w:eastAsia="zh-CN"/>
                    </w:rPr>
                    <w:t>车间密闭</w:t>
                  </w:r>
                  <w:r>
                    <w:rPr>
                      <w:bCs/>
                      <w:color w:val="auto"/>
                      <w:kern w:val="0"/>
                      <w:szCs w:val="21"/>
                    </w:rPr>
                    <w:t>收集</w:t>
                  </w:r>
                  <w:r>
                    <w:rPr>
                      <w:color w:val="auto"/>
                      <w:szCs w:val="21"/>
                    </w:rPr>
                    <w:t>；对于含VOCs物料全方位密闭管理</w:t>
                  </w:r>
                  <w:r>
                    <w:rPr>
                      <w:rFonts w:hint="eastAsia"/>
                      <w:color w:val="auto"/>
                      <w:szCs w:val="21"/>
                    </w:rPr>
                    <w:t>，</w:t>
                  </w:r>
                  <w:r>
                    <w:rPr>
                      <w:color w:val="auto"/>
                      <w:szCs w:val="21"/>
                    </w:rPr>
                    <w:t>通过加盖、封装等方式密闭储存，产生的废活性炭等暂存于厂内危险废物暂存场所，委托有资质单位进行安全处置。</w:t>
                  </w:r>
                  <w:r>
                    <w:rPr>
                      <w:rFonts w:hint="eastAsia"/>
                      <w:color w:val="auto"/>
                      <w:szCs w:val="21"/>
                      <w:lang w:eastAsia="zh-CN"/>
                    </w:rPr>
                    <w:t>喷漆、晾干工序</w:t>
                  </w:r>
                  <w:r>
                    <w:rPr>
                      <w:color w:val="auto"/>
                      <w:szCs w:val="21"/>
                    </w:rPr>
                    <w:t>生产和含VOCs物料使用环节在</w:t>
                  </w:r>
                  <w:r>
                    <w:rPr>
                      <w:rFonts w:hint="eastAsia"/>
                      <w:color w:val="auto"/>
                      <w:szCs w:val="21"/>
                      <w:lang w:eastAsia="zh-CN"/>
                    </w:rPr>
                    <w:t>密闭的车间</w:t>
                  </w:r>
                  <w:r>
                    <w:rPr>
                      <w:rFonts w:hint="eastAsia"/>
                      <w:color w:val="auto"/>
                      <w:szCs w:val="21"/>
                    </w:rPr>
                    <w:t>车间</w:t>
                  </w:r>
                  <w:r>
                    <w:rPr>
                      <w:color w:val="auto"/>
                      <w:szCs w:val="21"/>
                    </w:rPr>
                    <w:t>内</w:t>
                  </w:r>
                  <w:r>
                    <w:rPr>
                      <w:rFonts w:hint="eastAsia"/>
                      <w:color w:val="auto"/>
                      <w:szCs w:val="21"/>
                      <w:lang w:eastAsia="zh-CN"/>
                    </w:rPr>
                    <w:t>操作</w:t>
                  </w:r>
                  <w:r>
                    <w:rPr>
                      <w:color w:val="auto"/>
                      <w:szCs w:val="21"/>
                    </w:rPr>
                    <w:t>，并有效收集废气。</w:t>
                  </w:r>
                </w:p>
              </w:tc>
              <w:tc>
                <w:tcPr>
                  <w:tcW w:w="305" w:type="pct"/>
                  <w:vMerge w:val="restart"/>
                  <w:tcBorders>
                    <w:top w:val="single" w:color="000000" w:sz="4" w:space="0"/>
                    <w:left w:val="single" w:color="000000" w:sz="4" w:space="0"/>
                    <w:right w:val="nil"/>
                  </w:tcBorders>
                  <w:vAlign w:val="center"/>
                </w:tcPr>
                <w:p>
                  <w:pPr>
                    <w:jc w:val="center"/>
                    <w:rPr>
                      <w:color w:val="auto"/>
                      <w:szCs w:val="21"/>
                    </w:rPr>
                  </w:pPr>
                  <w:r>
                    <w:rPr>
                      <w:color w:val="auto"/>
                      <w:szCs w:val="21"/>
                    </w:rPr>
                    <w:t>符合</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129" w:type="pct"/>
                  <w:gridSpan w:val="2"/>
                  <w:vMerge w:val="continue"/>
                  <w:tcBorders>
                    <w:left w:val="nil"/>
                    <w:right w:val="single" w:color="000000" w:sz="4" w:space="0"/>
                  </w:tcBorders>
                  <w:vAlign w:val="center"/>
                </w:tcPr>
                <w:p>
                  <w:pPr>
                    <w:jc w:val="left"/>
                    <w:rPr>
                      <w:color w:val="auto"/>
                      <w:szCs w:val="21"/>
                    </w:rPr>
                  </w:pPr>
                </w:p>
              </w:tc>
              <w:tc>
                <w:tcPr>
                  <w:tcW w:w="1832" w:type="pct"/>
                  <w:gridSpan w:val="2"/>
                  <w:tcBorders>
                    <w:top w:val="single" w:color="000000" w:sz="4" w:space="0"/>
                    <w:left w:val="single" w:color="000000" w:sz="4" w:space="0"/>
                    <w:bottom w:val="single" w:color="000000" w:sz="4" w:space="0"/>
                    <w:right w:val="single" w:color="000000" w:sz="4" w:space="0"/>
                  </w:tcBorders>
                  <w:vAlign w:val="center"/>
                </w:tcPr>
                <w:p>
                  <w:pPr>
                    <w:jc w:val="left"/>
                    <w:rPr>
                      <w:color w:val="auto"/>
                      <w:szCs w:val="21"/>
                    </w:rPr>
                  </w:pPr>
                  <w:r>
                    <w:rPr>
                      <w:color w:val="auto"/>
                      <w:szCs w:val="21"/>
                    </w:rPr>
                    <w:t>按照“应收尽收”的原则提升废气收集率。优先采用密闭设备、在密闭空间中操作或采用全密闭集气罩收集方式；对于采用局部集气罩的，应根据废气排放特点合理选择收集点位，距集气罩开口面最远处的VOCs无组织排放位置，控制风速不低于0.3米/秒；根据处理工艺要求，在处理设施达到正常运行条件后方可启动生产设备，在生产设备停止、残留VOCs废气收集处理完毕后，方可停运处理设施。VOCs废气处理系统发生故障或检修时，对应生产工艺设备应停止运行，待检修完毕后同步投入使用；企业新建治污设施或对现有治污设施实施改造，应依据排放废气特征、VOCs组分及浓度、生产工况等，合理选择治理技术，对治理难度大、单一治理工艺难以稳定达标的，要采用多种技术的组合工艺。采用活性炭吸附技术的，应选择碘值不低于800毫克/克的活性炭，并按设计要求足量添加、及时更换。</w:t>
                  </w:r>
                </w:p>
              </w:tc>
              <w:tc>
                <w:tcPr>
                  <w:tcW w:w="1732" w:type="pct"/>
                  <w:tcBorders>
                    <w:top w:val="single" w:color="000000" w:sz="4" w:space="0"/>
                    <w:left w:val="single" w:color="000000" w:sz="4" w:space="0"/>
                    <w:bottom w:val="single" w:color="000000" w:sz="4" w:space="0"/>
                    <w:right w:val="single" w:color="000000" w:sz="4" w:space="0"/>
                  </w:tcBorders>
                  <w:vAlign w:val="center"/>
                </w:tcPr>
                <w:p>
                  <w:pPr>
                    <w:pStyle w:val="7"/>
                    <w:rPr>
                      <w:color w:val="auto"/>
                      <w:sz w:val="21"/>
                      <w:szCs w:val="21"/>
                    </w:rPr>
                  </w:pPr>
                  <w:r>
                    <w:rPr>
                      <w:color w:val="auto"/>
                      <w:sz w:val="21"/>
                      <w:szCs w:val="21"/>
                    </w:rPr>
                    <w:t>建设项目</w:t>
                  </w:r>
                  <w:r>
                    <w:rPr>
                      <w:rFonts w:hint="eastAsia"/>
                      <w:color w:val="auto"/>
                      <w:sz w:val="21"/>
                      <w:szCs w:val="21"/>
                    </w:rPr>
                    <w:t>晾干</w:t>
                  </w:r>
                  <w:r>
                    <w:rPr>
                      <w:color w:val="auto"/>
                      <w:sz w:val="21"/>
                      <w:szCs w:val="21"/>
                    </w:rPr>
                    <w:t>工序在密闭的</w:t>
                  </w:r>
                  <w:r>
                    <w:rPr>
                      <w:rFonts w:hint="eastAsia"/>
                      <w:color w:val="auto"/>
                      <w:sz w:val="21"/>
                      <w:szCs w:val="21"/>
                    </w:rPr>
                    <w:t>晾干</w:t>
                  </w:r>
                  <w:r>
                    <w:rPr>
                      <w:color w:val="auto"/>
                      <w:sz w:val="21"/>
                      <w:szCs w:val="21"/>
                    </w:rPr>
                    <w:t>房中进行，产生的有机废气</w:t>
                  </w:r>
                  <w:r>
                    <w:rPr>
                      <w:rFonts w:hint="eastAsia"/>
                      <w:color w:val="auto"/>
                      <w:sz w:val="21"/>
                      <w:szCs w:val="21"/>
                    </w:rPr>
                    <w:t>经</w:t>
                  </w:r>
                  <w:r>
                    <w:rPr>
                      <w:rFonts w:hint="eastAsia"/>
                      <w:color w:val="auto"/>
                      <w:sz w:val="21"/>
                      <w:szCs w:val="21"/>
                      <w:lang w:eastAsia="zh-CN"/>
                    </w:rPr>
                    <w:t>车间密闭</w:t>
                  </w:r>
                  <w:r>
                    <w:rPr>
                      <w:color w:val="auto"/>
                      <w:sz w:val="21"/>
                      <w:szCs w:val="21"/>
                    </w:rPr>
                    <w:t>负压收集</w:t>
                  </w:r>
                  <w:r>
                    <w:rPr>
                      <w:rFonts w:hint="eastAsia"/>
                      <w:color w:val="auto"/>
                      <w:sz w:val="21"/>
                      <w:szCs w:val="21"/>
                    </w:rPr>
                    <w:t>干式过滤器</w:t>
                  </w:r>
                  <w:r>
                    <w:rPr>
                      <w:color w:val="auto"/>
                      <w:sz w:val="21"/>
                      <w:szCs w:val="21"/>
                    </w:rPr>
                    <w:t>+二级活性炭吸附处理；VOCs废气处理系统发生故障或检修时，对应生产工艺设备应停止运行，待检修完毕后同步投入使用；选择碘值不低于800毫克/克的活性炭，并按设计要求足量添加、及时更换。</w:t>
                  </w:r>
                </w:p>
              </w:tc>
              <w:tc>
                <w:tcPr>
                  <w:tcW w:w="305" w:type="pct"/>
                  <w:vMerge w:val="continue"/>
                  <w:tcBorders>
                    <w:left w:val="single" w:color="000000" w:sz="4" w:space="0"/>
                    <w:right w:val="nil"/>
                  </w:tcBorders>
                  <w:vAlign w:val="center"/>
                </w:tcPr>
                <w:p>
                  <w:pPr>
                    <w:jc w:val="center"/>
                    <w:rPr>
                      <w:color w:val="auto"/>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129" w:type="pct"/>
                  <w:gridSpan w:val="2"/>
                  <w:vMerge w:val="continue"/>
                  <w:tcBorders>
                    <w:left w:val="nil"/>
                    <w:right w:val="single" w:color="000000" w:sz="4" w:space="0"/>
                  </w:tcBorders>
                  <w:vAlign w:val="center"/>
                </w:tcPr>
                <w:p>
                  <w:pPr>
                    <w:jc w:val="left"/>
                    <w:rPr>
                      <w:color w:val="auto"/>
                      <w:szCs w:val="21"/>
                    </w:rPr>
                  </w:pPr>
                </w:p>
              </w:tc>
              <w:tc>
                <w:tcPr>
                  <w:tcW w:w="1832" w:type="pct"/>
                  <w:gridSpan w:val="2"/>
                  <w:tcBorders>
                    <w:top w:val="single" w:color="000000" w:sz="4" w:space="0"/>
                    <w:left w:val="single" w:color="000000" w:sz="4" w:space="0"/>
                    <w:bottom w:val="single" w:color="000000" w:sz="4" w:space="0"/>
                    <w:right w:val="single" w:color="000000" w:sz="4" w:space="0"/>
                  </w:tcBorders>
                  <w:vAlign w:val="center"/>
                </w:tcPr>
                <w:p>
                  <w:pPr>
                    <w:jc w:val="left"/>
                    <w:rPr>
                      <w:color w:val="auto"/>
                      <w:szCs w:val="21"/>
                    </w:rPr>
                  </w:pPr>
                  <w:r>
                    <w:rPr>
                      <w:color w:val="auto"/>
                      <w:szCs w:val="21"/>
                    </w:rPr>
                    <w:t>强化危险废物全过程环境监管。制定危险废物利用处置技术规范，探索分级分类管理，完善危险废物全生命周期监控系统，进一步提升监管能力。加强危险废物流向监控，实现全省运输电子运单和转移电子联单对接，严厉打击危险废物非法转移处置倾倒等违法犯罪行为。建立危险废物跨省转移“白名单”制度。</w:t>
                  </w:r>
                </w:p>
              </w:tc>
              <w:tc>
                <w:tcPr>
                  <w:tcW w:w="1732" w:type="pct"/>
                  <w:tcBorders>
                    <w:top w:val="single" w:color="000000" w:sz="4" w:space="0"/>
                    <w:left w:val="single" w:color="000000" w:sz="4" w:space="0"/>
                    <w:bottom w:val="single" w:color="000000" w:sz="4" w:space="0"/>
                    <w:right w:val="single" w:color="000000" w:sz="4" w:space="0"/>
                  </w:tcBorders>
                  <w:vAlign w:val="center"/>
                </w:tcPr>
                <w:p>
                  <w:pPr>
                    <w:jc w:val="left"/>
                    <w:rPr>
                      <w:color w:val="auto"/>
                      <w:szCs w:val="21"/>
                    </w:rPr>
                  </w:pPr>
                  <w:r>
                    <w:rPr>
                      <w:color w:val="auto"/>
                      <w:szCs w:val="21"/>
                    </w:rPr>
                    <w:t>建设项目建成后企业将按规范在“江苏省污染源“一企一档”管理系统”（环保脸谱系统）进行危险废物全过程环境监管。</w:t>
                  </w:r>
                </w:p>
              </w:tc>
              <w:tc>
                <w:tcPr>
                  <w:tcW w:w="305" w:type="pct"/>
                  <w:vMerge w:val="continue"/>
                  <w:tcBorders>
                    <w:left w:val="single" w:color="000000" w:sz="4" w:space="0"/>
                    <w:right w:val="nil"/>
                  </w:tcBorders>
                  <w:vAlign w:val="center"/>
                </w:tcPr>
                <w:p>
                  <w:pPr>
                    <w:jc w:val="center"/>
                    <w:rPr>
                      <w:color w:val="auto"/>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129" w:type="pct"/>
                  <w:gridSpan w:val="2"/>
                  <w:vMerge w:val="restart"/>
                  <w:tcBorders>
                    <w:left w:val="nil"/>
                    <w:right w:val="single" w:color="000000" w:sz="4" w:space="0"/>
                  </w:tcBorders>
                  <w:vAlign w:val="center"/>
                </w:tcPr>
                <w:p>
                  <w:pPr>
                    <w:jc w:val="left"/>
                    <w:rPr>
                      <w:color w:val="auto"/>
                      <w:szCs w:val="21"/>
                    </w:rPr>
                  </w:pPr>
                  <w:r>
                    <w:rPr>
                      <w:color w:val="auto"/>
                      <w:szCs w:val="21"/>
                    </w:rPr>
                    <w:t>《省政府办公厅关于印发江苏省“十四五”生态环境保护规划的通知》（苏政办发[2021]84号）</w:t>
                  </w:r>
                </w:p>
              </w:tc>
              <w:tc>
                <w:tcPr>
                  <w:tcW w:w="1832" w:type="pct"/>
                  <w:gridSpan w:val="2"/>
                  <w:tcBorders>
                    <w:top w:val="single" w:color="000000" w:sz="4" w:space="0"/>
                    <w:left w:val="single" w:color="000000" w:sz="4" w:space="0"/>
                    <w:bottom w:val="single" w:color="000000" w:sz="4" w:space="0"/>
                    <w:right w:val="single" w:color="000000" w:sz="4" w:space="0"/>
                  </w:tcBorders>
                  <w:vAlign w:val="center"/>
                </w:tcPr>
                <w:p>
                  <w:pPr>
                    <w:jc w:val="left"/>
                    <w:rPr>
                      <w:color w:val="auto"/>
                      <w:szCs w:val="21"/>
                    </w:rPr>
                  </w:pPr>
                  <w:r>
                    <w:rPr>
                      <w:color w:val="auto"/>
                      <w:szCs w:val="21"/>
                    </w:rPr>
                    <w:t>大力推进源头替代，按照“可替尽替、应代尽代”的原则，推进实施源头替代，培育一批源头替代示范型企业。加大工业涂装、包装印刷等行业源头替代力度，在化工行业推广使用低（无）VOCs含量、低反应活性的原辅材料，加快芳香烃、含卤素有机化合物的绿色替代。严格准入要求，禁止建设生产和使用高VOCs含量的溶剂型涂料、油墨、胶黏剂等项目。</w:t>
                  </w:r>
                </w:p>
              </w:tc>
              <w:tc>
                <w:tcPr>
                  <w:tcW w:w="1732"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color w:val="auto"/>
                      <w:szCs w:val="21"/>
                    </w:rPr>
                  </w:pPr>
                  <w:r>
                    <w:rPr>
                      <w:color w:val="auto"/>
                      <w:szCs w:val="21"/>
                    </w:rPr>
                    <w:t>建设项目使用</w:t>
                  </w:r>
                  <w:r>
                    <w:rPr>
                      <w:rFonts w:hint="eastAsia"/>
                      <w:color w:val="auto"/>
                      <w:szCs w:val="21"/>
                    </w:rPr>
                    <w:t>水性漆</w:t>
                  </w:r>
                  <w:r>
                    <w:rPr>
                      <w:color w:val="auto"/>
                      <w:szCs w:val="21"/>
                    </w:rPr>
                    <w:t>，属于低VOCs含量、低反应活性的原辅材料。</w:t>
                  </w:r>
                </w:p>
                <w:p>
                  <w:pPr>
                    <w:jc w:val="left"/>
                    <w:rPr>
                      <w:color w:val="auto"/>
                      <w:kern w:val="0"/>
                      <w:szCs w:val="21"/>
                    </w:rPr>
                  </w:pPr>
                </w:p>
              </w:tc>
              <w:tc>
                <w:tcPr>
                  <w:tcW w:w="305" w:type="pct"/>
                  <w:vMerge w:val="restart"/>
                  <w:tcBorders>
                    <w:left w:val="single" w:color="000000" w:sz="4" w:space="0"/>
                    <w:right w:val="nil"/>
                  </w:tcBorders>
                  <w:vAlign w:val="center"/>
                </w:tcPr>
                <w:p>
                  <w:pPr>
                    <w:jc w:val="center"/>
                    <w:rPr>
                      <w:color w:val="auto"/>
                      <w:szCs w:val="21"/>
                    </w:rPr>
                  </w:pPr>
                  <w:r>
                    <w:rPr>
                      <w:color w:val="auto"/>
                      <w:szCs w:val="21"/>
                    </w:rPr>
                    <w:t>符合</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129" w:type="pct"/>
                  <w:gridSpan w:val="2"/>
                  <w:vMerge w:val="continue"/>
                  <w:tcBorders>
                    <w:left w:val="nil"/>
                    <w:right w:val="single" w:color="000000" w:sz="4" w:space="0"/>
                  </w:tcBorders>
                  <w:vAlign w:val="center"/>
                </w:tcPr>
                <w:p>
                  <w:pPr>
                    <w:jc w:val="left"/>
                    <w:rPr>
                      <w:color w:val="auto"/>
                      <w:szCs w:val="21"/>
                    </w:rPr>
                  </w:pPr>
                </w:p>
              </w:tc>
              <w:tc>
                <w:tcPr>
                  <w:tcW w:w="1832" w:type="pct"/>
                  <w:gridSpan w:val="2"/>
                  <w:tcBorders>
                    <w:top w:val="single" w:color="000000" w:sz="4" w:space="0"/>
                    <w:left w:val="single" w:color="000000" w:sz="4" w:space="0"/>
                    <w:bottom w:val="single" w:color="000000" w:sz="4" w:space="0"/>
                    <w:right w:val="single" w:color="000000" w:sz="4" w:space="0"/>
                  </w:tcBorders>
                  <w:vAlign w:val="center"/>
                </w:tcPr>
                <w:p>
                  <w:pPr>
                    <w:jc w:val="left"/>
                    <w:rPr>
                      <w:color w:val="auto"/>
                      <w:szCs w:val="21"/>
                    </w:rPr>
                  </w:pPr>
                  <w:r>
                    <w:rPr>
                      <w:color w:val="auto"/>
                      <w:szCs w:val="21"/>
                    </w:rPr>
                    <w:t>强化危险废物全过程环境监管。制定危险废物利用处置技术规范，探索分级分类管理，完善危险废物全生命周期监控系统，进一步提升监管能力。加强危险废物流向监控，实现全省运输电子运单和转移电子联单对接，严厉打击危险废物非法转移处置倾倒等违法犯罪行为。建立危险废物跨省转移“白名单”制度。</w:t>
                  </w:r>
                </w:p>
              </w:tc>
              <w:tc>
                <w:tcPr>
                  <w:tcW w:w="1732" w:type="pct"/>
                  <w:tcBorders>
                    <w:top w:val="single" w:color="000000" w:sz="4" w:space="0"/>
                    <w:left w:val="single" w:color="000000" w:sz="4" w:space="0"/>
                    <w:bottom w:val="single" w:color="000000" w:sz="4" w:space="0"/>
                    <w:right w:val="single" w:color="000000" w:sz="4" w:space="0"/>
                  </w:tcBorders>
                  <w:vAlign w:val="center"/>
                </w:tcPr>
                <w:p>
                  <w:pPr>
                    <w:jc w:val="left"/>
                    <w:rPr>
                      <w:color w:val="auto"/>
                      <w:kern w:val="0"/>
                      <w:szCs w:val="21"/>
                    </w:rPr>
                  </w:pPr>
                  <w:r>
                    <w:rPr>
                      <w:color w:val="auto"/>
                      <w:szCs w:val="21"/>
                    </w:rPr>
                    <w:t>建设项目建成后，要求企业在“江苏省污染源“一企一档”管理系统”（环保脸谱系统）完善危险废物全生命周期监控系统并已加强危险废物流向监控。</w:t>
                  </w:r>
                </w:p>
              </w:tc>
              <w:tc>
                <w:tcPr>
                  <w:tcW w:w="305" w:type="pct"/>
                  <w:vMerge w:val="continue"/>
                  <w:tcBorders>
                    <w:left w:val="single" w:color="000000" w:sz="4" w:space="0"/>
                    <w:right w:val="nil"/>
                  </w:tcBorders>
                  <w:vAlign w:val="center"/>
                </w:tcPr>
                <w:p>
                  <w:pPr>
                    <w:jc w:val="center"/>
                    <w:rPr>
                      <w:color w:val="auto"/>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129" w:type="pct"/>
                  <w:gridSpan w:val="2"/>
                  <w:vMerge w:val="restart"/>
                  <w:tcBorders>
                    <w:left w:val="nil"/>
                    <w:right w:val="single" w:color="000000" w:sz="4" w:space="0"/>
                  </w:tcBorders>
                  <w:vAlign w:val="center"/>
                </w:tcPr>
                <w:p>
                  <w:pPr>
                    <w:jc w:val="left"/>
                    <w:rPr>
                      <w:color w:val="auto"/>
                      <w:szCs w:val="21"/>
                    </w:rPr>
                  </w:pPr>
                  <w:r>
                    <w:rPr>
                      <w:color w:val="auto"/>
                      <w:szCs w:val="21"/>
                    </w:rPr>
                    <w:t>《江苏省2020年挥发性有机物专项治理工作方案》</w:t>
                  </w:r>
                </w:p>
              </w:tc>
              <w:tc>
                <w:tcPr>
                  <w:tcW w:w="1832" w:type="pct"/>
                  <w:gridSpan w:val="2"/>
                  <w:tcBorders>
                    <w:top w:val="single" w:color="000000" w:sz="4" w:space="0"/>
                    <w:left w:val="single" w:color="000000" w:sz="4" w:space="0"/>
                    <w:bottom w:val="single" w:color="000000" w:sz="4" w:space="0"/>
                    <w:right w:val="single" w:color="000000" w:sz="4" w:space="0"/>
                  </w:tcBorders>
                </w:tcPr>
                <w:p>
                  <w:pPr>
                    <w:jc w:val="left"/>
                    <w:rPr>
                      <w:color w:val="auto"/>
                      <w:szCs w:val="21"/>
                    </w:rPr>
                  </w:pPr>
                  <w:r>
                    <w:rPr>
                      <w:color w:val="auto"/>
                      <w:szCs w:val="21"/>
                    </w:rPr>
                    <w:t>禁止建设生产和使用高VOCs含量的溶剂型涂料、油墨、胶粘剂等项目。工业涂装行业重点加快使用粉末、水性、高固体分、辐射烘干等低VOCs含量的涂料替代溶剂型涂料，按照《涂料中挥发性有机物限量》中VOCs含量限值要求，尽快完成涂装行业低VOCs含量涂料替代，对有机溶剂年用量小于10吨且无法完成替代的企业实施兼并重组、关停转移。</w:t>
                  </w:r>
                </w:p>
              </w:tc>
              <w:tc>
                <w:tcPr>
                  <w:tcW w:w="1732" w:type="pct"/>
                  <w:tcBorders>
                    <w:top w:val="single" w:color="000000" w:sz="4" w:space="0"/>
                    <w:left w:val="single" w:color="000000" w:sz="4" w:space="0"/>
                    <w:bottom w:val="single" w:color="000000" w:sz="4" w:space="0"/>
                    <w:right w:val="single" w:color="000000" w:sz="4" w:space="0"/>
                  </w:tcBorders>
                  <w:vAlign w:val="center"/>
                </w:tcPr>
                <w:p>
                  <w:pPr>
                    <w:jc w:val="left"/>
                    <w:rPr>
                      <w:rFonts w:hint="eastAsia" w:eastAsia="宋体"/>
                      <w:color w:val="auto"/>
                      <w:szCs w:val="21"/>
                      <w:lang w:eastAsia="zh-CN"/>
                    </w:rPr>
                  </w:pPr>
                  <w:r>
                    <w:rPr>
                      <w:color w:val="auto"/>
                      <w:szCs w:val="21"/>
                    </w:rPr>
                    <w:t>建设项目使用</w:t>
                  </w:r>
                  <w:r>
                    <w:rPr>
                      <w:rFonts w:hint="eastAsia"/>
                      <w:color w:val="auto"/>
                      <w:szCs w:val="21"/>
                    </w:rPr>
                    <w:t>水性漆</w:t>
                  </w:r>
                  <w:r>
                    <w:rPr>
                      <w:color w:val="auto"/>
                      <w:szCs w:val="21"/>
                    </w:rPr>
                    <w:t>为低</w:t>
                  </w:r>
                  <w:r>
                    <w:rPr>
                      <w:color w:val="auto"/>
                      <w:kern w:val="0"/>
                      <w:szCs w:val="21"/>
                    </w:rPr>
                    <w:t>VOCs含量限值</w:t>
                  </w:r>
                  <w:r>
                    <w:rPr>
                      <w:color w:val="auto"/>
                      <w:szCs w:val="21"/>
                    </w:rPr>
                    <w:t>。工艺生产时处于密闭状态。从源头减少</w:t>
                  </w:r>
                  <w:r>
                    <w:rPr>
                      <w:color w:val="auto"/>
                      <w:kern w:val="0"/>
                      <w:szCs w:val="21"/>
                    </w:rPr>
                    <w:t>VOCs产生量。</w:t>
                  </w:r>
                  <w:r>
                    <w:rPr>
                      <w:rFonts w:hint="eastAsia"/>
                      <w:color w:val="auto"/>
                      <w:szCs w:val="21"/>
                    </w:rPr>
                    <w:t>本项目使用的水性涂料为底面一体漆，</w:t>
                  </w:r>
                  <w:r>
                    <w:rPr>
                      <w:color w:val="auto"/>
                      <w:szCs w:val="21"/>
                    </w:rPr>
                    <w:t>挥发性有机物含量为63g/L</w:t>
                  </w:r>
                  <w:r>
                    <w:rPr>
                      <w:rFonts w:hint="eastAsia"/>
                      <w:color w:val="auto"/>
                      <w:szCs w:val="21"/>
                      <w:lang w:eastAsia="zh-CN"/>
                    </w:rPr>
                    <w:t>，为</w:t>
                  </w:r>
                  <w:r>
                    <w:rPr>
                      <w:color w:val="auto"/>
                      <w:szCs w:val="21"/>
                    </w:rPr>
                    <w:t>低VOCs含量涂料</w:t>
                  </w:r>
                  <w:r>
                    <w:rPr>
                      <w:rFonts w:hint="eastAsia"/>
                      <w:color w:val="auto"/>
                      <w:szCs w:val="21"/>
                      <w:lang w:eastAsia="zh-CN"/>
                    </w:rPr>
                    <w:t>。</w:t>
                  </w:r>
                </w:p>
              </w:tc>
              <w:tc>
                <w:tcPr>
                  <w:tcW w:w="305" w:type="pct"/>
                  <w:vMerge w:val="restart"/>
                  <w:tcBorders>
                    <w:left w:val="single" w:color="000000" w:sz="4" w:space="0"/>
                    <w:right w:val="nil"/>
                  </w:tcBorders>
                  <w:vAlign w:val="center"/>
                </w:tcPr>
                <w:p>
                  <w:pPr>
                    <w:jc w:val="center"/>
                    <w:rPr>
                      <w:color w:val="auto"/>
                      <w:szCs w:val="21"/>
                    </w:rPr>
                  </w:pPr>
                  <w:r>
                    <w:rPr>
                      <w:color w:val="auto"/>
                      <w:szCs w:val="21"/>
                    </w:rPr>
                    <w:t>符合</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129" w:type="pct"/>
                  <w:gridSpan w:val="2"/>
                  <w:vMerge w:val="continue"/>
                  <w:tcBorders>
                    <w:left w:val="nil"/>
                    <w:right w:val="single" w:color="000000" w:sz="4" w:space="0"/>
                  </w:tcBorders>
                  <w:vAlign w:val="center"/>
                </w:tcPr>
                <w:p>
                  <w:pPr>
                    <w:jc w:val="left"/>
                    <w:rPr>
                      <w:color w:val="auto"/>
                      <w:szCs w:val="21"/>
                    </w:rPr>
                  </w:pPr>
                </w:p>
              </w:tc>
              <w:tc>
                <w:tcPr>
                  <w:tcW w:w="1832" w:type="pct"/>
                  <w:gridSpan w:val="2"/>
                  <w:tcBorders>
                    <w:top w:val="single" w:color="000000" w:sz="4" w:space="0"/>
                    <w:left w:val="single" w:color="000000" w:sz="4" w:space="0"/>
                    <w:bottom w:val="single" w:color="000000" w:sz="4" w:space="0"/>
                    <w:right w:val="single" w:color="000000" w:sz="4" w:space="0"/>
                  </w:tcBorders>
                  <w:vAlign w:val="center"/>
                </w:tcPr>
                <w:p>
                  <w:pPr>
                    <w:jc w:val="left"/>
                    <w:rPr>
                      <w:color w:val="auto"/>
                      <w:szCs w:val="21"/>
                    </w:rPr>
                  </w:pPr>
                  <w:r>
                    <w:rPr>
                      <w:color w:val="auto"/>
                      <w:szCs w:val="21"/>
                    </w:rPr>
                    <w:t>VOCs排放量大于等于2千克/小时的企业，除确保排放浓度稳定达标外，去除效率不低于80%。</w:t>
                  </w:r>
                </w:p>
              </w:tc>
              <w:tc>
                <w:tcPr>
                  <w:tcW w:w="1732" w:type="pct"/>
                  <w:tcBorders>
                    <w:top w:val="single" w:color="000000" w:sz="4" w:space="0"/>
                    <w:left w:val="single" w:color="000000" w:sz="4" w:space="0"/>
                    <w:bottom w:val="single" w:color="000000" w:sz="4" w:space="0"/>
                    <w:right w:val="single" w:color="000000" w:sz="4" w:space="0"/>
                  </w:tcBorders>
                  <w:vAlign w:val="center"/>
                </w:tcPr>
                <w:p>
                  <w:pPr>
                    <w:jc w:val="left"/>
                    <w:rPr>
                      <w:color w:val="auto"/>
                      <w:szCs w:val="21"/>
                    </w:rPr>
                  </w:pPr>
                  <w:r>
                    <w:rPr>
                      <w:color w:val="auto"/>
                      <w:szCs w:val="21"/>
                    </w:rPr>
                    <w:t>建设项目产生的非甲烷总烃初始排放速率为</w:t>
                  </w:r>
                  <w:r>
                    <w:rPr>
                      <w:rFonts w:hint="eastAsia"/>
                      <w:color w:val="auto"/>
                      <w:szCs w:val="21"/>
                      <w:lang w:val="en-US" w:eastAsia="zh-CN"/>
                    </w:rPr>
                    <w:t>1.995</w:t>
                  </w:r>
                  <w:r>
                    <w:rPr>
                      <w:color w:val="auto"/>
                      <w:szCs w:val="21"/>
                    </w:rPr>
                    <w:t>kg/h，为减少有机废气的排放，</w:t>
                  </w:r>
                  <w:r>
                    <w:rPr>
                      <w:rFonts w:hint="eastAsia"/>
                      <w:color w:val="auto"/>
                      <w:szCs w:val="21"/>
                      <w:lang w:eastAsia="zh-CN"/>
                    </w:rPr>
                    <w:t>晾干</w:t>
                  </w:r>
                  <w:r>
                    <w:rPr>
                      <w:color w:val="auto"/>
                      <w:szCs w:val="21"/>
                    </w:rPr>
                    <w:t>废气采用</w:t>
                  </w:r>
                  <w:r>
                    <w:rPr>
                      <w:rFonts w:hint="eastAsia"/>
                      <w:color w:val="auto"/>
                      <w:szCs w:val="21"/>
                      <w:lang w:eastAsia="zh-CN"/>
                    </w:rPr>
                    <w:t>车间密闭</w:t>
                  </w:r>
                  <w:r>
                    <w:rPr>
                      <w:color w:val="auto"/>
                      <w:szCs w:val="21"/>
                    </w:rPr>
                    <w:t>收集，收集效率可达9</w:t>
                  </w:r>
                  <w:r>
                    <w:rPr>
                      <w:rFonts w:hint="eastAsia"/>
                      <w:color w:val="auto"/>
                      <w:szCs w:val="21"/>
                      <w:lang w:val="en-US" w:eastAsia="zh-CN"/>
                    </w:rPr>
                    <w:t>5</w:t>
                  </w:r>
                  <w:r>
                    <w:rPr>
                      <w:color w:val="auto"/>
                      <w:szCs w:val="21"/>
                    </w:rPr>
                    <w:t>%</w:t>
                  </w:r>
                  <w:r>
                    <w:rPr>
                      <w:color w:val="auto"/>
                      <w:kern w:val="0"/>
                      <w:szCs w:val="21"/>
                    </w:rPr>
                    <w:t>，废气分别</w:t>
                  </w:r>
                  <w:r>
                    <w:rPr>
                      <w:color w:val="auto"/>
                      <w:szCs w:val="21"/>
                    </w:rPr>
                    <w:t>收集后经二级活性炭处理，VOCs整体去除效率可达90%。</w:t>
                  </w:r>
                </w:p>
              </w:tc>
              <w:tc>
                <w:tcPr>
                  <w:tcW w:w="305" w:type="pct"/>
                  <w:vMerge w:val="continue"/>
                  <w:tcBorders>
                    <w:left w:val="single" w:color="000000" w:sz="4" w:space="0"/>
                    <w:right w:val="nil"/>
                  </w:tcBorders>
                  <w:vAlign w:val="center"/>
                </w:tcPr>
                <w:p>
                  <w:pPr>
                    <w:jc w:val="center"/>
                    <w:rPr>
                      <w:color w:val="auto"/>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761" w:type="pct"/>
                  <w:vMerge w:val="restart"/>
                  <w:tcBorders>
                    <w:left w:val="nil"/>
                    <w:right w:val="single" w:color="auto" w:sz="4" w:space="0"/>
                  </w:tcBorders>
                  <w:vAlign w:val="center"/>
                </w:tcPr>
                <w:p>
                  <w:pPr>
                    <w:jc w:val="left"/>
                    <w:rPr>
                      <w:color w:val="auto"/>
                      <w:szCs w:val="21"/>
                    </w:rPr>
                  </w:pPr>
                  <w:r>
                    <w:rPr>
                      <w:color w:val="auto"/>
                      <w:szCs w:val="21"/>
                    </w:rPr>
                    <w:t>《江苏省重点行业挥发性有机物污染控制指南》（江苏省环保厅，2014年5月20日）</w:t>
                  </w:r>
                </w:p>
              </w:tc>
              <w:tc>
                <w:tcPr>
                  <w:tcW w:w="368" w:type="pct"/>
                  <w:vMerge w:val="restart"/>
                  <w:tcBorders>
                    <w:left w:val="single" w:color="auto" w:sz="4" w:space="0"/>
                    <w:right w:val="single" w:color="000000" w:sz="4" w:space="0"/>
                  </w:tcBorders>
                  <w:vAlign w:val="center"/>
                </w:tcPr>
                <w:p>
                  <w:pPr>
                    <w:jc w:val="left"/>
                    <w:rPr>
                      <w:color w:val="auto"/>
                      <w:szCs w:val="21"/>
                    </w:rPr>
                  </w:pPr>
                  <w:r>
                    <w:rPr>
                      <w:b/>
                      <w:color w:val="auto"/>
                      <w:szCs w:val="21"/>
                    </w:rPr>
                    <w:t>总体要求</w:t>
                  </w:r>
                </w:p>
              </w:tc>
              <w:tc>
                <w:tcPr>
                  <w:tcW w:w="1832" w:type="pct"/>
                  <w:gridSpan w:val="2"/>
                  <w:tcBorders>
                    <w:top w:val="single" w:color="000000" w:sz="4" w:space="0"/>
                    <w:left w:val="single" w:color="000000" w:sz="4" w:space="0"/>
                    <w:bottom w:val="single" w:color="000000" w:sz="4" w:space="0"/>
                    <w:right w:val="single" w:color="000000" w:sz="4" w:space="0"/>
                  </w:tcBorders>
                  <w:vAlign w:val="center"/>
                </w:tcPr>
                <w:p>
                  <w:pPr>
                    <w:jc w:val="left"/>
                    <w:rPr>
                      <w:color w:val="auto"/>
                      <w:szCs w:val="21"/>
                    </w:rPr>
                  </w:pPr>
                  <w:r>
                    <w:rPr>
                      <w:color w:val="auto"/>
                      <w:szCs w:val="21"/>
                    </w:rPr>
                    <w:t>所有产生有机废气污染的企业，应优先采用环保型原辅料、生产工艺和装备，对相应生产单元或设施进行密闭，从源头控制VOCs的产生，减少废气污染物排放。</w:t>
                  </w:r>
                </w:p>
              </w:tc>
              <w:tc>
                <w:tcPr>
                  <w:tcW w:w="1732" w:type="pct"/>
                  <w:tcBorders>
                    <w:top w:val="single" w:color="000000" w:sz="4" w:space="0"/>
                    <w:left w:val="single" w:color="000000" w:sz="4" w:space="0"/>
                    <w:bottom w:val="single" w:color="000000" w:sz="4" w:space="0"/>
                    <w:right w:val="single" w:color="000000" w:sz="4" w:space="0"/>
                  </w:tcBorders>
                  <w:vAlign w:val="center"/>
                </w:tcPr>
                <w:p>
                  <w:pPr>
                    <w:jc w:val="left"/>
                    <w:rPr>
                      <w:color w:val="auto"/>
                      <w:szCs w:val="21"/>
                    </w:rPr>
                  </w:pPr>
                  <w:r>
                    <w:rPr>
                      <w:color w:val="auto"/>
                      <w:szCs w:val="21"/>
                    </w:rPr>
                    <w:t>建设项目采用环保型原辅料</w:t>
                  </w:r>
                  <w:r>
                    <w:rPr>
                      <w:color w:val="auto"/>
                      <w:kern w:val="0"/>
                      <w:szCs w:val="21"/>
                    </w:rPr>
                    <w:t>。</w:t>
                  </w:r>
                  <w:r>
                    <w:rPr>
                      <w:color w:val="auto"/>
                      <w:szCs w:val="21"/>
                    </w:rPr>
                    <w:t>项目各工序产生的有机废气通过</w:t>
                  </w:r>
                  <w:r>
                    <w:rPr>
                      <w:rFonts w:hint="eastAsia"/>
                      <w:color w:val="auto"/>
                      <w:szCs w:val="21"/>
                    </w:rPr>
                    <w:t>干式过滤器+</w:t>
                  </w:r>
                  <w:r>
                    <w:rPr>
                      <w:color w:val="auto"/>
                      <w:kern w:val="0"/>
                      <w:szCs w:val="21"/>
                    </w:rPr>
                    <w:t>二级活性炭</w:t>
                  </w:r>
                  <w:r>
                    <w:rPr>
                      <w:color w:val="auto"/>
                      <w:szCs w:val="21"/>
                    </w:rPr>
                    <w:t>装置处理，减少废气污染物排放。</w:t>
                  </w:r>
                </w:p>
              </w:tc>
              <w:tc>
                <w:tcPr>
                  <w:tcW w:w="305" w:type="pct"/>
                  <w:vMerge w:val="restart"/>
                  <w:tcBorders>
                    <w:left w:val="single" w:color="000000" w:sz="4" w:space="0"/>
                    <w:right w:val="nil"/>
                  </w:tcBorders>
                  <w:vAlign w:val="center"/>
                </w:tcPr>
                <w:p>
                  <w:pPr>
                    <w:jc w:val="center"/>
                    <w:rPr>
                      <w:color w:val="auto"/>
                      <w:szCs w:val="21"/>
                    </w:rPr>
                  </w:pPr>
                  <w:r>
                    <w:rPr>
                      <w:color w:val="auto"/>
                      <w:szCs w:val="21"/>
                    </w:rPr>
                    <w:t>符合</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761" w:type="pct"/>
                  <w:vMerge w:val="continue"/>
                  <w:tcBorders>
                    <w:left w:val="nil"/>
                    <w:right w:val="single" w:color="auto" w:sz="4" w:space="0"/>
                  </w:tcBorders>
                  <w:vAlign w:val="center"/>
                </w:tcPr>
                <w:p>
                  <w:pPr>
                    <w:jc w:val="left"/>
                    <w:rPr>
                      <w:color w:val="auto"/>
                      <w:szCs w:val="21"/>
                    </w:rPr>
                  </w:pPr>
                </w:p>
              </w:tc>
              <w:tc>
                <w:tcPr>
                  <w:tcW w:w="368" w:type="pct"/>
                  <w:vMerge w:val="continue"/>
                  <w:tcBorders>
                    <w:left w:val="single" w:color="auto" w:sz="4" w:space="0"/>
                    <w:right w:val="single" w:color="000000" w:sz="4" w:space="0"/>
                  </w:tcBorders>
                  <w:vAlign w:val="center"/>
                </w:tcPr>
                <w:p>
                  <w:pPr>
                    <w:jc w:val="left"/>
                    <w:rPr>
                      <w:color w:val="auto"/>
                      <w:szCs w:val="21"/>
                    </w:rPr>
                  </w:pPr>
                </w:p>
              </w:tc>
              <w:tc>
                <w:tcPr>
                  <w:tcW w:w="1832" w:type="pct"/>
                  <w:gridSpan w:val="2"/>
                  <w:tcBorders>
                    <w:top w:val="single" w:color="000000" w:sz="4" w:space="0"/>
                    <w:left w:val="single" w:color="000000" w:sz="4" w:space="0"/>
                    <w:bottom w:val="single" w:color="000000" w:sz="4" w:space="0"/>
                    <w:right w:val="single" w:color="000000" w:sz="4" w:space="0"/>
                  </w:tcBorders>
                  <w:vAlign w:val="center"/>
                </w:tcPr>
                <w:p>
                  <w:pPr>
                    <w:jc w:val="left"/>
                    <w:rPr>
                      <w:color w:val="auto"/>
                      <w:szCs w:val="21"/>
                    </w:rPr>
                  </w:pPr>
                  <w:r>
                    <w:rPr>
                      <w:color w:val="auto"/>
                      <w:szCs w:val="21"/>
                    </w:rPr>
                    <w:t>鼓励对排放的VOCs进行回收利用，并优先在生产系统内回用。对浓度、性状差异较大的废气应分类收集，并采用适宜的方式进行有效处理，确保VOCs总去除率满足管理要求，其中有机化工、医药化工、橡胶和塑料制品(有溶剂浸胶工艺)、溶剂型涂料表面涂装、包装印刷业的VOCs总收集、净化处理率均不低于90%，其他行业原则上不低于75%。</w:t>
                  </w:r>
                </w:p>
              </w:tc>
              <w:tc>
                <w:tcPr>
                  <w:tcW w:w="1732" w:type="pct"/>
                  <w:tcBorders>
                    <w:top w:val="single" w:color="000000" w:sz="4" w:space="0"/>
                    <w:left w:val="single" w:color="000000" w:sz="4" w:space="0"/>
                    <w:bottom w:val="single" w:color="000000" w:sz="4" w:space="0"/>
                    <w:right w:val="single" w:color="000000" w:sz="4" w:space="0"/>
                  </w:tcBorders>
                  <w:vAlign w:val="center"/>
                </w:tcPr>
                <w:p>
                  <w:pPr>
                    <w:jc w:val="left"/>
                    <w:rPr>
                      <w:color w:val="auto"/>
                      <w:szCs w:val="21"/>
                    </w:rPr>
                  </w:pPr>
                  <w:r>
                    <w:rPr>
                      <w:color w:val="auto"/>
                      <w:szCs w:val="21"/>
                    </w:rPr>
                    <w:t>建设项目目排放的VOCs废气不具备回收利用条件。各工序产生的有机废气经</w:t>
                  </w:r>
                  <w:r>
                    <w:rPr>
                      <w:rFonts w:hint="eastAsia"/>
                      <w:color w:val="auto"/>
                      <w:szCs w:val="21"/>
                      <w:lang w:eastAsia="zh-CN"/>
                    </w:rPr>
                    <w:t>车间密闭</w:t>
                  </w:r>
                  <w:r>
                    <w:rPr>
                      <w:color w:val="auto"/>
                      <w:szCs w:val="21"/>
                    </w:rPr>
                    <w:t>收集，收集效率可达9</w:t>
                  </w:r>
                  <w:r>
                    <w:rPr>
                      <w:rFonts w:hint="eastAsia"/>
                      <w:color w:val="auto"/>
                      <w:szCs w:val="21"/>
                      <w:lang w:val="en-US" w:eastAsia="zh-CN"/>
                    </w:rPr>
                    <w:t>5</w:t>
                  </w:r>
                  <w:r>
                    <w:rPr>
                      <w:color w:val="auto"/>
                      <w:szCs w:val="21"/>
                    </w:rPr>
                    <w:t>%，收集后经二级活性炭处理，VOCs整体去除效率可达90%。</w:t>
                  </w:r>
                </w:p>
              </w:tc>
              <w:tc>
                <w:tcPr>
                  <w:tcW w:w="305" w:type="pct"/>
                  <w:vMerge w:val="continue"/>
                  <w:tcBorders>
                    <w:left w:val="single" w:color="000000" w:sz="4" w:space="0"/>
                    <w:right w:val="nil"/>
                  </w:tcBorders>
                  <w:vAlign w:val="center"/>
                </w:tcPr>
                <w:p>
                  <w:pPr>
                    <w:jc w:val="center"/>
                    <w:rPr>
                      <w:color w:val="auto"/>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761" w:type="pct"/>
                  <w:vMerge w:val="continue"/>
                  <w:tcBorders>
                    <w:left w:val="nil"/>
                    <w:right w:val="single" w:color="auto" w:sz="4" w:space="0"/>
                  </w:tcBorders>
                  <w:vAlign w:val="center"/>
                </w:tcPr>
                <w:p>
                  <w:pPr>
                    <w:jc w:val="left"/>
                    <w:rPr>
                      <w:color w:val="auto"/>
                      <w:szCs w:val="21"/>
                    </w:rPr>
                  </w:pPr>
                </w:p>
              </w:tc>
              <w:tc>
                <w:tcPr>
                  <w:tcW w:w="368" w:type="pct"/>
                  <w:vMerge w:val="continue"/>
                  <w:tcBorders>
                    <w:left w:val="single" w:color="auto" w:sz="4" w:space="0"/>
                    <w:right w:val="single" w:color="000000" w:sz="4" w:space="0"/>
                  </w:tcBorders>
                  <w:vAlign w:val="center"/>
                </w:tcPr>
                <w:p>
                  <w:pPr>
                    <w:jc w:val="left"/>
                    <w:rPr>
                      <w:color w:val="auto"/>
                      <w:szCs w:val="21"/>
                    </w:rPr>
                  </w:pPr>
                </w:p>
              </w:tc>
              <w:tc>
                <w:tcPr>
                  <w:tcW w:w="1832" w:type="pct"/>
                  <w:gridSpan w:val="2"/>
                  <w:tcBorders>
                    <w:top w:val="single" w:color="000000" w:sz="4" w:space="0"/>
                    <w:left w:val="single" w:color="000000" w:sz="4" w:space="0"/>
                    <w:bottom w:val="single" w:color="000000" w:sz="4" w:space="0"/>
                    <w:right w:val="single" w:color="000000" w:sz="4" w:space="0"/>
                  </w:tcBorders>
                  <w:vAlign w:val="center"/>
                </w:tcPr>
                <w:p>
                  <w:pPr>
                    <w:jc w:val="left"/>
                    <w:rPr>
                      <w:color w:val="auto"/>
                      <w:szCs w:val="21"/>
                    </w:rPr>
                  </w:pPr>
                  <w:r>
                    <w:rPr>
                      <w:color w:val="auto"/>
                      <w:szCs w:val="21"/>
                    </w:rPr>
                    <w:t>企业应提出针对VOCs的废气治理方案，明确处理装置长期有效运行的管理方案和监控方案，经审核备案后作为环境监察的依据。</w:t>
                  </w:r>
                </w:p>
              </w:tc>
              <w:tc>
                <w:tcPr>
                  <w:tcW w:w="1732" w:type="pct"/>
                  <w:tcBorders>
                    <w:top w:val="single" w:color="000000" w:sz="4" w:space="0"/>
                    <w:left w:val="single" w:color="000000" w:sz="4" w:space="0"/>
                    <w:bottom w:val="single" w:color="000000" w:sz="4" w:space="0"/>
                    <w:right w:val="single" w:color="000000" w:sz="4" w:space="0"/>
                  </w:tcBorders>
                  <w:vAlign w:val="center"/>
                </w:tcPr>
                <w:p>
                  <w:pPr>
                    <w:jc w:val="left"/>
                    <w:rPr>
                      <w:color w:val="auto"/>
                      <w:szCs w:val="21"/>
                    </w:rPr>
                  </w:pPr>
                  <w:r>
                    <w:rPr>
                      <w:color w:val="auto"/>
                      <w:szCs w:val="21"/>
                    </w:rPr>
                    <w:t>建设项目</w:t>
                  </w:r>
                  <w:r>
                    <w:rPr>
                      <w:rFonts w:hint="eastAsia"/>
                      <w:color w:val="auto"/>
                      <w:szCs w:val="21"/>
                    </w:rPr>
                    <w:t>调漆、喷漆、晾干</w:t>
                  </w:r>
                  <w:r>
                    <w:rPr>
                      <w:color w:val="auto"/>
                      <w:szCs w:val="21"/>
                    </w:rPr>
                    <w:t>产生的有机废气采用</w:t>
                  </w:r>
                  <w:r>
                    <w:rPr>
                      <w:rFonts w:hint="eastAsia"/>
                      <w:color w:val="auto"/>
                      <w:szCs w:val="21"/>
                    </w:rPr>
                    <w:t>干式过滤器+</w:t>
                  </w:r>
                  <w:r>
                    <w:rPr>
                      <w:color w:val="auto"/>
                      <w:szCs w:val="21"/>
                    </w:rPr>
                    <w:t>二级活性炭吸附装置处理的高效治理方案，按要求明确管理方案和监控方案，作为处理装置长期有效运行的管理和监控依据。</w:t>
                  </w:r>
                </w:p>
              </w:tc>
              <w:tc>
                <w:tcPr>
                  <w:tcW w:w="305" w:type="pct"/>
                  <w:vMerge w:val="continue"/>
                  <w:tcBorders>
                    <w:left w:val="single" w:color="000000" w:sz="4" w:space="0"/>
                    <w:right w:val="nil"/>
                  </w:tcBorders>
                  <w:vAlign w:val="center"/>
                </w:tcPr>
                <w:p>
                  <w:pPr>
                    <w:jc w:val="center"/>
                    <w:rPr>
                      <w:color w:val="auto"/>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761" w:type="pct"/>
                  <w:vMerge w:val="continue"/>
                  <w:tcBorders>
                    <w:left w:val="nil"/>
                    <w:right w:val="single" w:color="auto" w:sz="4" w:space="0"/>
                  </w:tcBorders>
                  <w:vAlign w:val="center"/>
                </w:tcPr>
                <w:p>
                  <w:pPr>
                    <w:jc w:val="left"/>
                    <w:rPr>
                      <w:color w:val="auto"/>
                      <w:szCs w:val="21"/>
                    </w:rPr>
                  </w:pPr>
                </w:p>
              </w:tc>
              <w:tc>
                <w:tcPr>
                  <w:tcW w:w="368" w:type="pct"/>
                  <w:vMerge w:val="continue"/>
                  <w:tcBorders>
                    <w:left w:val="single" w:color="auto" w:sz="4" w:space="0"/>
                    <w:right w:val="single" w:color="000000" w:sz="4" w:space="0"/>
                  </w:tcBorders>
                  <w:vAlign w:val="center"/>
                </w:tcPr>
                <w:p>
                  <w:pPr>
                    <w:jc w:val="left"/>
                    <w:rPr>
                      <w:color w:val="auto"/>
                      <w:szCs w:val="21"/>
                    </w:rPr>
                  </w:pPr>
                </w:p>
              </w:tc>
              <w:tc>
                <w:tcPr>
                  <w:tcW w:w="1832" w:type="pct"/>
                  <w:gridSpan w:val="2"/>
                  <w:tcBorders>
                    <w:top w:val="single" w:color="000000" w:sz="4" w:space="0"/>
                    <w:left w:val="single" w:color="000000" w:sz="4" w:space="0"/>
                    <w:bottom w:val="single" w:color="000000" w:sz="4" w:space="0"/>
                    <w:right w:val="single" w:color="000000" w:sz="4" w:space="0"/>
                  </w:tcBorders>
                  <w:vAlign w:val="center"/>
                </w:tcPr>
                <w:p>
                  <w:pPr>
                    <w:jc w:val="left"/>
                    <w:rPr>
                      <w:color w:val="auto"/>
                      <w:szCs w:val="21"/>
                    </w:rPr>
                  </w:pPr>
                  <w:r>
                    <w:rPr>
                      <w:color w:val="auto"/>
                      <w:szCs w:val="21"/>
                    </w:rPr>
                    <w:t>企业在VOCs污染防治设施验收时应监测TVOCs净化效率，并记录在线连续检测装置或其他检测方法获取的TVOCs排放浓度，以作为设施日常稳定运行情况的考核依据。</w:t>
                  </w:r>
                </w:p>
              </w:tc>
              <w:tc>
                <w:tcPr>
                  <w:tcW w:w="1732" w:type="pct"/>
                  <w:tcBorders>
                    <w:top w:val="single" w:color="000000" w:sz="4" w:space="0"/>
                    <w:left w:val="single" w:color="000000" w:sz="4" w:space="0"/>
                    <w:bottom w:val="single" w:color="000000" w:sz="4" w:space="0"/>
                    <w:right w:val="single" w:color="000000" w:sz="4" w:space="0"/>
                  </w:tcBorders>
                  <w:vAlign w:val="center"/>
                </w:tcPr>
                <w:p>
                  <w:pPr>
                    <w:jc w:val="left"/>
                    <w:rPr>
                      <w:color w:val="auto"/>
                      <w:szCs w:val="21"/>
                    </w:rPr>
                  </w:pPr>
                  <w:r>
                    <w:rPr>
                      <w:color w:val="auto"/>
                      <w:szCs w:val="21"/>
                    </w:rPr>
                    <w:t>企业投产后按监测方案确定的频次，采用例行监测的方式监测非甲烷总烃（VOCs）排放浓度、净化效率，作为设施日常稳定运行情况的考核依据。</w:t>
                  </w:r>
                </w:p>
              </w:tc>
              <w:tc>
                <w:tcPr>
                  <w:tcW w:w="305" w:type="pct"/>
                  <w:vMerge w:val="continue"/>
                  <w:tcBorders>
                    <w:left w:val="single" w:color="000000" w:sz="4" w:space="0"/>
                    <w:right w:val="nil"/>
                  </w:tcBorders>
                  <w:vAlign w:val="center"/>
                </w:tcPr>
                <w:p>
                  <w:pPr>
                    <w:jc w:val="center"/>
                    <w:rPr>
                      <w:color w:val="auto"/>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761" w:type="pct"/>
                  <w:vMerge w:val="continue"/>
                  <w:tcBorders>
                    <w:left w:val="nil"/>
                    <w:right w:val="single" w:color="auto" w:sz="4" w:space="0"/>
                  </w:tcBorders>
                  <w:vAlign w:val="center"/>
                </w:tcPr>
                <w:p>
                  <w:pPr>
                    <w:jc w:val="left"/>
                    <w:rPr>
                      <w:color w:val="auto"/>
                      <w:szCs w:val="21"/>
                    </w:rPr>
                  </w:pPr>
                </w:p>
              </w:tc>
              <w:tc>
                <w:tcPr>
                  <w:tcW w:w="368" w:type="pct"/>
                  <w:vMerge w:val="continue"/>
                  <w:tcBorders>
                    <w:left w:val="single" w:color="auto" w:sz="4" w:space="0"/>
                    <w:right w:val="single" w:color="000000" w:sz="4" w:space="0"/>
                  </w:tcBorders>
                  <w:vAlign w:val="center"/>
                </w:tcPr>
                <w:p>
                  <w:pPr>
                    <w:jc w:val="left"/>
                    <w:rPr>
                      <w:color w:val="auto"/>
                      <w:szCs w:val="21"/>
                    </w:rPr>
                  </w:pPr>
                </w:p>
              </w:tc>
              <w:tc>
                <w:tcPr>
                  <w:tcW w:w="1832" w:type="pct"/>
                  <w:gridSpan w:val="2"/>
                  <w:tcBorders>
                    <w:top w:val="single" w:color="000000" w:sz="4" w:space="0"/>
                    <w:left w:val="single" w:color="000000" w:sz="4" w:space="0"/>
                    <w:bottom w:val="single" w:color="000000" w:sz="4" w:space="0"/>
                    <w:right w:val="single" w:color="000000" w:sz="4" w:space="0"/>
                  </w:tcBorders>
                  <w:vAlign w:val="center"/>
                </w:tcPr>
                <w:p>
                  <w:pPr>
                    <w:jc w:val="left"/>
                    <w:rPr>
                      <w:color w:val="auto"/>
                      <w:szCs w:val="21"/>
                    </w:rPr>
                  </w:pPr>
                  <w:r>
                    <w:rPr>
                      <w:color w:val="auto"/>
                      <w:szCs w:val="21"/>
                    </w:rPr>
                    <w:t>企业应安排有关机构和专门人员负责VOCs污染控制的相关工作。需定期更换吸附剂、催化剂或吸收液的，应有详细的购买及更换台账。</w:t>
                  </w:r>
                </w:p>
              </w:tc>
              <w:tc>
                <w:tcPr>
                  <w:tcW w:w="1732" w:type="pct"/>
                  <w:tcBorders>
                    <w:top w:val="single" w:color="000000" w:sz="4" w:space="0"/>
                    <w:left w:val="single" w:color="000000" w:sz="4" w:space="0"/>
                    <w:bottom w:val="single" w:color="000000" w:sz="4" w:space="0"/>
                    <w:right w:val="single" w:color="000000" w:sz="4" w:space="0"/>
                  </w:tcBorders>
                  <w:vAlign w:val="center"/>
                </w:tcPr>
                <w:p>
                  <w:pPr>
                    <w:jc w:val="left"/>
                    <w:rPr>
                      <w:color w:val="auto"/>
                      <w:szCs w:val="21"/>
                    </w:rPr>
                  </w:pPr>
                  <w:r>
                    <w:rPr>
                      <w:color w:val="auto"/>
                      <w:szCs w:val="21"/>
                    </w:rPr>
                    <w:t>建设项目拟设人员负责VOCs污染控制的相关工作，定期更换活性炭等，按要求建立污染防治工作台账。</w:t>
                  </w:r>
                </w:p>
              </w:tc>
              <w:tc>
                <w:tcPr>
                  <w:tcW w:w="305" w:type="pct"/>
                  <w:vMerge w:val="continue"/>
                  <w:tcBorders>
                    <w:left w:val="single" w:color="000000" w:sz="4" w:space="0"/>
                    <w:right w:val="nil"/>
                  </w:tcBorders>
                  <w:vAlign w:val="center"/>
                </w:tcPr>
                <w:p>
                  <w:pPr>
                    <w:jc w:val="center"/>
                    <w:rPr>
                      <w:color w:val="auto"/>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761" w:type="pct"/>
                  <w:vMerge w:val="continue"/>
                  <w:tcBorders>
                    <w:left w:val="nil"/>
                    <w:right w:val="single" w:color="auto" w:sz="4" w:space="0"/>
                  </w:tcBorders>
                  <w:vAlign w:val="center"/>
                </w:tcPr>
                <w:p>
                  <w:pPr>
                    <w:jc w:val="left"/>
                    <w:rPr>
                      <w:color w:val="auto"/>
                      <w:szCs w:val="21"/>
                    </w:rPr>
                  </w:pPr>
                </w:p>
              </w:tc>
              <w:tc>
                <w:tcPr>
                  <w:tcW w:w="368" w:type="pct"/>
                  <w:vMerge w:val="restart"/>
                  <w:tcBorders>
                    <w:left w:val="single" w:color="auto" w:sz="4" w:space="0"/>
                    <w:right w:val="single" w:color="000000" w:sz="4" w:space="0"/>
                  </w:tcBorders>
                  <w:vAlign w:val="center"/>
                </w:tcPr>
                <w:p>
                  <w:pPr>
                    <w:jc w:val="left"/>
                    <w:rPr>
                      <w:b/>
                      <w:color w:val="auto"/>
                      <w:szCs w:val="21"/>
                    </w:rPr>
                  </w:pPr>
                  <w:r>
                    <w:rPr>
                      <w:b/>
                      <w:color w:val="auto"/>
                      <w:szCs w:val="21"/>
                    </w:rPr>
                    <w:t>表面涂装行业</w:t>
                  </w:r>
                </w:p>
              </w:tc>
              <w:tc>
                <w:tcPr>
                  <w:tcW w:w="1832" w:type="pct"/>
                  <w:gridSpan w:val="2"/>
                  <w:tcBorders>
                    <w:top w:val="single" w:color="000000" w:sz="4" w:space="0"/>
                    <w:left w:val="single" w:color="000000" w:sz="4" w:space="0"/>
                    <w:bottom w:val="single" w:color="000000" w:sz="4" w:space="0"/>
                    <w:right w:val="single" w:color="000000" w:sz="4" w:space="0"/>
                  </w:tcBorders>
                  <w:vAlign w:val="center"/>
                </w:tcPr>
                <w:p>
                  <w:pPr>
                    <w:jc w:val="left"/>
                    <w:rPr>
                      <w:color w:val="auto"/>
                      <w:szCs w:val="21"/>
                    </w:rPr>
                  </w:pPr>
                  <w:r>
                    <w:rPr>
                      <w:color w:val="auto"/>
                      <w:szCs w:val="21"/>
                    </w:rPr>
                    <w:t>根据涂装工艺的不同，鼓励使用水性、高固份、粉末、紫外光烘干涂料等低VOCs含量的环保型涂料，限制使用溶剂型涂料，其中汽车制造、家具制造、电子和电器产品制造企业环保型涂料使用比例达到50%以上。</w:t>
                  </w:r>
                </w:p>
              </w:tc>
              <w:tc>
                <w:tcPr>
                  <w:tcW w:w="1732"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color w:val="auto"/>
                      <w:szCs w:val="21"/>
                    </w:rPr>
                  </w:pPr>
                  <w:r>
                    <w:rPr>
                      <w:color w:val="auto"/>
                      <w:szCs w:val="21"/>
                    </w:rPr>
                    <w:t>建设项目使用</w:t>
                  </w:r>
                  <w:r>
                    <w:rPr>
                      <w:rFonts w:hint="eastAsia"/>
                      <w:color w:val="auto"/>
                      <w:szCs w:val="21"/>
                    </w:rPr>
                    <w:t>水性漆</w:t>
                  </w:r>
                  <w:r>
                    <w:rPr>
                      <w:color w:val="auto"/>
                      <w:szCs w:val="21"/>
                    </w:rPr>
                    <w:t>为低VOCs含量的</w:t>
                  </w:r>
                  <w:r>
                    <w:rPr>
                      <w:rFonts w:hint="eastAsia"/>
                      <w:color w:val="auto"/>
                      <w:szCs w:val="21"/>
                    </w:rPr>
                    <w:t>底面一体水性漆</w:t>
                  </w:r>
                  <w:r>
                    <w:rPr>
                      <w:color w:val="auto"/>
                      <w:szCs w:val="21"/>
                    </w:rPr>
                    <w:t>。</w:t>
                  </w:r>
                </w:p>
              </w:tc>
              <w:tc>
                <w:tcPr>
                  <w:tcW w:w="305" w:type="pct"/>
                  <w:vMerge w:val="restart"/>
                  <w:tcBorders>
                    <w:left w:val="single" w:color="000000" w:sz="4" w:space="0"/>
                    <w:right w:val="nil"/>
                  </w:tcBorders>
                  <w:vAlign w:val="center"/>
                </w:tcPr>
                <w:p>
                  <w:pPr>
                    <w:jc w:val="center"/>
                    <w:rPr>
                      <w:color w:val="auto"/>
                      <w:szCs w:val="21"/>
                    </w:rPr>
                  </w:pPr>
                  <w:r>
                    <w:rPr>
                      <w:color w:val="auto"/>
                      <w:szCs w:val="21"/>
                    </w:rPr>
                    <w:t>符合</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761" w:type="pct"/>
                  <w:vMerge w:val="continue"/>
                  <w:tcBorders>
                    <w:left w:val="nil"/>
                    <w:right w:val="single" w:color="auto" w:sz="4" w:space="0"/>
                  </w:tcBorders>
                  <w:vAlign w:val="center"/>
                </w:tcPr>
                <w:p>
                  <w:pPr>
                    <w:jc w:val="left"/>
                    <w:rPr>
                      <w:color w:val="auto"/>
                      <w:szCs w:val="21"/>
                    </w:rPr>
                  </w:pPr>
                </w:p>
              </w:tc>
              <w:tc>
                <w:tcPr>
                  <w:tcW w:w="368" w:type="pct"/>
                  <w:vMerge w:val="continue"/>
                  <w:tcBorders>
                    <w:left w:val="single" w:color="auto" w:sz="4" w:space="0"/>
                    <w:right w:val="single" w:color="000000" w:sz="4" w:space="0"/>
                  </w:tcBorders>
                  <w:vAlign w:val="center"/>
                </w:tcPr>
                <w:p>
                  <w:pPr>
                    <w:jc w:val="left"/>
                    <w:rPr>
                      <w:color w:val="auto"/>
                      <w:szCs w:val="21"/>
                    </w:rPr>
                  </w:pPr>
                </w:p>
              </w:tc>
              <w:tc>
                <w:tcPr>
                  <w:tcW w:w="1832" w:type="pct"/>
                  <w:gridSpan w:val="2"/>
                  <w:tcBorders>
                    <w:top w:val="single" w:color="000000" w:sz="4" w:space="0"/>
                    <w:left w:val="single" w:color="000000" w:sz="4" w:space="0"/>
                    <w:bottom w:val="single" w:color="000000" w:sz="4" w:space="0"/>
                    <w:right w:val="single" w:color="000000" w:sz="4" w:space="0"/>
                  </w:tcBorders>
                  <w:vAlign w:val="center"/>
                </w:tcPr>
                <w:p>
                  <w:pPr>
                    <w:jc w:val="left"/>
                    <w:rPr>
                      <w:color w:val="auto"/>
                      <w:szCs w:val="21"/>
                    </w:rPr>
                  </w:pPr>
                  <w:r>
                    <w:rPr>
                      <w:color w:val="auto"/>
                      <w:szCs w:val="21"/>
                    </w:rPr>
                    <w:t>推广采用静电喷涂、淋涂、扭涂、浸涂等涂装效率较高的涂装工艺，推广汽车行业先进涂装工艺技术的使用，优化喷漆工艺及设备，小型乘用车单位涂装面积的挥发性有机物排放量控制在35克/平方米以下。</w:t>
                  </w:r>
                </w:p>
              </w:tc>
              <w:tc>
                <w:tcPr>
                  <w:tcW w:w="1732" w:type="pct"/>
                  <w:tcBorders>
                    <w:top w:val="single" w:color="000000" w:sz="4" w:space="0"/>
                    <w:left w:val="single" w:color="000000" w:sz="4" w:space="0"/>
                    <w:bottom w:val="single" w:color="000000" w:sz="4" w:space="0"/>
                    <w:right w:val="single" w:color="000000" w:sz="4" w:space="0"/>
                  </w:tcBorders>
                  <w:vAlign w:val="center"/>
                </w:tcPr>
                <w:p>
                  <w:pPr>
                    <w:jc w:val="left"/>
                    <w:rPr>
                      <w:color w:val="auto"/>
                      <w:szCs w:val="21"/>
                    </w:rPr>
                  </w:pPr>
                  <w:r>
                    <w:rPr>
                      <w:color w:val="auto"/>
                      <w:szCs w:val="21"/>
                    </w:rPr>
                    <w:t>建设项目采取</w:t>
                  </w:r>
                  <w:r>
                    <w:rPr>
                      <w:rFonts w:hint="eastAsia"/>
                      <w:color w:val="auto"/>
                      <w:szCs w:val="21"/>
                    </w:rPr>
                    <w:t>自动</w:t>
                  </w:r>
                  <w:r>
                    <w:rPr>
                      <w:color w:val="auto"/>
                      <w:szCs w:val="21"/>
                    </w:rPr>
                    <w:t>喷枪喷涂的方式，产品上</w:t>
                  </w:r>
                  <w:r>
                    <w:rPr>
                      <w:rFonts w:hint="eastAsia"/>
                      <w:color w:val="auto"/>
                      <w:szCs w:val="21"/>
                    </w:rPr>
                    <w:t>漆</w:t>
                  </w:r>
                  <w:r>
                    <w:rPr>
                      <w:color w:val="auto"/>
                      <w:szCs w:val="21"/>
                    </w:rPr>
                    <w:t>率为70%，效率高，满足要求。</w:t>
                  </w:r>
                </w:p>
              </w:tc>
              <w:tc>
                <w:tcPr>
                  <w:tcW w:w="305" w:type="pct"/>
                  <w:vMerge w:val="continue"/>
                  <w:tcBorders>
                    <w:left w:val="single" w:color="000000" w:sz="4" w:space="0"/>
                    <w:right w:val="nil"/>
                  </w:tcBorders>
                  <w:vAlign w:val="center"/>
                </w:tcPr>
                <w:p>
                  <w:pPr>
                    <w:jc w:val="center"/>
                    <w:rPr>
                      <w:color w:val="auto"/>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761" w:type="pct"/>
                  <w:vMerge w:val="continue"/>
                  <w:tcBorders>
                    <w:left w:val="nil"/>
                    <w:right w:val="single" w:color="auto" w:sz="4" w:space="0"/>
                  </w:tcBorders>
                  <w:vAlign w:val="center"/>
                </w:tcPr>
                <w:p>
                  <w:pPr>
                    <w:jc w:val="left"/>
                    <w:rPr>
                      <w:color w:val="auto"/>
                      <w:szCs w:val="21"/>
                    </w:rPr>
                  </w:pPr>
                </w:p>
              </w:tc>
              <w:tc>
                <w:tcPr>
                  <w:tcW w:w="368" w:type="pct"/>
                  <w:vMerge w:val="continue"/>
                  <w:tcBorders>
                    <w:left w:val="single" w:color="auto" w:sz="4" w:space="0"/>
                    <w:right w:val="single" w:color="000000" w:sz="4" w:space="0"/>
                  </w:tcBorders>
                  <w:vAlign w:val="center"/>
                </w:tcPr>
                <w:p>
                  <w:pPr>
                    <w:jc w:val="left"/>
                    <w:rPr>
                      <w:color w:val="auto"/>
                      <w:szCs w:val="21"/>
                    </w:rPr>
                  </w:pPr>
                </w:p>
              </w:tc>
              <w:tc>
                <w:tcPr>
                  <w:tcW w:w="1832" w:type="pct"/>
                  <w:gridSpan w:val="2"/>
                  <w:tcBorders>
                    <w:top w:val="single" w:color="000000" w:sz="4" w:space="0"/>
                    <w:left w:val="single" w:color="000000" w:sz="4" w:space="0"/>
                    <w:bottom w:val="single" w:color="000000" w:sz="4" w:space="0"/>
                    <w:right w:val="single" w:color="000000" w:sz="4" w:space="0"/>
                  </w:tcBorders>
                  <w:vAlign w:val="center"/>
                </w:tcPr>
                <w:p>
                  <w:pPr>
                    <w:jc w:val="left"/>
                    <w:rPr>
                      <w:color w:val="auto"/>
                      <w:szCs w:val="21"/>
                    </w:rPr>
                  </w:pPr>
                  <w:r>
                    <w:rPr>
                      <w:color w:val="auto"/>
                      <w:szCs w:val="21"/>
                    </w:rPr>
                    <w:t>喷漆室、流平室和烘干室应设置成完全封间的围护结构体，配备有机废气收集和处理系统，原则上禁止露天和敞开式喷涂作业。若工艺有特殊要求，不能实现封闭作业，应报环保部门批准。</w:t>
                  </w:r>
                </w:p>
              </w:tc>
              <w:tc>
                <w:tcPr>
                  <w:tcW w:w="1732" w:type="pct"/>
                  <w:tcBorders>
                    <w:top w:val="single" w:color="000000" w:sz="4" w:space="0"/>
                    <w:left w:val="single" w:color="000000" w:sz="4" w:space="0"/>
                    <w:bottom w:val="single" w:color="000000" w:sz="4" w:space="0"/>
                    <w:right w:val="single" w:color="000000" w:sz="4" w:space="0"/>
                  </w:tcBorders>
                  <w:vAlign w:val="center"/>
                </w:tcPr>
                <w:p>
                  <w:pPr>
                    <w:jc w:val="left"/>
                    <w:rPr>
                      <w:color w:val="auto"/>
                      <w:szCs w:val="21"/>
                    </w:rPr>
                  </w:pPr>
                  <w:r>
                    <w:rPr>
                      <w:color w:val="auto"/>
                      <w:szCs w:val="21"/>
                    </w:rPr>
                    <w:t>建设项目</w:t>
                  </w:r>
                  <w:r>
                    <w:rPr>
                      <w:rFonts w:hint="eastAsia"/>
                      <w:color w:val="auto"/>
                      <w:szCs w:val="21"/>
                      <w:lang w:eastAsia="zh-CN"/>
                    </w:rPr>
                    <w:t>喷漆、晾干</w:t>
                  </w:r>
                  <w:r>
                    <w:rPr>
                      <w:rFonts w:hint="eastAsia"/>
                      <w:bCs/>
                      <w:color w:val="auto"/>
                      <w:kern w:val="0"/>
                      <w:szCs w:val="21"/>
                    </w:rPr>
                    <w:t>密闭车间</w:t>
                  </w:r>
                  <w:r>
                    <w:rPr>
                      <w:bCs/>
                      <w:color w:val="auto"/>
                      <w:kern w:val="0"/>
                      <w:szCs w:val="21"/>
                    </w:rPr>
                    <w:t>进行，</w:t>
                  </w:r>
                  <w:r>
                    <w:rPr>
                      <w:color w:val="auto"/>
                      <w:szCs w:val="21"/>
                    </w:rPr>
                    <w:t>废气经</w:t>
                  </w:r>
                  <w:r>
                    <w:rPr>
                      <w:rFonts w:hint="eastAsia"/>
                      <w:color w:val="auto"/>
                      <w:szCs w:val="21"/>
                      <w:lang w:eastAsia="zh-CN"/>
                    </w:rPr>
                    <w:t>车间密闭</w:t>
                  </w:r>
                  <w:r>
                    <w:rPr>
                      <w:color w:val="auto"/>
                      <w:szCs w:val="21"/>
                    </w:rPr>
                    <w:t>收集，配备有机废气收集和处理系统，满足要求。</w:t>
                  </w:r>
                </w:p>
              </w:tc>
              <w:tc>
                <w:tcPr>
                  <w:tcW w:w="305" w:type="pct"/>
                  <w:vMerge w:val="continue"/>
                  <w:tcBorders>
                    <w:left w:val="single" w:color="000000" w:sz="4" w:space="0"/>
                    <w:right w:val="nil"/>
                  </w:tcBorders>
                  <w:vAlign w:val="center"/>
                </w:tcPr>
                <w:p>
                  <w:pPr>
                    <w:jc w:val="center"/>
                    <w:rPr>
                      <w:color w:val="auto"/>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2121" w:hRule="atLeast"/>
                <w:jc w:val="center"/>
              </w:trPr>
              <w:tc>
                <w:tcPr>
                  <w:tcW w:w="761" w:type="pct"/>
                  <w:vMerge w:val="continue"/>
                  <w:tcBorders>
                    <w:left w:val="nil"/>
                    <w:right w:val="single" w:color="auto" w:sz="4" w:space="0"/>
                  </w:tcBorders>
                  <w:vAlign w:val="center"/>
                </w:tcPr>
                <w:p>
                  <w:pPr>
                    <w:jc w:val="left"/>
                    <w:rPr>
                      <w:color w:val="auto"/>
                      <w:szCs w:val="21"/>
                    </w:rPr>
                  </w:pPr>
                </w:p>
              </w:tc>
              <w:tc>
                <w:tcPr>
                  <w:tcW w:w="368" w:type="pct"/>
                  <w:vMerge w:val="continue"/>
                  <w:tcBorders>
                    <w:left w:val="single" w:color="auto" w:sz="4" w:space="0"/>
                    <w:right w:val="single" w:color="000000" w:sz="4" w:space="0"/>
                  </w:tcBorders>
                  <w:vAlign w:val="center"/>
                </w:tcPr>
                <w:p>
                  <w:pPr>
                    <w:jc w:val="left"/>
                    <w:rPr>
                      <w:color w:val="auto"/>
                      <w:szCs w:val="21"/>
                    </w:rPr>
                  </w:pPr>
                </w:p>
              </w:tc>
              <w:tc>
                <w:tcPr>
                  <w:tcW w:w="1832" w:type="pct"/>
                  <w:gridSpan w:val="2"/>
                  <w:tcBorders>
                    <w:top w:val="single" w:color="000000" w:sz="4" w:space="0"/>
                    <w:left w:val="single" w:color="000000" w:sz="4" w:space="0"/>
                    <w:right w:val="single" w:color="000000" w:sz="4" w:space="0"/>
                  </w:tcBorders>
                  <w:vAlign w:val="center"/>
                </w:tcPr>
                <w:p>
                  <w:pPr>
                    <w:jc w:val="left"/>
                    <w:rPr>
                      <w:color w:val="auto"/>
                      <w:szCs w:val="21"/>
                    </w:rPr>
                  </w:pPr>
                  <w:r>
                    <w:rPr>
                      <w:color w:val="auto"/>
                      <w:szCs w:val="21"/>
                    </w:rPr>
                    <w:t>烘干废气应收集后采用焚烧方式处理，流平废气原则土纳入烘干废气处理系统一并处理。</w:t>
                  </w:r>
                </w:p>
                <w:p>
                  <w:pPr>
                    <w:jc w:val="left"/>
                    <w:rPr>
                      <w:color w:val="auto"/>
                      <w:szCs w:val="21"/>
                    </w:rPr>
                  </w:pPr>
                  <w:r>
                    <w:rPr>
                      <w:color w:val="auto"/>
                      <w:szCs w:val="21"/>
                    </w:rPr>
                    <w:t>喷漆废气应先采用干式过滤高效除漆雾、湿式水帘十多级过滤等工艺进行预处理，再采用转轮吸附浓缩+高温焚烧方式处理，小型涂装企业也可采用蜂窝活性炭吸附催化燃烧、填料塔吸收、活性炭吸附等多种方式净化后达标排放。</w:t>
                  </w:r>
                </w:p>
              </w:tc>
              <w:tc>
                <w:tcPr>
                  <w:tcW w:w="1732" w:type="pct"/>
                  <w:tcBorders>
                    <w:top w:val="single" w:color="000000" w:sz="4" w:space="0"/>
                    <w:left w:val="single" w:color="000000" w:sz="4" w:space="0"/>
                    <w:right w:val="single" w:color="000000" w:sz="4" w:space="0"/>
                  </w:tcBorders>
                  <w:vAlign w:val="center"/>
                </w:tcPr>
                <w:p>
                  <w:pPr>
                    <w:jc w:val="left"/>
                    <w:rPr>
                      <w:color w:val="auto"/>
                      <w:szCs w:val="21"/>
                    </w:rPr>
                  </w:pPr>
                  <w:r>
                    <w:rPr>
                      <w:color w:val="auto"/>
                      <w:szCs w:val="21"/>
                    </w:rPr>
                    <w:t>建设项目</w:t>
                  </w:r>
                  <w:r>
                    <w:rPr>
                      <w:rFonts w:hint="eastAsia"/>
                      <w:color w:val="auto"/>
                      <w:szCs w:val="21"/>
                      <w:lang w:eastAsia="zh-CN"/>
                    </w:rPr>
                    <w:t>喷漆、晾干</w:t>
                  </w:r>
                  <w:r>
                    <w:rPr>
                      <w:color w:val="auto"/>
                      <w:szCs w:val="21"/>
                    </w:rPr>
                    <w:t>废气</w:t>
                  </w:r>
                  <w:r>
                    <w:rPr>
                      <w:rFonts w:hint="eastAsia"/>
                      <w:color w:val="auto"/>
                      <w:szCs w:val="21"/>
                      <w:lang w:eastAsia="zh-CN"/>
                    </w:rPr>
                    <w:t>、危废库废气</w:t>
                  </w:r>
                  <w:r>
                    <w:rPr>
                      <w:color w:val="auto"/>
                      <w:szCs w:val="21"/>
                    </w:rPr>
                    <w:t>采用</w:t>
                  </w:r>
                  <w:r>
                    <w:rPr>
                      <w:rFonts w:hint="eastAsia"/>
                      <w:color w:val="auto"/>
                      <w:szCs w:val="21"/>
                    </w:rPr>
                    <w:t>干式过滤器+</w:t>
                  </w:r>
                  <w:r>
                    <w:rPr>
                      <w:color w:val="auto"/>
                      <w:szCs w:val="21"/>
                    </w:rPr>
                    <w:t>二级活性炭处理后达标排放，满足要求。</w:t>
                  </w:r>
                </w:p>
              </w:tc>
              <w:tc>
                <w:tcPr>
                  <w:tcW w:w="305" w:type="pct"/>
                  <w:vMerge w:val="continue"/>
                  <w:tcBorders>
                    <w:left w:val="single" w:color="000000" w:sz="4" w:space="0"/>
                    <w:right w:val="nil"/>
                  </w:tcBorders>
                  <w:vAlign w:val="center"/>
                </w:tcPr>
                <w:p>
                  <w:pPr>
                    <w:jc w:val="center"/>
                    <w:rPr>
                      <w:color w:val="auto"/>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761" w:type="pct"/>
                  <w:vMerge w:val="continue"/>
                  <w:tcBorders>
                    <w:left w:val="nil"/>
                    <w:right w:val="single" w:color="auto" w:sz="4" w:space="0"/>
                  </w:tcBorders>
                  <w:vAlign w:val="center"/>
                </w:tcPr>
                <w:p>
                  <w:pPr>
                    <w:jc w:val="left"/>
                    <w:rPr>
                      <w:color w:val="auto"/>
                      <w:szCs w:val="21"/>
                    </w:rPr>
                  </w:pPr>
                </w:p>
              </w:tc>
              <w:tc>
                <w:tcPr>
                  <w:tcW w:w="368" w:type="pct"/>
                  <w:vMerge w:val="continue"/>
                  <w:tcBorders>
                    <w:left w:val="single" w:color="auto" w:sz="4" w:space="0"/>
                    <w:right w:val="single" w:color="000000" w:sz="4" w:space="0"/>
                  </w:tcBorders>
                  <w:vAlign w:val="center"/>
                </w:tcPr>
                <w:p>
                  <w:pPr>
                    <w:jc w:val="left"/>
                    <w:rPr>
                      <w:color w:val="auto"/>
                      <w:szCs w:val="21"/>
                    </w:rPr>
                  </w:pPr>
                </w:p>
              </w:tc>
              <w:tc>
                <w:tcPr>
                  <w:tcW w:w="1832" w:type="pct"/>
                  <w:gridSpan w:val="2"/>
                  <w:tcBorders>
                    <w:top w:val="single" w:color="000000" w:sz="4" w:space="0"/>
                    <w:left w:val="single" w:color="000000" w:sz="4" w:space="0"/>
                    <w:bottom w:val="single" w:color="000000" w:sz="4" w:space="0"/>
                    <w:right w:val="single" w:color="000000" w:sz="4" w:space="0"/>
                  </w:tcBorders>
                  <w:vAlign w:val="center"/>
                </w:tcPr>
                <w:p>
                  <w:pPr>
                    <w:jc w:val="left"/>
                    <w:rPr>
                      <w:color w:val="auto"/>
                      <w:szCs w:val="21"/>
                    </w:rPr>
                  </w:pPr>
                  <w:r>
                    <w:rPr>
                      <w:color w:val="auto"/>
                      <w:szCs w:val="21"/>
                    </w:rPr>
                    <w:t>使用溶剂型涂料的表面涂装应安装高效回收净化设施。</w:t>
                  </w:r>
                </w:p>
              </w:tc>
              <w:tc>
                <w:tcPr>
                  <w:tcW w:w="1732" w:type="pct"/>
                  <w:tcBorders>
                    <w:top w:val="single" w:color="000000" w:sz="4" w:space="0"/>
                    <w:left w:val="single" w:color="000000" w:sz="4" w:space="0"/>
                    <w:bottom w:val="single" w:color="000000" w:sz="4" w:space="0"/>
                    <w:right w:val="single" w:color="000000" w:sz="4" w:space="0"/>
                  </w:tcBorders>
                  <w:vAlign w:val="center"/>
                </w:tcPr>
                <w:p>
                  <w:pPr>
                    <w:jc w:val="left"/>
                    <w:rPr>
                      <w:color w:val="auto"/>
                      <w:szCs w:val="21"/>
                    </w:rPr>
                  </w:pPr>
                  <w:r>
                    <w:rPr>
                      <w:color w:val="auto"/>
                      <w:szCs w:val="21"/>
                    </w:rPr>
                    <w:t>建设项目使用</w:t>
                  </w:r>
                  <w:r>
                    <w:rPr>
                      <w:rFonts w:hint="eastAsia"/>
                      <w:color w:val="auto"/>
                      <w:szCs w:val="21"/>
                    </w:rPr>
                    <w:t>水性漆</w:t>
                  </w:r>
                  <w:r>
                    <w:rPr>
                      <w:color w:val="auto"/>
                      <w:szCs w:val="21"/>
                    </w:rPr>
                    <w:t>，拟对</w:t>
                  </w:r>
                  <w:r>
                    <w:rPr>
                      <w:rFonts w:hint="eastAsia"/>
                      <w:color w:val="auto"/>
                      <w:szCs w:val="21"/>
                    </w:rPr>
                    <w:t>调漆、喷漆、晾干</w:t>
                  </w:r>
                  <w:r>
                    <w:rPr>
                      <w:color w:val="auto"/>
                      <w:szCs w:val="21"/>
                    </w:rPr>
                    <w:t>废气</w:t>
                  </w:r>
                  <w:r>
                    <w:rPr>
                      <w:rFonts w:hint="eastAsia"/>
                      <w:color w:val="auto"/>
                      <w:szCs w:val="21"/>
                      <w:lang w:eastAsia="zh-CN"/>
                    </w:rPr>
                    <w:t>、危废库废气</w:t>
                  </w:r>
                  <w:r>
                    <w:rPr>
                      <w:color w:val="auto"/>
                      <w:szCs w:val="21"/>
                    </w:rPr>
                    <w:t>采用</w:t>
                  </w:r>
                  <w:r>
                    <w:rPr>
                      <w:rFonts w:hint="eastAsia"/>
                      <w:color w:val="auto"/>
                      <w:szCs w:val="21"/>
                      <w:lang w:eastAsia="zh-CN"/>
                    </w:rPr>
                    <w:t>车间</w:t>
                  </w:r>
                  <w:r>
                    <w:rPr>
                      <w:rFonts w:hint="eastAsia"/>
                      <w:color w:val="auto"/>
                      <w:szCs w:val="21"/>
                    </w:rPr>
                    <w:t>密闭</w:t>
                  </w:r>
                  <w:r>
                    <w:rPr>
                      <w:color w:val="auto"/>
                      <w:szCs w:val="21"/>
                    </w:rPr>
                    <w:t>收集，安装</w:t>
                  </w:r>
                  <w:r>
                    <w:rPr>
                      <w:rFonts w:hint="eastAsia"/>
                      <w:color w:val="auto"/>
                      <w:szCs w:val="21"/>
                    </w:rPr>
                    <w:t>干式过滤+</w:t>
                  </w:r>
                  <w:r>
                    <w:rPr>
                      <w:color w:val="auto"/>
                      <w:szCs w:val="21"/>
                    </w:rPr>
                    <w:t>二级活性炭装置。</w:t>
                  </w:r>
                </w:p>
              </w:tc>
              <w:tc>
                <w:tcPr>
                  <w:tcW w:w="305" w:type="pct"/>
                  <w:vMerge w:val="continue"/>
                  <w:tcBorders>
                    <w:left w:val="single" w:color="000000" w:sz="4" w:space="0"/>
                    <w:right w:val="nil"/>
                  </w:tcBorders>
                  <w:vAlign w:val="center"/>
                </w:tcPr>
                <w:p>
                  <w:pPr>
                    <w:jc w:val="center"/>
                    <w:rPr>
                      <w:color w:val="auto"/>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129" w:type="pct"/>
                  <w:gridSpan w:val="2"/>
                  <w:tcBorders>
                    <w:left w:val="nil"/>
                    <w:right w:val="single" w:color="000000" w:sz="4" w:space="0"/>
                  </w:tcBorders>
                  <w:vAlign w:val="center"/>
                </w:tcPr>
                <w:p>
                  <w:pPr>
                    <w:jc w:val="center"/>
                    <w:rPr>
                      <w:color w:val="auto"/>
                      <w:szCs w:val="21"/>
                    </w:rPr>
                  </w:pPr>
                  <w:r>
                    <w:rPr>
                      <w:color w:val="auto"/>
                      <w:szCs w:val="21"/>
                    </w:rPr>
                    <w:t>《关于印发&lt;淮安市2020年挥发性有机物专项治理工作方案&gt;的通知》（淮大气办[2020]4号）</w:t>
                  </w:r>
                </w:p>
              </w:tc>
              <w:tc>
                <w:tcPr>
                  <w:tcW w:w="1832" w:type="pct"/>
                  <w:gridSpan w:val="2"/>
                  <w:tcBorders>
                    <w:top w:val="single" w:color="000000" w:sz="4" w:space="0"/>
                    <w:left w:val="single" w:color="000000" w:sz="4" w:space="0"/>
                    <w:bottom w:val="single" w:color="000000" w:sz="4" w:space="0"/>
                    <w:right w:val="single" w:color="000000" w:sz="4" w:space="0"/>
                  </w:tcBorders>
                  <w:vAlign w:val="center"/>
                </w:tcPr>
                <w:p>
                  <w:pPr>
                    <w:jc w:val="center"/>
                    <w:rPr>
                      <w:color w:val="auto"/>
                      <w:szCs w:val="21"/>
                    </w:rPr>
                  </w:pPr>
                  <w:r>
                    <w:rPr>
                      <w:color w:val="auto"/>
                      <w:szCs w:val="21"/>
                    </w:rPr>
                    <w:t>石化、化工、工业涂装、包装印刷、油品储运行业推进低VOCs含量的涂料、油墨、胶水、清洗剂和其他低（无）VOCs含量、低反应活性的原辅材料使用，鼓励低VOCs含量涂料、油墨、胶粘剂、清洗剂等研发和生产，禁止建设生产和使用高VOCs含量的溶剂涂料、油墨、胶粘剂、清洗剂项目，从源头减少VOCs产生</w:t>
                  </w:r>
                </w:p>
              </w:tc>
              <w:tc>
                <w:tcPr>
                  <w:tcW w:w="1732" w:type="pct"/>
                  <w:tcBorders>
                    <w:top w:val="single" w:color="000000" w:sz="4" w:space="0"/>
                    <w:left w:val="single" w:color="000000" w:sz="4" w:space="0"/>
                    <w:right w:val="single" w:color="000000" w:sz="4" w:space="0"/>
                  </w:tcBorders>
                  <w:vAlign w:val="center"/>
                </w:tcPr>
                <w:p>
                  <w:pPr>
                    <w:adjustRightInd w:val="0"/>
                    <w:snapToGrid w:val="0"/>
                    <w:jc w:val="center"/>
                    <w:rPr>
                      <w:color w:val="auto"/>
                      <w:szCs w:val="21"/>
                    </w:rPr>
                  </w:pPr>
                  <w:r>
                    <w:rPr>
                      <w:color w:val="auto"/>
                      <w:szCs w:val="21"/>
                    </w:rPr>
                    <w:t>建设项目目使用</w:t>
                  </w:r>
                  <w:r>
                    <w:rPr>
                      <w:rFonts w:hint="eastAsia"/>
                      <w:color w:val="auto"/>
                      <w:szCs w:val="21"/>
                    </w:rPr>
                    <w:t>水性漆</w:t>
                  </w:r>
                  <w:r>
                    <w:rPr>
                      <w:color w:val="auto"/>
                      <w:szCs w:val="21"/>
                    </w:rPr>
                    <w:t>为低VOCs含量的环保型涂料。</w:t>
                  </w:r>
                </w:p>
                <w:p>
                  <w:pPr>
                    <w:jc w:val="center"/>
                    <w:rPr>
                      <w:color w:val="auto"/>
                      <w:szCs w:val="21"/>
                    </w:rPr>
                  </w:pPr>
                  <w:r>
                    <w:rPr>
                      <w:color w:val="auto"/>
                      <w:szCs w:val="21"/>
                    </w:rPr>
                    <w:t>建设项目</w:t>
                  </w:r>
                  <w:r>
                    <w:rPr>
                      <w:rFonts w:hint="eastAsia"/>
                      <w:color w:val="auto"/>
                      <w:szCs w:val="21"/>
                      <w:lang w:eastAsia="zh-CN"/>
                    </w:rPr>
                    <w:t>晾干</w:t>
                  </w:r>
                  <w:r>
                    <w:rPr>
                      <w:color w:val="auto"/>
                      <w:szCs w:val="21"/>
                    </w:rPr>
                    <w:t>生产时处于密闭状态。从源头减少</w:t>
                  </w:r>
                  <w:r>
                    <w:rPr>
                      <w:color w:val="auto"/>
                      <w:kern w:val="0"/>
                      <w:szCs w:val="21"/>
                    </w:rPr>
                    <w:t>VOCs产生量。</w:t>
                  </w:r>
                </w:p>
              </w:tc>
              <w:tc>
                <w:tcPr>
                  <w:tcW w:w="305" w:type="pct"/>
                  <w:tcBorders>
                    <w:left w:val="single" w:color="000000" w:sz="4" w:space="0"/>
                    <w:right w:val="nil"/>
                  </w:tcBorders>
                  <w:vAlign w:val="center"/>
                </w:tcPr>
                <w:p>
                  <w:pPr>
                    <w:jc w:val="center"/>
                    <w:rPr>
                      <w:color w:val="auto"/>
                      <w:szCs w:val="21"/>
                    </w:rPr>
                  </w:pPr>
                  <w:r>
                    <w:rPr>
                      <w:color w:val="auto"/>
                      <w:szCs w:val="21"/>
                    </w:rPr>
                    <w:t>符合</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129" w:type="pct"/>
                  <w:gridSpan w:val="2"/>
                  <w:tcBorders>
                    <w:left w:val="nil"/>
                    <w:right w:val="single" w:color="000000" w:sz="4" w:space="0"/>
                  </w:tcBorders>
                  <w:vAlign w:val="center"/>
                </w:tcPr>
                <w:p>
                  <w:pPr>
                    <w:jc w:val="center"/>
                    <w:rPr>
                      <w:color w:val="auto"/>
                      <w:szCs w:val="21"/>
                    </w:rPr>
                  </w:pPr>
                  <w:r>
                    <w:rPr>
                      <w:color w:val="auto"/>
                      <w:szCs w:val="21"/>
                    </w:rPr>
                    <w:t>《江苏省生物质电厂与锅炉综合治理实施方案》内容</w:t>
                  </w:r>
                </w:p>
              </w:tc>
              <w:tc>
                <w:tcPr>
                  <w:tcW w:w="1832" w:type="pct"/>
                  <w:gridSpan w:val="2"/>
                  <w:tcBorders>
                    <w:top w:val="single" w:color="000000" w:sz="4" w:space="0"/>
                    <w:left w:val="single" w:color="000000" w:sz="4" w:space="0"/>
                    <w:bottom w:val="single" w:color="000000" w:sz="4" w:space="0"/>
                    <w:right w:val="single" w:color="000000" w:sz="4" w:space="0"/>
                  </w:tcBorders>
                  <w:vAlign w:val="center"/>
                </w:tcPr>
                <w:p>
                  <w:pPr>
                    <w:jc w:val="center"/>
                    <w:rPr>
                      <w:color w:val="auto"/>
                      <w:szCs w:val="21"/>
                    </w:rPr>
                  </w:pPr>
                  <w:r>
                    <w:rPr>
                      <w:color w:val="auto"/>
                      <w:szCs w:val="21"/>
                    </w:rPr>
                    <w:t>生物质电厂和生物质锅炉企业，应按照江苏省相关标准要求，采取治污设施升级、加强无组织排放管理等措施，确保达标排放。</w:t>
                  </w:r>
                </w:p>
              </w:tc>
              <w:tc>
                <w:tcPr>
                  <w:tcW w:w="1732" w:type="pct"/>
                  <w:tcBorders>
                    <w:top w:val="single" w:color="000000" w:sz="4" w:space="0"/>
                    <w:left w:val="single" w:color="000000" w:sz="4" w:space="0"/>
                    <w:right w:val="single" w:color="000000" w:sz="4" w:space="0"/>
                  </w:tcBorders>
                  <w:vAlign w:val="center"/>
                </w:tcPr>
                <w:p>
                  <w:pPr>
                    <w:jc w:val="center"/>
                    <w:rPr>
                      <w:color w:val="auto"/>
                      <w:szCs w:val="21"/>
                    </w:rPr>
                  </w:pPr>
                  <w:r>
                    <w:rPr>
                      <w:color w:val="auto"/>
                      <w:szCs w:val="21"/>
                    </w:rPr>
                    <w:t>本项目为清洁能源</w:t>
                  </w:r>
                  <w:r>
                    <w:rPr>
                      <w:rFonts w:hint="eastAsia"/>
                      <w:color w:val="auto"/>
                      <w:szCs w:val="21"/>
                    </w:rPr>
                    <w:t>电能</w:t>
                  </w:r>
                </w:p>
              </w:tc>
              <w:tc>
                <w:tcPr>
                  <w:tcW w:w="305" w:type="pct"/>
                  <w:tcBorders>
                    <w:left w:val="single" w:color="000000" w:sz="4" w:space="0"/>
                    <w:right w:val="nil"/>
                  </w:tcBorders>
                  <w:vAlign w:val="center"/>
                </w:tcPr>
                <w:p>
                  <w:pPr>
                    <w:jc w:val="center"/>
                    <w:rPr>
                      <w:color w:val="auto"/>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129" w:type="pct"/>
                  <w:gridSpan w:val="2"/>
                  <w:tcBorders>
                    <w:left w:val="nil"/>
                    <w:right w:val="single" w:color="000000" w:sz="4" w:space="0"/>
                  </w:tcBorders>
                  <w:vAlign w:val="center"/>
                </w:tcPr>
                <w:p>
                  <w:pPr>
                    <w:jc w:val="center"/>
                    <w:rPr>
                      <w:color w:val="auto"/>
                      <w:szCs w:val="21"/>
                    </w:rPr>
                  </w:pPr>
                  <w:r>
                    <w:rPr>
                      <w:color w:val="auto"/>
                      <w:kern w:val="0"/>
                      <w:szCs w:val="21"/>
                    </w:rPr>
                    <w:t>《江苏省大气办关于印发&lt;江苏省挥发性有机物清洁原料替代工作方案&gt;的通知》（苏大气办〔2021〕2号）</w:t>
                  </w:r>
                </w:p>
              </w:tc>
              <w:tc>
                <w:tcPr>
                  <w:tcW w:w="1832" w:type="pct"/>
                  <w:gridSpan w:val="2"/>
                  <w:tcBorders>
                    <w:top w:val="single" w:color="000000" w:sz="4" w:space="0"/>
                    <w:left w:val="single" w:color="000000" w:sz="4" w:space="0"/>
                    <w:bottom w:val="single" w:color="000000" w:sz="4" w:space="0"/>
                    <w:right w:val="single" w:color="000000" w:sz="4" w:space="0"/>
                  </w:tcBorders>
                  <w:vAlign w:val="center"/>
                </w:tcPr>
                <w:p>
                  <w:pPr>
                    <w:jc w:val="center"/>
                    <w:rPr>
                      <w:color w:val="auto"/>
                      <w:szCs w:val="21"/>
                    </w:rPr>
                  </w:pPr>
                  <w:r>
                    <w:rPr>
                      <w:color w:val="auto"/>
                      <w:kern w:val="0"/>
                      <w:szCs w:val="21"/>
                    </w:rPr>
                    <w:t>明确替代要求。以工业涂装、包装印刷、木材加工、纺织（附件1）等行业为重点，分阶段推进3130家企业（附件2）清洁原料替代工作。实施替代的企业要使用符合《低挥发性有机化合物含量涂料产品技术要求》（GB/T38597-2020）规定的粉末、水性、无溶剂、辐射烘干涂料产品；符合《油墨中可挥发性有机化合物（VOCs）含量的限值》（GB38507-2020）规定的水性油墨和能量烘干油墨产品；符合《清洗剂挥发性有机化合物含量限值》（GB38508-2020）规定的水基、半水基清洗剂产品；符合《胶粘剂挥发性有机化合物限量》（GB33372-2020）规定的水基型、本体型胶粘剂产品。若确实无法达到上述要求，应提供相应的论证说明，相关涂料、油墨、清洗剂、胶粘剂等产品应符合相关标准中VOCs含量的限值要求。</w:t>
                  </w:r>
                </w:p>
              </w:tc>
              <w:tc>
                <w:tcPr>
                  <w:tcW w:w="1732" w:type="pct"/>
                  <w:tcBorders>
                    <w:left w:val="single" w:color="000000" w:sz="4" w:space="0"/>
                    <w:bottom w:val="single" w:color="000000" w:sz="4" w:space="0"/>
                    <w:right w:val="single" w:color="000000" w:sz="4" w:space="0"/>
                  </w:tcBorders>
                  <w:vAlign w:val="center"/>
                </w:tcPr>
                <w:p>
                  <w:pPr>
                    <w:jc w:val="center"/>
                    <w:rPr>
                      <w:color w:val="auto"/>
                      <w:szCs w:val="21"/>
                    </w:rPr>
                  </w:pPr>
                  <w:r>
                    <w:rPr>
                      <w:color w:val="auto"/>
                      <w:szCs w:val="21"/>
                    </w:rPr>
                    <w:t>建设项目使用低VOCs含量</w:t>
                  </w:r>
                  <w:r>
                    <w:rPr>
                      <w:rFonts w:hint="eastAsia"/>
                      <w:color w:val="auto"/>
                      <w:szCs w:val="21"/>
                    </w:rPr>
                    <w:t>水性漆</w:t>
                  </w:r>
                  <w:r>
                    <w:rPr>
                      <w:color w:val="auto"/>
                      <w:szCs w:val="21"/>
                    </w:rPr>
                    <w:t>，符合</w:t>
                  </w:r>
                  <w:r>
                    <w:rPr>
                      <w:color w:val="auto"/>
                      <w:kern w:val="0"/>
                      <w:szCs w:val="21"/>
                    </w:rPr>
                    <w:t>《低挥发性有机化合物含量涂料产品技术要求》（GB/T38597-2020），已提供相关涂料的附件，见附件</w:t>
                  </w:r>
                  <w:r>
                    <w:rPr>
                      <w:rFonts w:hint="eastAsia"/>
                      <w:color w:val="auto"/>
                    </w:rPr>
                    <w:t>7</w:t>
                  </w:r>
                </w:p>
              </w:tc>
              <w:tc>
                <w:tcPr>
                  <w:tcW w:w="305" w:type="pct"/>
                  <w:tcBorders>
                    <w:left w:val="single" w:color="000000" w:sz="4" w:space="0"/>
                    <w:right w:val="nil"/>
                  </w:tcBorders>
                  <w:vAlign w:val="center"/>
                </w:tcPr>
                <w:p>
                  <w:pPr>
                    <w:jc w:val="center"/>
                    <w:rPr>
                      <w:color w:val="auto"/>
                      <w:szCs w:val="21"/>
                    </w:rPr>
                  </w:pPr>
                  <w:r>
                    <w:rPr>
                      <w:color w:val="auto"/>
                      <w:szCs w:val="21"/>
                    </w:rPr>
                    <w:t>符合</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129" w:type="pct"/>
                  <w:gridSpan w:val="2"/>
                  <w:vMerge w:val="restart"/>
                  <w:tcBorders>
                    <w:top w:val="single" w:color="000000" w:sz="4" w:space="0"/>
                    <w:left w:val="nil"/>
                    <w:right w:val="single" w:color="000000" w:sz="4" w:space="0"/>
                  </w:tcBorders>
                  <w:vAlign w:val="center"/>
                </w:tcPr>
                <w:p>
                  <w:pPr>
                    <w:jc w:val="center"/>
                    <w:rPr>
                      <w:color w:val="auto"/>
                      <w:szCs w:val="21"/>
                    </w:rPr>
                  </w:pPr>
                  <w:r>
                    <w:rPr>
                      <w:color w:val="auto"/>
                      <w:szCs w:val="21"/>
                    </w:rPr>
                    <w:t>《长江经济带发展负面清单指南(试行，2022年版)》（长江办[2022]7号）、</w:t>
                  </w:r>
                </w:p>
                <w:p>
                  <w:pPr>
                    <w:jc w:val="center"/>
                    <w:rPr>
                      <w:color w:val="auto"/>
                      <w:szCs w:val="21"/>
                    </w:rPr>
                  </w:pPr>
                  <w:r>
                    <w:rPr>
                      <w:color w:val="auto"/>
                      <w:szCs w:val="21"/>
                    </w:rPr>
                    <w:t>关于印发《&lt;长江经济带发展负面清单指南（试行，2022年版）&gt;江苏省实施细则》的通知（苏长江办发[2022]55号）</w:t>
                  </w:r>
                </w:p>
              </w:tc>
              <w:tc>
                <w:tcPr>
                  <w:tcW w:w="1832" w:type="pct"/>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color w:val="auto"/>
                      <w:szCs w:val="21"/>
                    </w:rPr>
                  </w:pPr>
                  <w:r>
                    <w:rPr>
                      <w:color w:val="auto"/>
                      <w:szCs w:val="21"/>
                    </w:rPr>
                    <w:t>禁止建设不符合全国和省级港口布局规划以及港口总体规划的码头项目，禁止建设未纳入《长江干线过江通道布局规划》的过长江通道项目。</w:t>
                  </w:r>
                </w:p>
              </w:tc>
              <w:tc>
                <w:tcPr>
                  <w:tcW w:w="1732"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color w:val="auto"/>
                      <w:szCs w:val="21"/>
                    </w:rPr>
                  </w:pPr>
                  <w:r>
                    <w:rPr>
                      <w:color w:val="auto"/>
                      <w:szCs w:val="21"/>
                    </w:rPr>
                    <w:t>建设项目为金属</w:t>
                  </w:r>
                  <w:r>
                    <w:rPr>
                      <w:rFonts w:hint="eastAsia"/>
                      <w:color w:val="auto"/>
                      <w:szCs w:val="21"/>
                    </w:rPr>
                    <w:t>结构制造</w:t>
                  </w:r>
                  <w:r>
                    <w:rPr>
                      <w:color w:val="auto"/>
                      <w:szCs w:val="21"/>
                    </w:rPr>
                    <w:t>项目，不涉及码头建设。</w:t>
                  </w:r>
                </w:p>
              </w:tc>
              <w:tc>
                <w:tcPr>
                  <w:tcW w:w="305" w:type="pct"/>
                  <w:vMerge w:val="restart"/>
                  <w:tcBorders>
                    <w:top w:val="single" w:color="000000" w:sz="4" w:space="0"/>
                    <w:left w:val="single" w:color="000000" w:sz="4" w:space="0"/>
                    <w:right w:val="nil"/>
                  </w:tcBorders>
                  <w:vAlign w:val="center"/>
                </w:tcPr>
                <w:p>
                  <w:pPr>
                    <w:jc w:val="center"/>
                    <w:rPr>
                      <w:color w:val="auto"/>
                      <w:szCs w:val="21"/>
                    </w:rPr>
                  </w:pPr>
                  <w:r>
                    <w:rPr>
                      <w:color w:val="auto"/>
                      <w:szCs w:val="21"/>
                    </w:rPr>
                    <w:t>符合</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129" w:type="pct"/>
                  <w:gridSpan w:val="2"/>
                  <w:vMerge w:val="continue"/>
                  <w:tcBorders>
                    <w:left w:val="nil"/>
                    <w:right w:val="single" w:color="000000" w:sz="4" w:space="0"/>
                  </w:tcBorders>
                  <w:vAlign w:val="center"/>
                </w:tcPr>
                <w:p>
                  <w:pPr>
                    <w:jc w:val="center"/>
                    <w:rPr>
                      <w:color w:val="auto"/>
                      <w:szCs w:val="21"/>
                    </w:rPr>
                  </w:pPr>
                </w:p>
              </w:tc>
              <w:tc>
                <w:tcPr>
                  <w:tcW w:w="1832" w:type="pct"/>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color w:val="auto"/>
                      <w:szCs w:val="21"/>
                    </w:rPr>
                  </w:pPr>
                  <w:r>
                    <w:rPr>
                      <w:color w:val="auto"/>
                      <w:szCs w:val="21"/>
                    </w:rPr>
                    <w:t>禁止在自然保护区核心区、缓冲区的岸线和河段范围内投资建设旅游和生产经营项目。禁止在风景名胜区核心景区的岸线和河段范围内投资建设与风景名胜资源保护无关的项目。</w:t>
                  </w:r>
                </w:p>
              </w:tc>
              <w:tc>
                <w:tcPr>
                  <w:tcW w:w="1732" w:type="pct"/>
                  <w:vMerge w:val="restart"/>
                  <w:tcBorders>
                    <w:top w:val="single" w:color="000000" w:sz="4" w:space="0"/>
                    <w:left w:val="single" w:color="000000" w:sz="4" w:space="0"/>
                    <w:right w:val="single" w:color="000000" w:sz="4" w:space="0"/>
                  </w:tcBorders>
                  <w:vAlign w:val="center"/>
                </w:tcPr>
                <w:p>
                  <w:pPr>
                    <w:adjustRightInd w:val="0"/>
                    <w:snapToGrid w:val="0"/>
                    <w:jc w:val="left"/>
                    <w:rPr>
                      <w:color w:val="auto"/>
                      <w:szCs w:val="21"/>
                    </w:rPr>
                  </w:pPr>
                  <w:r>
                    <w:rPr>
                      <w:color w:val="auto"/>
                      <w:szCs w:val="21"/>
                    </w:rPr>
                    <w:t>建设项目位于江苏省淮安市淮阴区古清口街道农科村淮三路168号，用地性质为工业工地，不在自然保护区核心区、缓冲区、风景名胜区、饮用水源保护区、水产种质资源保护区、国家湿地公园、水产种质资源保护区内。</w:t>
                  </w:r>
                </w:p>
              </w:tc>
              <w:tc>
                <w:tcPr>
                  <w:tcW w:w="305" w:type="pct"/>
                  <w:vMerge w:val="continue"/>
                  <w:tcBorders>
                    <w:left w:val="single" w:color="000000" w:sz="4" w:space="0"/>
                    <w:right w:val="nil"/>
                  </w:tcBorders>
                  <w:vAlign w:val="center"/>
                </w:tcPr>
                <w:p>
                  <w:pPr>
                    <w:jc w:val="center"/>
                    <w:rPr>
                      <w:color w:val="auto"/>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129" w:type="pct"/>
                  <w:gridSpan w:val="2"/>
                  <w:vMerge w:val="continue"/>
                  <w:tcBorders>
                    <w:left w:val="nil"/>
                    <w:right w:val="single" w:color="000000" w:sz="4" w:space="0"/>
                  </w:tcBorders>
                  <w:vAlign w:val="center"/>
                </w:tcPr>
                <w:p>
                  <w:pPr>
                    <w:jc w:val="center"/>
                    <w:rPr>
                      <w:color w:val="auto"/>
                      <w:szCs w:val="21"/>
                    </w:rPr>
                  </w:pPr>
                </w:p>
              </w:tc>
              <w:tc>
                <w:tcPr>
                  <w:tcW w:w="1832" w:type="pct"/>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color w:val="auto"/>
                      <w:szCs w:val="21"/>
                    </w:rPr>
                  </w:pPr>
                  <w:r>
                    <w:rPr>
                      <w:color w:val="auto"/>
                      <w:szCs w:val="21"/>
                    </w:rPr>
                    <w:t>禁止新建、改建法律法规和相关政策明令禁止的落后产能项目。禁止新建、改建不符合国家产能置换要求的严重过剩产能行业的项目。禁止新建、改建不符合要求额高耗能高排放项目。</w:t>
                  </w:r>
                </w:p>
              </w:tc>
              <w:tc>
                <w:tcPr>
                  <w:tcW w:w="1732" w:type="pct"/>
                  <w:vMerge w:val="continue"/>
                  <w:tcBorders>
                    <w:left w:val="single" w:color="000000" w:sz="4" w:space="0"/>
                    <w:right w:val="single" w:color="000000" w:sz="4" w:space="0"/>
                  </w:tcBorders>
                  <w:vAlign w:val="center"/>
                </w:tcPr>
                <w:p>
                  <w:pPr>
                    <w:adjustRightInd w:val="0"/>
                    <w:snapToGrid w:val="0"/>
                    <w:jc w:val="left"/>
                    <w:rPr>
                      <w:color w:val="auto"/>
                      <w:szCs w:val="21"/>
                    </w:rPr>
                  </w:pPr>
                </w:p>
              </w:tc>
              <w:tc>
                <w:tcPr>
                  <w:tcW w:w="305" w:type="pct"/>
                  <w:vMerge w:val="continue"/>
                  <w:tcBorders>
                    <w:left w:val="single" w:color="000000" w:sz="4" w:space="0"/>
                    <w:right w:val="nil"/>
                  </w:tcBorders>
                  <w:vAlign w:val="center"/>
                </w:tcPr>
                <w:p>
                  <w:pPr>
                    <w:jc w:val="center"/>
                    <w:rPr>
                      <w:color w:val="auto"/>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129" w:type="pct"/>
                  <w:gridSpan w:val="2"/>
                  <w:vMerge w:val="continue"/>
                  <w:tcBorders>
                    <w:left w:val="nil"/>
                    <w:right w:val="single" w:color="000000" w:sz="4" w:space="0"/>
                  </w:tcBorders>
                  <w:vAlign w:val="center"/>
                </w:tcPr>
                <w:p>
                  <w:pPr>
                    <w:jc w:val="center"/>
                    <w:rPr>
                      <w:color w:val="auto"/>
                      <w:szCs w:val="21"/>
                    </w:rPr>
                  </w:pPr>
                </w:p>
              </w:tc>
              <w:tc>
                <w:tcPr>
                  <w:tcW w:w="1832" w:type="pct"/>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color w:val="auto"/>
                      <w:szCs w:val="21"/>
                    </w:rPr>
                  </w:pPr>
                  <w:r>
                    <w:rPr>
                      <w:color w:val="auto"/>
                      <w:szCs w:val="21"/>
                    </w:rPr>
                    <w:t>禁止在水产种质资源保护区的岸线和河段范围内新建围湖造田、围海造地或围填海等投资建设项目。禁止在国家湿地公园的岸线和河段范围内挖沙、采矿，以及任何不符合主体功能定位的投资建设项目。</w:t>
                  </w:r>
                </w:p>
              </w:tc>
              <w:tc>
                <w:tcPr>
                  <w:tcW w:w="1732" w:type="pct"/>
                  <w:vMerge w:val="continue"/>
                  <w:tcBorders>
                    <w:left w:val="single" w:color="000000" w:sz="4" w:space="0"/>
                    <w:bottom w:val="single" w:color="000000" w:sz="4" w:space="0"/>
                    <w:right w:val="single" w:color="000000" w:sz="4" w:space="0"/>
                  </w:tcBorders>
                  <w:vAlign w:val="center"/>
                </w:tcPr>
                <w:p>
                  <w:pPr>
                    <w:adjustRightInd w:val="0"/>
                    <w:snapToGrid w:val="0"/>
                    <w:jc w:val="left"/>
                    <w:rPr>
                      <w:color w:val="auto"/>
                      <w:szCs w:val="21"/>
                    </w:rPr>
                  </w:pPr>
                </w:p>
              </w:tc>
              <w:tc>
                <w:tcPr>
                  <w:tcW w:w="305" w:type="pct"/>
                  <w:vMerge w:val="continue"/>
                  <w:tcBorders>
                    <w:left w:val="single" w:color="000000" w:sz="4" w:space="0"/>
                    <w:right w:val="nil"/>
                  </w:tcBorders>
                  <w:vAlign w:val="center"/>
                </w:tcPr>
                <w:p>
                  <w:pPr>
                    <w:jc w:val="center"/>
                    <w:rPr>
                      <w:color w:val="auto"/>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129" w:type="pct"/>
                  <w:gridSpan w:val="2"/>
                  <w:vMerge w:val="continue"/>
                  <w:tcBorders>
                    <w:left w:val="nil"/>
                    <w:right w:val="single" w:color="000000" w:sz="4" w:space="0"/>
                  </w:tcBorders>
                  <w:vAlign w:val="center"/>
                </w:tcPr>
                <w:p>
                  <w:pPr>
                    <w:jc w:val="center"/>
                    <w:rPr>
                      <w:color w:val="auto"/>
                      <w:szCs w:val="21"/>
                    </w:rPr>
                  </w:pPr>
                </w:p>
              </w:tc>
              <w:tc>
                <w:tcPr>
                  <w:tcW w:w="1832" w:type="pct"/>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color w:val="auto"/>
                      <w:szCs w:val="21"/>
                    </w:rPr>
                  </w:pPr>
                  <w:r>
                    <w:rPr>
                      <w:color w:val="auto"/>
                      <w:szCs w:val="21"/>
                    </w:rPr>
                    <w:t>禁止违法利用、占用长江流域河湖岸线。禁止在《长江岸线保护和开发利用总体规划》划定的岸线保护区和保留区内投资建设除事关公共安全及公众利益的防洪护岸、河道治理、供水、生态环境保护、航道整治、国家重要基础设施以外的项目。禁止在《全国重要江河湖泊水功能区划》划定的河段及湖泊保护区、保留区内投资建设不利于水资源及自然生态保护的项目。</w:t>
                  </w:r>
                </w:p>
              </w:tc>
              <w:tc>
                <w:tcPr>
                  <w:tcW w:w="1732"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color w:val="auto"/>
                      <w:szCs w:val="21"/>
                    </w:rPr>
                  </w:pPr>
                  <w:r>
                    <w:rPr>
                      <w:color w:val="auto"/>
                      <w:szCs w:val="21"/>
                    </w:rPr>
                    <w:t>建设项目位于淮阴区古清口街道农科村淮三路168号，北侧长深高速，南侧为王三线，</w:t>
                  </w:r>
                  <w:r>
                    <w:rPr>
                      <w:rFonts w:hint="eastAsia"/>
                      <w:color w:val="auto"/>
                      <w:szCs w:val="21"/>
                      <w:lang w:eastAsia="zh-CN"/>
                    </w:rPr>
                    <w:t>西侧为农科村村委会，东侧为淮安昊瑞物流有限公司</w:t>
                  </w:r>
                  <w:r>
                    <w:rPr>
                      <w:rFonts w:hint="eastAsia"/>
                      <w:color w:val="auto"/>
                      <w:szCs w:val="21"/>
                    </w:rPr>
                    <w:t>，</w:t>
                  </w:r>
                  <w:r>
                    <w:rPr>
                      <w:color w:val="auto"/>
                      <w:szCs w:val="21"/>
                    </w:rPr>
                    <w:t>未利用、占用长江流域河湖岸线。</w:t>
                  </w:r>
                </w:p>
              </w:tc>
              <w:tc>
                <w:tcPr>
                  <w:tcW w:w="305" w:type="pct"/>
                  <w:vMerge w:val="continue"/>
                  <w:tcBorders>
                    <w:left w:val="single" w:color="000000" w:sz="4" w:space="0"/>
                    <w:right w:val="nil"/>
                  </w:tcBorders>
                  <w:vAlign w:val="center"/>
                </w:tcPr>
                <w:p>
                  <w:pPr>
                    <w:jc w:val="center"/>
                    <w:rPr>
                      <w:color w:val="auto"/>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129" w:type="pct"/>
                  <w:gridSpan w:val="2"/>
                  <w:vMerge w:val="continue"/>
                  <w:tcBorders>
                    <w:left w:val="nil"/>
                    <w:right w:val="single" w:color="000000" w:sz="4" w:space="0"/>
                  </w:tcBorders>
                  <w:vAlign w:val="center"/>
                </w:tcPr>
                <w:p>
                  <w:pPr>
                    <w:jc w:val="center"/>
                    <w:rPr>
                      <w:color w:val="auto"/>
                      <w:szCs w:val="21"/>
                    </w:rPr>
                  </w:pPr>
                </w:p>
              </w:tc>
              <w:tc>
                <w:tcPr>
                  <w:tcW w:w="1832" w:type="pct"/>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color w:val="auto"/>
                      <w:szCs w:val="21"/>
                    </w:rPr>
                  </w:pPr>
                  <w:r>
                    <w:rPr>
                      <w:color w:val="auto"/>
                      <w:szCs w:val="21"/>
                    </w:rPr>
                    <w:t>禁止未经许可在长江干支流及湖泊新设、改设或扩大排污口。</w:t>
                  </w:r>
                </w:p>
              </w:tc>
              <w:tc>
                <w:tcPr>
                  <w:tcW w:w="1732" w:type="pct"/>
                  <w:vMerge w:val="restart"/>
                  <w:tcBorders>
                    <w:top w:val="single" w:color="000000" w:sz="4" w:space="0"/>
                    <w:left w:val="single" w:color="000000" w:sz="4" w:space="0"/>
                    <w:right w:val="single" w:color="000000" w:sz="4" w:space="0"/>
                  </w:tcBorders>
                  <w:vAlign w:val="center"/>
                </w:tcPr>
                <w:p>
                  <w:pPr>
                    <w:adjustRightInd w:val="0"/>
                    <w:snapToGrid w:val="0"/>
                    <w:jc w:val="left"/>
                    <w:rPr>
                      <w:color w:val="auto"/>
                      <w:szCs w:val="21"/>
                    </w:rPr>
                  </w:pPr>
                  <w:r>
                    <w:rPr>
                      <w:color w:val="auto"/>
                      <w:szCs w:val="21"/>
                    </w:rPr>
                    <w:t>建设项目不在长江干支流、重要湖泊岸线一公里范围内，且不涉及化工园区和化工项目，不涉及尾矿库、冶炼渣库和磷石膏库。</w:t>
                  </w:r>
                </w:p>
              </w:tc>
              <w:tc>
                <w:tcPr>
                  <w:tcW w:w="305" w:type="pct"/>
                  <w:vMerge w:val="continue"/>
                  <w:tcBorders>
                    <w:left w:val="single" w:color="000000" w:sz="4" w:space="0"/>
                    <w:right w:val="nil"/>
                  </w:tcBorders>
                  <w:vAlign w:val="center"/>
                </w:tcPr>
                <w:p>
                  <w:pPr>
                    <w:jc w:val="center"/>
                    <w:rPr>
                      <w:color w:val="auto"/>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129" w:type="pct"/>
                  <w:gridSpan w:val="2"/>
                  <w:vMerge w:val="continue"/>
                  <w:tcBorders>
                    <w:left w:val="nil"/>
                    <w:right w:val="single" w:color="000000" w:sz="4" w:space="0"/>
                  </w:tcBorders>
                  <w:vAlign w:val="center"/>
                </w:tcPr>
                <w:p>
                  <w:pPr>
                    <w:jc w:val="center"/>
                    <w:rPr>
                      <w:color w:val="auto"/>
                      <w:szCs w:val="21"/>
                    </w:rPr>
                  </w:pPr>
                </w:p>
              </w:tc>
              <w:tc>
                <w:tcPr>
                  <w:tcW w:w="1832" w:type="pct"/>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color w:val="auto"/>
                      <w:szCs w:val="21"/>
                    </w:rPr>
                  </w:pPr>
                  <w:r>
                    <w:rPr>
                      <w:color w:val="auto"/>
                      <w:szCs w:val="21"/>
                    </w:rPr>
                    <w:t>禁止在“一江一口两湖七河”和332个水生生物保护区开展生产性捕捞。</w:t>
                  </w:r>
                </w:p>
              </w:tc>
              <w:tc>
                <w:tcPr>
                  <w:tcW w:w="1732" w:type="pct"/>
                  <w:vMerge w:val="continue"/>
                  <w:tcBorders>
                    <w:left w:val="single" w:color="000000" w:sz="4" w:space="0"/>
                    <w:right w:val="single" w:color="000000" w:sz="4" w:space="0"/>
                  </w:tcBorders>
                  <w:vAlign w:val="center"/>
                </w:tcPr>
                <w:p>
                  <w:pPr>
                    <w:adjustRightInd w:val="0"/>
                    <w:snapToGrid w:val="0"/>
                    <w:jc w:val="left"/>
                    <w:rPr>
                      <w:color w:val="auto"/>
                      <w:szCs w:val="21"/>
                    </w:rPr>
                  </w:pPr>
                </w:p>
              </w:tc>
              <w:tc>
                <w:tcPr>
                  <w:tcW w:w="305" w:type="pct"/>
                  <w:vMerge w:val="continue"/>
                  <w:tcBorders>
                    <w:left w:val="single" w:color="000000" w:sz="4" w:space="0"/>
                    <w:right w:val="nil"/>
                  </w:tcBorders>
                  <w:vAlign w:val="center"/>
                </w:tcPr>
                <w:p>
                  <w:pPr>
                    <w:jc w:val="center"/>
                    <w:rPr>
                      <w:color w:val="auto"/>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129" w:type="pct"/>
                  <w:gridSpan w:val="2"/>
                  <w:vMerge w:val="continue"/>
                  <w:tcBorders>
                    <w:left w:val="nil"/>
                    <w:right w:val="single" w:color="000000" w:sz="4" w:space="0"/>
                  </w:tcBorders>
                  <w:vAlign w:val="center"/>
                </w:tcPr>
                <w:p>
                  <w:pPr>
                    <w:jc w:val="center"/>
                    <w:rPr>
                      <w:color w:val="auto"/>
                      <w:szCs w:val="21"/>
                    </w:rPr>
                  </w:pPr>
                </w:p>
              </w:tc>
              <w:tc>
                <w:tcPr>
                  <w:tcW w:w="1832" w:type="pct"/>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color w:val="auto"/>
                      <w:szCs w:val="21"/>
                    </w:rPr>
                  </w:pPr>
                  <w:r>
                    <w:rPr>
                      <w:color w:val="auto"/>
                      <w:szCs w:val="21"/>
                    </w:rPr>
                    <w:t>禁止在长江干支流、重要湖泊岸线一公里范围内新建、改建化工园区和化工项目。禁止在长江干流岸线三公里范围内和重要支流岸线一公里范围内新建、改建、改建尾矿库、冶炼渣库和磷石膏库，以提升安全、生态环境保护水平为目的的改建除外。</w:t>
                  </w:r>
                </w:p>
              </w:tc>
              <w:tc>
                <w:tcPr>
                  <w:tcW w:w="1732" w:type="pct"/>
                  <w:vMerge w:val="continue"/>
                  <w:tcBorders>
                    <w:left w:val="single" w:color="000000" w:sz="4" w:space="0"/>
                    <w:bottom w:val="single" w:color="000000" w:sz="4" w:space="0"/>
                    <w:right w:val="single" w:color="000000" w:sz="4" w:space="0"/>
                  </w:tcBorders>
                  <w:vAlign w:val="center"/>
                </w:tcPr>
                <w:p>
                  <w:pPr>
                    <w:adjustRightInd w:val="0"/>
                    <w:snapToGrid w:val="0"/>
                    <w:jc w:val="left"/>
                    <w:rPr>
                      <w:color w:val="auto"/>
                      <w:szCs w:val="21"/>
                    </w:rPr>
                  </w:pPr>
                </w:p>
              </w:tc>
              <w:tc>
                <w:tcPr>
                  <w:tcW w:w="305" w:type="pct"/>
                  <w:vMerge w:val="continue"/>
                  <w:tcBorders>
                    <w:left w:val="single" w:color="000000" w:sz="4" w:space="0"/>
                    <w:right w:val="nil"/>
                  </w:tcBorders>
                  <w:vAlign w:val="center"/>
                </w:tcPr>
                <w:p>
                  <w:pPr>
                    <w:jc w:val="center"/>
                    <w:rPr>
                      <w:color w:val="auto"/>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129" w:type="pct"/>
                  <w:gridSpan w:val="2"/>
                  <w:vMerge w:val="continue"/>
                  <w:tcBorders>
                    <w:left w:val="nil"/>
                    <w:right w:val="single" w:color="000000" w:sz="4" w:space="0"/>
                  </w:tcBorders>
                  <w:vAlign w:val="center"/>
                </w:tcPr>
                <w:p>
                  <w:pPr>
                    <w:jc w:val="center"/>
                    <w:rPr>
                      <w:color w:val="auto"/>
                      <w:szCs w:val="21"/>
                    </w:rPr>
                  </w:pPr>
                </w:p>
              </w:tc>
              <w:tc>
                <w:tcPr>
                  <w:tcW w:w="1832" w:type="pct"/>
                  <w:gridSpan w:val="2"/>
                  <w:tcBorders>
                    <w:top w:val="single" w:color="000000" w:sz="4" w:space="0"/>
                    <w:left w:val="single" w:color="000000" w:sz="4" w:space="0"/>
                    <w:bottom w:val="single" w:color="000000" w:sz="4" w:space="0"/>
                    <w:right w:val="single" w:color="000000" w:sz="4" w:space="0"/>
                  </w:tcBorders>
                  <w:vAlign w:val="center"/>
                </w:tcPr>
                <w:p>
                  <w:pPr>
                    <w:adjustRightInd w:val="0"/>
                    <w:snapToGrid w:val="0"/>
                    <w:jc w:val="left"/>
                    <w:rPr>
                      <w:color w:val="auto"/>
                      <w:szCs w:val="21"/>
                    </w:rPr>
                  </w:pPr>
                  <w:r>
                    <w:rPr>
                      <w:color w:val="auto"/>
                      <w:szCs w:val="21"/>
                    </w:rPr>
                    <w:t>禁止在合规园区外新建、扩建钢铁、石化、化工、焦化、建材、有色、制浆造纸等高污染项目。</w:t>
                  </w:r>
                </w:p>
              </w:tc>
              <w:tc>
                <w:tcPr>
                  <w:tcW w:w="1732" w:type="pct"/>
                  <w:vMerge w:val="restart"/>
                  <w:tcBorders>
                    <w:left w:val="single" w:color="000000" w:sz="4" w:space="0"/>
                    <w:right w:val="single" w:color="000000" w:sz="4" w:space="0"/>
                  </w:tcBorders>
                  <w:vAlign w:val="center"/>
                </w:tcPr>
                <w:p>
                  <w:pPr>
                    <w:jc w:val="left"/>
                    <w:rPr>
                      <w:color w:val="auto"/>
                      <w:szCs w:val="21"/>
                    </w:rPr>
                  </w:pPr>
                  <w:r>
                    <w:rPr>
                      <w:color w:val="auto"/>
                      <w:szCs w:val="21"/>
                    </w:rPr>
                    <w:t>建设项目位于淮阴区古清口街道农科村淮三路168号，北侧长深高速，南侧为王三线，</w:t>
                  </w:r>
                  <w:r>
                    <w:rPr>
                      <w:rFonts w:hint="eastAsia"/>
                      <w:color w:val="auto"/>
                      <w:szCs w:val="21"/>
                      <w:lang w:eastAsia="zh-CN"/>
                    </w:rPr>
                    <w:t>西侧为农科村村委会，东侧为淮安昊瑞物流有限公司</w:t>
                  </w:r>
                  <w:r>
                    <w:rPr>
                      <w:color w:val="auto"/>
                      <w:szCs w:val="21"/>
                    </w:rPr>
                    <w:t>，</w:t>
                  </w:r>
                  <w:r>
                    <w:rPr>
                      <w:rFonts w:hint="eastAsia"/>
                      <w:color w:val="auto"/>
                      <w:szCs w:val="21"/>
                    </w:rPr>
                    <w:t>不在园区内</w:t>
                  </w:r>
                  <w:r>
                    <w:rPr>
                      <w:color w:val="auto"/>
                      <w:szCs w:val="21"/>
                    </w:rPr>
                    <w:t>，且不属于所列高污染项目。</w:t>
                  </w:r>
                </w:p>
              </w:tc>
              <w:tc>
                <w:tcPr>
                  <w:tcW w:w="305" w:type="pct"/>
                  <w:vMerge w:val="continue"/>
                  <w:tcBorders>
                    <w:left w:val="single" w:color="000000" w:sz="4" w:space="0"/>
                    <w:right w:val="nil"/>
                  </w:tcBorders>
                  <w:vAlign w:val="center"/>
                </w:tcPr>
                <w:p>
                  <w:pPr>
                    <w:jc w:val="center"/>
                    <w:rPr>
                      <w:color w:val="auto"/>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958" w:hRule="atLeast"/>
                <w:jc w:val="center"/>
              </w:trPr>
              <w:tc>
                <w:tcPr>
                  <w:tcW w:w="1129" w:type="pct"/>
                  <w:gridSpan w:val="2"/>
                  <w:vMerge w:val="continue"/>
                  <w:tcBorders>
                    <w:left w:val="nil"/>
                    <w:right w:val="single" w:color="000000" w:sz="4" w:space="0"/>
                  </w:tcBorders>
                  <w:vAlign w:val="center"/>
                </w:tcPr>
                <w:p>
                  <w:pPr>
                    <w:jc w:val="center"/>
                    <w:rPr>
                      <w:color w:val="auto"/>
                      <w:szCs w:val="21"/>
                    </w:rPr>
                  </w:pPr>
                </w:p>
              </w:tc>
              <w:tc>
                <w:tcPr>
                  <w:tcW w:w="1832" w:type="pct"/>
                  <w:gridSpan w:val="2"/>
                  <w:tcBorders>
                    <w:top w:val="single" w:color="000000" w:sz="4" w:space="0"/>
                    <w:left w:val="single" w:color="000000" w:sz="4" w:space="0"/>
                    <w:right w:val="single" w:color="000000" w:sz="4" w:space="0"/>
                  </w:tcBorders>
                  <w:vAlign w:val="center"/>
                </w:tcPr>
                <w:p>
                  <w:pPr>
                    <w:adjustRightInd w:val="0"/>
                    <w:snapToGrid w:val="0"/>
                    <w:jc w:val="left"/>
                    <w:rPr>
                      <w:color w:val="auto"/>
                      <w:szCs w:val="21"/>
                    </w:rPr>
                  </w:pPr>
                  <w:r>
                    <w:rPr>
                      <w:color w:val="auto"/>
                      <w:szCs w:val="21"/>
                    </w:rPr>
                    <w:t>禁止在合规园区外新建、改建钢铁、石化、化工、焦化、建材、有色等高污染项目。名录按照《江苏省长江经济带发展负面清单实施细则(试行)合规园区名录》执行。高污染项目应严格按照《环境保护综合名录》等有关要求执行。</w:t>
                  </w:r>
                </w:p>
              </w:tc>
              <w:tc>
                <w:tcPr>
                  <w:tcW w:w="1732" w:type="pct"/>
                  <w:vMerge w:val="continue"/>
                  <w:tcBorders>
                    <w:left w:val="single" w:color="000000" w:sz="4" w:space="0"/>
                    <w:right w:val="single" w:color="000000" w:sz="4" w:space="0"/>
                  </w:tcBorders>
                  <w:vAlign w:val="center"/>
                </w:tcPr>
                <w:p>
                  <w:pPr>
                    <w:jc w:val="left"/>
                    <w:rPr>
                      <w:color w:val="auto"/>
                      <w:szCs w:val="21"/>
                    </w:rPr>
                  </w:pPr>
                </w:p>
              </w:tc>
              <w:tc>
                <w:tcPr>
                  <w:tcW w:w="305" w:type="pct"/>
                  <w:vMerge w:val="continue"/>
                  <w:tcBorders>
                    <w:left w:val="single" w:color="000000" w:sz="4" w:space="0"/>
                    <w:right w:val="nil"/>
                  </w:tcBorders>
                  <w:vAlign w:val="center"/>
                </w:tcPr>
                <w:p>
                  <w:pPr>
                    <w:jc w:val="center"/>
                    <w:rPr>
                      <w:color w:val="auto"/>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129" w:type="pct"/>
                  <w:gridSpan w:val="2"/>
                  <w:vMerge w:val="continue"/>
                  <w:tcBorders>
                    <w:left w:val="nil"/>
                    <w:right w:val="single" w:color="000000" w:sz="4" w:space="0"/>
                  </w:tcBorders>
                  <w:vAlign w:val="center"/>
                </w:tcPr>
                <w:p>
                  <w:pPr>
                    <w:widowControl/>
                    <w:jc w:val="center"/>
                    <w:rPr>
                      <w:color w:val="auto"/>
                      <w:szCs w:val="21"/>
                    </w:rPr>
                  </w:pPr>
                </w:p>
              </w:tc>
              <w:tc>
                <w:tcPr>
                  <w:tcW w:w="1832" w:type="pct"/>
                  <w:gridSpan w:val="2"/>
                  <w:tcBorders>
                    <w:top w:val="single" w:color="000000" w:sz="4" w:space="0"/>
                    <w:left w:val="single" w:color="000000" w:sz="4" w:space="0"/>
                    <w:bottom w:val="single" w:color="000000" w:sz="4" w:space="0"/>
                    <w:right w:val="single" w:color="000000" w:sz="4" w:space="0"/>
                  </w:tcBorders>
                  <w:vAlign w:val="center"/>
                </w:tcPr>
                <w:p>
                  <w:pPr>
                    <w:jc w:val="left"/>
                    <w:rPr>
                      <w:color w:val="auto"/>
                      <w:szCs w:val="21"/>
                    </w:rPr>
                  </w:pPr>
                  <w:r>
                    <w:rPr>
                      <w:color w:val="auto"/>
                      <w:szCs w:val="21"/>
                    </w:rPr>
                    <w:t>禁止新建、扩建不符合国家石化、现代煤化工等产业布局规划的项目，禁止新建独立焦化项目。</w:t>
                  </w:r>
                </w:p>
              </w:tc>
              <w:tc>
                <w:tcPr>
                  <w:tcW w:w="1732" w:type="pct"/>
                  <w:tcBorders>
                    <w:left w:val="single" w:color="000000" w:sz="4" w:space="0"/>
                    <w:bottom w:val="single" w:color="000000" w:sz="4" w:space="0"/>
                    <w:right w:val="single" w:color="000000" w:sz="4" w:space="0"/>
                  </w:tcBorders>
                  <w:vAlign w:val="center"/>
                </w:tcPr>
                <w:p>
                  <w:pPr>
                    <w:jc w:val="left"/>
                    <w:rPr>
                      <w:color w:val="auto"/>
                      <w:szCs w:val="21"/>
                    </w:rPr>
                  </w:pPr>
                  <w:r>
                    <w:rPr>
                      <w:color w:val="auto"/>
                      <w:szCs w:val="21"/>
                    </w:rPr>
                    <w:t>建设项目为金属</w:t>
                  </w:r>
                  <w:r>
                    <w:rPr>
                      <w:rFonts w:hint="eastAsia"/>
                      <w:color w:val="auto"/>
                      <w:szCs w:val="21"/>
                    </w:rPr>
                    <w:t>结构制造</w:t>
                  </w:r>
                  <w:r>
                    <w:rPr>
                      <w:color w:val="auto"/>
                      <w:szCs w:val="21"/>
                    </w:rPr>
                    <w:t>项目，不属于国家石化、现代煤化工等产业。</w:t>
                  </w:r>
                </w:p>
              </w:tc>
              <w:tc>
                <w:tcPr>
                  <w:tcW w:w="305" w:type="pct"/>
                  <w:vMerge w:val="continue"/>
                  <w:tcBorders>
                    <w:left w:val="single" w:color="000000" w:sz="4" w:space="0"/>
                    <w:right w:val="nil"/>
                  </w:tcBorders>
                  <w:vAlign w:val="center"/>
                </w:tcPr>
                <w:p>
                  <w:pPr>
                    <w:widowControl/>
                    <w:jc w:val="center"/>
                    <w:rPr>
                      <w:color w:val="auto"/>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129" w:type="pct"/>
                  <w:gridSpan w:val="2"/>
                  <w:vMerge w:val="continue"/>
                  <w:tcBorders>
                    <w:left w:val="nil"/>
                    <w:right w:val="single" w:color="000000" w:sz="4" w:space="0"/>
                  </w:tcBorders>
                  <w:vAlign w:val="center"/>
                </w:tcPr>
                <w:p>
                  <w:pPr>
                    <w:widowControl/>
                    <w:jc w:val="center"/>
                    <w:rPr>
                      <w:color w:val="auto"/>
                      <w:szCs w:val="21"/>
                    </w:rPr>
                  </w:pPr>
                </w:p>
              </w:tc>
              <w:tc>
                <w:tcPr>
                  <w:tcW w:w="1832" w:type="pct"/>
                  <w:gridSpan w:val="2"/>
                  <w:tcBorders>
                    <w:top w:val="single" w:color="000000" w:sz="4" w:space="0"/>
                    <w:left w:val="single" w:color="000000" w:sz="4" w:space="0"/>
                    <w:bottom w:val="single" w:color="000000" w:sz="4" w:space="0"/>
                    <w:right w:val="single" w:color="000000" w:sz="4" w:space="0"/>
                  </w:tcBorders>
                  <w:vAlign w:val="center"/>
                </w:tcPr>
                <w:p>
                  <w:pPr>
                    <w:jc w:val="left"/>
                    <w:rPr>
                      <w:color w:val="auto"/>
                      <w:szCs w:val="21"/>
                    </w:rPr>
                  </w:pPr>
                  <w:r>
                    <w:rPr>
                      <w:color w:val="auto"/>
                      <w:szCs w:val="21"/>
                    </w:rPr>
                    <w:t>禁止新建、扩建法律法规和相关政策明令禁止的落后产能项目。禁止新建、扩建不符合国家产能置换要求的严重过剩产能行业的项目。禁止新建、扩建不符合要求的高耗能高排放项目。</w:t>
                  </w:r>
                </w:p>
              </w:tc>
              <w:tc>
                <w:tcPr>
                  <w:tcW w:w="1732" w:type="pct"/>
                  <w:tcBorders>
                    <w:left w:val="single" w:color="000000" w:sz="4" w:space="0"/>
                    <w:bottom w:val="single" w:color="000000" w:sz="4" w:space="0"/>
                    <w:right w:val="single" w:color="000000" w:sz="4" w:space="0"/>
                  </w:tcBorders>
                  <w:vAlign w:val="center"/>
                </w:tcPr>
                <w:p>
                  <w:pPr>
                    <w:jc w:val="left"/>
                    <w:rPr>
                      <w:color w:val="auto"/>
                      <w:szCs w:val="21"/>
                    </w:rPr>
                  </w:pPr>
                  <w:r>
                    <w:rPr>
                      <w:color w:val="auto"/>
                      <w:szCs w:val="21"/>
                    </w:rPr>
                    <w:t>建设项目不属于落后产能项目，不涉及产能置换行业，不属于高耗能高排放项目。</w:t>
                  </w:r>
                </w:p>
              </w:tc>
              <w:tc>
                <w:tcPr>
                  <w:tcW w:w="305" w:type="pct"/>
                  <w:vMerge w:val="continue"/>
                  <w:tcBorders>
                    <w:left w:val="single" w:color="000000" w:sz="4" w:space="0"/>
                    <w:right w:val="nil"/>
                  </w:tcBorders>
                  <w:vAlign w:val="center"/>
                </w:tcPr>
                <w:p>
                  <w:pPr>
                    <w:widowControl/>
                    <w:jc w:val="center"/>
                    <w:rPr>
                      <w:color w:val="auto"/>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129" w:type="pct"/>
                  <w:gridSpan w:val="2"/>
                  <w:vMerge w:val="continue"/>
                  <w:tcBorders>
                    <w:left w:val="nil"/>
                    <w:bottom w:val="single" w:color="000000" w:sz="4" w:space="0"/>
                    <w:right w:val="single" w:color="000000" w:sz="4" w:space="0"/>
                  </w:tcBorders>
                  <w:vAlign w:val="center"/>
                </w:tcPr>
                <w:p>
                  <w:pPr>
                    <w:widowControl/>
                    <w:jc w:val="center"/>
                    <w:rPr>
                      <w:color w:val="auto"/>
                      <w:szCs w:val="21"/>
                    </w:rPr>
                  </w:pPr>
                </w:p>
              </w:tc>
              <w:tc>
                <w:tcPr>
                  <w:tcW w:w="1832" w:type="pct"/>
                  <w:gridSpan w:val="2"/>
                  <w:tcBorders>
                    <w:top w:val="single" w:color="000000" w:sz="4" w:space="0"/>
                    <w:left w:val="single" w:color="000000" w:sz="4" w:space="0"/>
                    <w:bottom w:val="single" w:color="000000" w:sz="4" w:space="0"/>
                    <w:right w:val="single" w:color="000000" w:sz="4" w:space="0"/>
                  </w:tcBorders>
                  <w:vAlign w:val="center"/>
                </w:tcPr>
                <w:p>
                  <w:pPr>
                    <w:jc w:val="left"/>
                    <w:rPr>
                      <w:color w:val="auto"/>
                      <w:szCs w:val="21"/>
                    </w:rPr>
                  </w:pPr>
                  <w:r>
                    <w:rPr>
                      <w:color w:val="auto"/>
                      <w:szCs w:val="21"/>
                    </w:rPr>
                    <w:t>禁止新建、改建国家《产业结构调整指导目录》《江苏省产业结构调整限制、淘汰和禁止目录》明确的限制类、淘汰类、禁止类项目，法律法规和相关政策明令禁止的落后产能项目，以及明令淘汰的安全生产落后工艺及装备项目。</w:t>
                  </w:r>
                </w:p>
              </w:tc>
              <w:tc>
                <w:tcPr>
                  <w:tcW w:w="1732" w:type="pct"/>
                  <w:tcBorders>
                    <w:left w:val="single" w:color="000000" w:sz="4" w:space="0"/>
                    <w:bottom w:val="single" w:color="000000" w:sz="4" w:space="0"/>
                    <w:right w:val="single" w:color="000000" w:sz="4" w:space="0"/>
                  </w:tcBorders>
                  <w:vAlign w:val="center"/>
                </w:tcPr>
                <w:p>
                  <w:pPr>
                    <w:jc w:val="left"/>
                    <w:rPr>
                      <w:color w:val="auto"/>
                      <w:szCs w:val="21"/>
                    </w:rPr>
                  </w:pPr>
                  <w:r>
                    <w:rPr>
                      <w:color w:val="auto"/>
                      <w:szCs w:val="21"/>
                    </w:rPr>
                    <w:t>建设项目不属于国家《产业结构调整指导目录》（2024年本）明确的限制类、淘汰类项目，不属于法律法规和相关政策明令禁止的落后产能以及明令淘汰的安全生产落后工艺及装备项目。</w:t>
                  </w:r>
                </w:p>
              </w:tc>
              <w:tc>
                <w:tcPr>
                  <w:tcW w:w="305" w:type="pct"/>
                  <w:vMerge w:val="continue"/>
                  <w:tcBorders>
                    <w:left w:val="single" w:color="000000" w:sz="4" w:space="0"/>
                    <w:bottom w:val="single" w:color="000000" w:sz="4" w:space="0"/>
                    <w:right w:val="nil"/>
                  </w:tcBorders>
                  <w:vAlign w:val="center"/>
                </w:tcPr>
                <w:p>
                  <w:pPr>
                    <w:widowControl/>
                    <w:jc w:val="center"/>
                    <w:rPr>
                      <w:color w:val="auto"/>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129" w:type="pct"/>
                  <w:gridSpan w:val="2"/>
                  <w:vMerge w:val="restart"/>
                  <w:tcBorders>
                    <w:top w:val="single" w:color="auto" w:sz="4" w:space="0"/>
                    <w:left w:val="nil"/>
                    <w:bottom w:val="single" w:color="auto" w:sz="4" w:space="0"/>
                    <w:right w:val="single" w:color="auto" w:sz="4" w:space="0"/>
                  </w:tcBorders>
                  <w:vAlign w:val="center"/>
                </w:tcPr>
                <w:p>
                  <w:pPr>
                    <w:jc w:val="center"/>
                    <w:rPr>
                      <w:color w:val="auto"/>
                      <w:szCs w:val="21"/>
                    </w:rPr>
                  </w:pPr>
                  <w:r>
                    <w:rPr>
                      <w:color w:val="auto"/>
                      <w:szCs w:val="21"/>
                    </w:rPr>
                    <w:t>《江苏省生态环境厅关于进一步做好建设项目环评审批工作的通知》</w:t>
                  </w:r>
                </w:p>
              </w:tc>
              <w:tc>
                <w:tcPr>
                  <w:tcW w:w="456" w:type="pct"/>
                  <w:vMerge w:val="restart"/>
                  <w:tcBorders>
                    <w:top w:val="single" w:color="000000" w:sz="4" w:space="0"/>
                    <w:left w:val="single" w:color="auto" w:sz="4" w:space="0"/>
                    <w:bottom w:val="single" w:color="000000" w:sz="4" w:space="0"/>
                    <w:right w:val="single" w:color="auto" w:sz="4" w:space="0"/>
                  </w:tcBorders>
                  <w:vAlign w:val="center"/>
                </w:tcPr>
                <w:p>
                  <w:pPr>
                    <w:tabs>
                      <w:tab w:val="left" w:pos="1418"/>
                    </w:tabs>
                    <w:adjustRightInd w:val="0"/>
                    <w:snapToGrid w:val="0"/>
                    <w:jc w:val="center"/>
                    <w:rPr>
                      <w:color w:val="auto"/>
                      <w:szCs w:val="21"/>
                    </w:rPr>
                  </w:pPr>
                  <w:r>
                    <w:rPr>
                      <w:color w:val="auto"/>
                      <w:szCs w:val="21"/>
                    </w:rPr>
                    <w:t>以下情形不予审批</w:t>
                  </w:r>
                </w:p>
              </w:tc>
              <w:tc>
                <w:tcPr>
                  <w:tcW w:w="1375" w:type="pct"/>
                  <w:tcBorders>
                    <w:top w:val="single" w:color="000000" w:sz="4" w:space="0"/>
                    <w:left w:val="single" w:color="auto" w:sz="4" w:space="0"/>
                    <w:bottom w:val="single" w:color="000000" w:sz="4" w:space="0"/>
                    <w:right w:val="single" w:color="000000" w:sz="4" w:space="0"/>
                  </w:tcBorders>
                  <w:vAlign w:val="center"/>
                </w:tcPr>
                <w:p>
                  <w:pPr>
                    <w:tabs>
                      <w:tab w:val="left" w:pos="1418"/>
                    </w:tabs>
                    <w:adjustRightInd w:val="0"/>
                    <w:snapToGrid w:val="0"/>
                    <w:jc w:val="left"/>
                    <w:rPr>
                      <w:color w:val="auto"/>
                      <w:szCs w:val="21"/>
                    </w:rPr>
                  </w:pPr>
                  <w:r>
                    <w:rPr>
                      <w:color w:val="auto"/>
                      <w:szCs w:val="21"/>
                    </w:rPr>
                    <w:t>建设项目类型及其选址、布局、规模等不符合环境保护法律法规和相关法定规划</w:t>
                  </w:r>
                </w:p>
              </w:tc>
              <w:tc>
                <w:tcPr>
                  <w:tcW w:w="1732" w:type="pct"/>
                  <w:tcBorders>
                    <w:top w:val="single" w:color="000000" w:sz="4" w:space="0"/>
                    <w:left w:val="single" w:color="000000" w:sz="4" w:space="0"/>
                    <w:bottom w:val="single" w:color="000000" w:sz="4" w:space="0"/>
                    <w:right w:val="single" w:color="auto" w:sz="4" w:space="0"/>
                  </w:tcBorders>
                  <w:vAlign w:val="center"/>
                </w:tcPr>
                <w:p>
                  <w:pPr>
                    <w:jc w:val="left"/>
                    <w:rPr>
                      <w:color w:val="auto"/>
                      <w:szCs w:val="21"/>
                    </w:rPr>
                  </w:pPr>
                  <w:r>
                    <w:rPr>
                      <w:color w:val="auto"/>
                      <w:szCs w:val="21"/>
                    </w:rPr>
                    <w:t>经过与“三线一单”及规划相符性分析可知，建设项目类型及其选址、布局、规模等均符合环境保护法律法规和相关法定规划。</w:t>
                  </w:r>
                </w:p>
              </w:tc>
              <w:tc>
                <w:tcPr>
                  <w:tcW w:w="305" w:type="pct"/>
                  <w:vMerge w:val="restart"/>
                  <w:tcBorders>
                    <w:top w:val="single" w:color="auto" w:sz="4" w:space="0"/>
                    <w:left w:val="single" w:color="auto" w:sz="4" w:space="0"/>
                    <w:bottom w:val="single" w:color="auto" w:sz="4" w:space="0"/>
                    <w:right w:val="nil"/>
                  </w:tcBorders>
                  <w:vAlign w:val="center"/>
                </w:tcPr>
                <w:p>
                  <w:pPr>
                    <w:jc w:val="center"/>
                    <w:rPr>
                      <w:color w:val="auto"/>
                      <w:szCs w:val="21"/>
                    </w:rPr>
                  </w:pPr>
                  <w:r>
                    <w:rPr>
                      <w:color w:val="auto"/>
                      <w:szCs w:val="21"/>
                    </w:rPr>
                    <w:t>符合</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129" w:type="pct"/>
                  <w:gridSpan w:val="2"/>
                  <w:vMerge w:val="continue"/>
                  <w:tcBorders>
                    <w:top w:val="single" w:color="auto" w:sz="4" w:space="0"/>
                    <w:left w:val="nil"/>
                    <w:bottom w:val="single" w:color="auto" w:sz="4" w:space="0"/>
                    <w:right w:val="single" w:color="auto" w:sz="4" w:space="0"/>
                  </w:tcBorders>
                  <w:vAlign w:val="center"/>
                </w:tcPr>
                <w:p>
                  <w:pPr>
                    <w:widowControl/>
                    <w:jc w:val="center"/>
                    <w:rPr>
                      <w:color w:val="auto"/>
                      <w:szCs w:val="21"/>
                    </w:rPr>
                  </w:pPr>
                </w:p>
              </w:tc>
              <w:tc>
                <w:tcPr>
                  <w:tcW w:w="456" w:type="pct"/>
                  <w:vMerge w:val="continue"/>
                  <w:tcBorders>
                    <w:top w:val="single" w:color="000000" w:sz="4" w:space="0"/>
                    <w:left w:val="single" w:color="auto" w:sz="4" w:space="0"/>
                    <w:bottom w:val="single" w:color="000000" w:sz="4" w:space="0"/>
                    <w:right w:val="single" w:color="auto" w:sz="4" w:space="0"/>
                  </w:tcBorders>
                  <w:vAlign w:val="center"/>
                </w:tcPr>
                <w:p>
                  <w:pPr>
                    <w:widowControl/>
                    <w:jc w:val="center"/>
                    <w:rPr>
                      <w:color w:val="auto"/>
                      <w:szCs w:val="21"/>
                    </w:rPr>
                  </w:pPr>
                </w:p>
              </w:tc>
              <w:tc>
                <w:tcPr>
                  <w:tcW w:w="1375" w:type="pct"/>
                  <w:tcBorders>
                    <w:top w:val="single" w:color="000000" w:sz="4" w:space="0"/>
                    <w:left w:val="single" w:color="auto" w:sz="4" w:space="0"/>
                    <w:bottom w:val="single" w:color="000000" w:sz="4" w:space="0"/>
                    <w:right w:val="single" w:color="000000" w:sz="4" w:space="0"/>
                  </w:tcBorders>
                  <w:vAlign w:val="center"/>
                </w:tcPr>
                <w:p>
                  <w:pPr>
                    <w:jc w:val="left"/>
                    <w:rPr>
                      <w:color w:val="auto"/>
                      <w:szCs w:val="21"/>
                    </w:rPr>
                  </w:pPr>
                  <w:r>
                    <w:rPr>
                      <w:color w:val="auto"/>
                      <w:szCs w:val="21"/>
                    </w:rPr>
                    <w:t>所在区域环境质量未达到国家或者地方环境质量标准，且建设项目拟采取的措施不能满足区域环境质量改善目标管理要求</w:t>
                  </w:r>
                </w:p>
              </w:tc>
              <w:tc>
                <w:tcPr>
                  <w:tcW w:w="1732" w:type="pct"/>
                  <w:tcBorders>
                    <w:top w:val="single" w:color="000000" w:sz="4" w:space="0"/>
                    <w:left w:val="single" w:color="000000" w:sz="4" w:space="0"/>
                    <w:bottom w:val="single" w:color="000000" w:sz="4" w:space="0"/>
                    <w:right w:val="single" w:color="auto" w:sz="4" w:space="0"/>
                  </w:tcBorders>
                  <w:vAlign w:val="center"/>
                </w:tcPr>
                <w:p>
                  <w:pPr>
                    <w:jc w:val="left"/>
                    <w:rPr>
                      <w:color w:val="auto"/>
                      <w:szCs w:val="21"/>
                    </w:rPr>
                  </w:pPr>
                  <w:r>
                    <w:rPr>
                      <w:color w:val="auto"/>
                      <w:szCs w:val="21"/>
                    </w:rPr>
                    <w:t>根据《2023年淮安市生态环境状况公报》，建设项目所在区域为不达标区，随着关于印发《淮安市2024年大气污染防治工作计划》《淮安市2024年水生态环境保护工作计划》的通知（淮污防攻坚指办〔2024〕50号）中的一系列防治计划的落实，预期淮安市环境空气质量状况会进一步改善，根据《2023年淮安市生态环境状况公报》：2023年淮安市水环境质量总体较好，优I比例超过省定考核指标，27条主要河流水质状况达优良，湖泊水质保持稳定，饮用水源地水质稳定达标，地下水水质稳中趋好，项目产生的废气、废水对环境影响较小，不会突破当地环境容量和环境承载力上限；项目所在地噪声环境质量达标。</w:t>
                  </w:r>
                </w:p>
              </w:tc>
              <w:tc>
                <w:tcPr>
                  <w:tcW w:w="305" w:type="pct"/>
                  <w:vMerge w:val="continue"/>
                  <w:tcBorders>
                    <w:top w:val="single" w:color="auto" w:sz="4" w:space="0"/>
                    <w:left w:val="single" w:color="auto" w:sz="4" w:space="0"/>
                    <w:bottom w:val="single" w:color="auto" w:sz="4" w:space="0"/>
                    <w:right w:val="nil"/>
                  </w:tcBorders>
                  <w:vAlign w:val="center"/>
                </w:tcPr>
                <w:p>
                  <w:pPr>
                    <w:widowControl/>
                    <w:jc w:val="center"/>
                    <w:rPr>
                      <w:color w:val="auto"/>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129" w:type="pct"/>
                  <w:gridSpan w:val="2"/>
                  <w:vMerge w:val="continue"/>
                  <w:tcBorders>
                    <w:top w:val="single" w:color="auto" w:sz="4" w:space="0"/>
                    <w:left w:val="nil"/>
                    <w:bottom w:val="single" w:color="auto" w:sz="4" w:space="0"/>
                    <w:right w:val="single" w:color="auto" w:sz="4" w:space="0"/>
                  </w:tcBorders>
                  <w:vAlign w:val="center"/>
                </w:tcPr>
                <w:p>
                  <w:pPr>
                    <w:widowControl/>
                    <w:jc w:val="center"/>
                    <w:rPr>
                      <w:color w:val="auto"/>
                      <w:szCs w:val="21"/>
                    </w:rPr>
                  </w:pPr>
                </w:p>
              </w:tc>
              <w:tc>
                <w:tcPr>
                  <w:tcW w:w="456" w:type="pct"/>
                  <w:vMerge w:val="continue"/>
                  <w:tcBorders>
                    <w:top w:val="single" w:color="000000" w:sz="4" w:space="0"/>
                    <w:left w:val="single" w:color="auto" w:sz="4" w:space="0"/>
                    <w:bottom w:val="single" w:color="000000" w:sz="4" w:space="0"/>
                    <w:right w:val="single" w:color="auto" w:sz="4" w:space="0"/>
                  </w:tcBorders>
                  <w:vAlign w:val="center"/>
                </w:tcPr>
                <w:p>
                  <w:pPr>
                    <w:widowControl/>
                    <w:jc w:val="center"/>
                    <w:rPr>
                      <w:color w:val="auto"/>
                      <w:szCs w:val="21"/>
                    </w:rPr>
                  </w:pPr>
                </w:p>
              </w:tc>
              <w:tc>
                <w:tcPr>
                  <w:tcW w:w="1375" w:type="pct"/>
                  <w:tcBorders>
                    <w:top w:val="single" w:color="000000" w:sz="4" w:space="0"/>
                    <w:left w:val="single" w:color="auto" w:sz="4" w:space="0"/>
                    <w:bottom w:val="single" w:color="000000" w:sz="4" w:space="0"/>
                    <w:right w:val="single" w:color="000000" w:sz="4" w:space="0"/>
                  </w:tcBorders>
                  <w:vAlign w:val="center"/>
                </w:tcPr>
                <w:p>
                  <w:pPr>
                    <w:jc w:val="left"/>
                    <w:rPr>
                      <w:color w:val="auto"/>
                      <w:szCs w:val="21"/>
                    </w:rPr>
                  </w:pPr>
                  <w:r>
                    <w:rPr>
                      <w:color w:val="auto"/>
                      <w:szCs w:val="21"/>
                    </w:rPr>
                    <w:t>建设项目采取的污染防治措施无法确保污染物排放达到国家和地方排放标准，或者未采取必要措施预防和控制生态破坏</w:t>
                  </w:r>
                </w:p>
              </w:tc>
              <w:tc>
                <w:tcPr>
                  <w:tcW w:w="1732" w:type="pct"/>
                  <w:tcBorders>
                    <w:top w:val="single" w:color="000000" w:sz="4" w:space="0"/>
                    <w:left w:val="single" w:color="000000" w:sz="4" w:space="0"/>
                    <w:bottom w:val="single" w:color="000000" w:sz="4" w:space="0"/>
                    <w:right w:val="single" w:color="auto" w:sz="4" w:space="0"/>
                  </w:tcBorders>
                  <w:vAlign w:val="center"/>
                </w:tcPr>
                <w:p>
                  <w:pPr>
                    <w:jc w:val="left"/>
                    <w:rPr>
                      <w:color w:val="auto"/>
                      <w:szCs w:val="21"/>
                    </w:rPr>
                  </w:pPr>
                  <w:r>
                    <w:rPr>
                      <w:color w:val="auto"/>
                      <w:szCs w:val="21"/>
                    </w:rPr>
                    <w:t>建设项目废气、废水和噪声采取污染防治措施，确保排放达标，固废零排放，生态影响较小。</w:t>
                  </w:r>
                </w:p>
              </w:tc>
              <w:tc>
                <w:tcPr>
                  <w:tcW w:w="305" w:type="pct"/>
                  <w:vMerge w:val="continue"/>
                  <w:tcBorders>
                    <w:top w:val="single" w:color="auto" w:sz="4" w:space="0"/>
                    <w:left w:val="single" w:color="auto" w:sz="4" w:space="0"/>
                    <w:bottom w:val="single" w:color="auto" w:sz="4" w:space="0"/>
                    <w:right w:val="nil"/>
                  </w:tcBorders>
                  <w:vAlign w:val="center"/>
                </w:tcPr>
                <w:p>
                  <w:pPr>
                    <w:widowControl/>
                    <w:jc w:val="center"/>
                    <w:rPr>
                      <w:color w:val="auto"/>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129" w:type="pct"/>
                  <w:gridSpan w:val="2"/>
                  <w:vMerge w:val="continue"/>
                  <w:tcBorders>
                    <w:top w:val="single" w:color="auto" w:sz="4" w:space="0"/>
                    <w:left w:val="nil"/>
                    <w:bottom w:val="single" w:color="auto" w:sz="4" w:space="0"/>
                    <w:right w:val="single" w:color="auto" w:sz="4" w:space="0"/>
                  </w:tcBorders>
                  <w:vAlign w:val="center"/>
                </w:tcPr>
                <w:p>
                  <w:pPr>
                    <w:widowControl/>
                    <w:jc w:val="center"/>
                    <w:rPr>
                      <w:color w:val="auto"/>
                      <w:szCs w:val="21"/>
                    </w:rPr>
                  </w:pPr>
                </w:p>
              </w:tc>
              <w:tc>
                <w:tcPr>
                  <w:tcW w:w="456" w:type="pct"/>
                  <w:vMerge w:val="continue"/>
                  <w:tcBorders>
                    <w:top w:val="single" w:color="000000" w:sz="4" w:space="0"/>
                    <w:left w:val="single" w:color="auto" w:sz="4" w:space="0"/>
                    <w:bottom w:val="single" w:color="000000" w:sz="4" w:space="0"/>
                    <w:right w:val="single" w:color="auto" w:sz="4" w:space="0"/>
                  </w:tcBorders>
                  <w:vAlign w:val="center"/>
                </w:tcPr>
                <w:p>
                  <w:pPr>
                    <w:widowControl/>
                    <w:jc w:val="center"/>
                    <w:rPr>
                      <w:color w:val="auto"/>
                      <w:szCs w:val="21"/>
                    </w:rPr>
                  </w:pPr>
                </w:p>
              </w:tc>
              <w:tc>
                <w:tcPr>
                  <w:tcW w:w="1375" w:type="pct"/>
                  <w:tcBorders>
                    <w:top w:val="single" w:color="000000" w:sz="4" w:space="0"/>
                    <w:left w:val="single" w:color="auto" w:sz="4" w:space="0"/>
                    <w:bottom w:val="single" w:color="000000" w:sz="4" w:space="0"/>
                    <w:right w:val="single" w:color="000000" w:sz="4" w:space="0"/>
                  </w:tcBorders>
                  <w:vAlign w:val="center"/>
                </w:tcPr>
                <w:p>
                  <w:pPr>
                    <w:jc w:val="left"/>
                    <w:rPr>
                      <w:color w:val="auto"/>
                      <w:szCs w:val="21"/>
                    </w:rPr>
                  </w:pPr>
                  <w:r>
                    <w:rPr>
                      <w:color w:val="auto"/>
                      <w:szCs w:val="21"/>
                    </w:rPr>
                    <w:t>改建、扩建和技术改造项目，未针对项目原有环境污染和生态破坏提出有效防止措施</w:t>
                  </w:r>
                </w:p>
              </w:tc>
              <w:tc>
                <w:tcPr>
                  <w:tcW w:w="1732" w:type="pct"/>
                  <w:tcBorders>
                    <w:top w:val="single" w:color="000000" w:sz="4" w:space="0"/>
                    <w:left w:val="single" w:color="000000" w:sz="4" w:space="0"/>
                    <w:bottom w:val="single" w:color="000000" w:sz="4" w:space="0"/>
                    <w:right w:val="single" w:color="auto" w:sz="4" w:space="0"/>
                  </w:tcBorders>
                  <w:vAlign w:val="center"/>
                </w:tcPr>
                <w:p>
                  <w:pPr>
                    <w:jc w:val="left"/>
                    <w:rPr>
                      <w:color w:val="auto"/>
                      <w:szCs w:val="21"/>
                    </w:rPr>
                  </w:pPr>
                  <w:r>
                    <w:rPr>
                      <w:color w:val="auto"/>
                      <w:szCs w:val="21"/>
                    </w:rPr>
                    <w:t>建设项目为新建项目</w:t>
                  </w:r>
                  <w:r>
                    <w:rPr>
                      <w:bCs/>
                      <w:color w:val="auto"/>
                      <w:szCs w:val="21"/>
                    </w:rPr>
                    <w:t>，项目目前为</w:t>
                  </w:r>
                  <w:r>
                    <w:rPr>
                      <w:rFonts w:hint="eastAsia"/>
                      <w:color w:val="auto"/>
                      <w:szCs w:val="21"/>
                    </w:rPr>
                    <w:t>空地</w:t>
                  </w:r>
                  <w:r>
                    <w:rPr>
                      <w:bCs/>
                      <w:color w:val="auto"/>
                      <w:szCs w:val="21"/>
                    </w:rPr>
                    <w:t>，无与项目有关的原有污染情况及主要环境问题</w:t>
                  </w:r>
                  <w:r>
                    <w:rPr>
                      <w:color w:val="auto"/>
                      <w:szCs w:val="21"/>
                    </w:rPr>
                    <w:t>。</w:t>
                  </w:r>
                </w:p>
              </w:tc>
              <w:tc>
                <w:tcPr>
                  <w:tcW w:w="305" w:type="pct"/>
                  <w:vMerge w:val="continue"/>
                  <w:tcBorders>
                    <w:top w:val="single" w:color="auto" w:sz="4" w:space="0"/>
                    <w:left w:val="single" w:color="auto" w:sz="4" w:space="0"/>
                    <w:bottom w:val="single" w:color="auto" w:sz="4" w:space="0"/>
                    <w:right w:val="nil"/>
                  </w:tcBorders>
                  <w:vAlign w:val="center"/>
                </w:tcPr>
                <w:p>
                  <w:pPr>
                    <w:widowControl/>
                    <w:jc w:val="center"/>
                    <w:rPr>
                      <w:color w:val="auto"/>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129" w:type="pct"/>
                  <w:gridSpan w:val="2"/>
                  <w:vMerge w:val="continue"/>
                  <w:tcBorders>
                    <w:top w:val="single" w:color="auto" w:sz="4" w:space="0"/>
                    <w:left w:val="nil"/>
                    <w:bottom w:val="single" w:color="auto" w:sz="4" w:space="0"/>
                    <w:right w:val="single" w:color="auto" w:sz="4" w:space="0"/>
                  </w:tcBorders>
                  <w:vAlign w:val="center"/>
                </w:tcPr>
                <w:p>
                  <w:pPr>
                    <w:widowControl/>
                    <w:jc w:val="center"/>
                    <w:rPr>
                      <w:color w:val="auto"/>
                      <w:szCs w:val="21"/>
                    </w:rPr>
                  </w:pPr>
                </w:p>
              </w:tc>
              <w:tc>
                <w:tcPr>
                  <w:tcW w:w="456" w:type="pct"/>
                  <w:vMerge w:val="continue"/>
                  <w:tcBorders>
                    <w:top w:val="single" w:color="000000" w:sz="4" w:space="0"/>
                    <w:left w:val="single" w:color="auto" w:sz="4" w:space="0"/>
                    <w:bottom w:val="single" w:color="000000" w:sz="4" w:space="0"/>
                    <w:right w:val="single" w:color="000000" w:sz="4" w:space="0"/>
                  </w:tcBorders>
                  <w:vAlign w:val="center"/>
                </w:tcPr>
                <w:p>
                  <w:pPr>
                    <w:widowControl/>
                    <w:jc w:val="center"/>
                    <w:rPr>
                      <w:color w:val="auto"/>
                      <w:szCs w:val="21"/>
                    </w:rPr>
                  </w:pPr>
                </w:p>
              </w:tc>
              <w:tc>
                <w:tcPr>
                  <w:tcW w:w="1375" w:type="pct"/>
                  <w:tcBorders>
                    <w:top w:val="single" w:color="000000" w:sz="4" w:space="0"/>
                    <w:left w:val="single" w:color="000000" w:sz="4" w:space="0"/>
                    <w:bottom w:val="single" w:color="000000" w:sz="4" w:space="0"/>
                    <w:right w:val="single" w:color="auto" w:sz="4" w:space="0"/>
                  </w:tcBorders>
                  <w:vAlign w:val="center"/>
                </w:tcPr>
                <w:p>
                  <w:pPr>
                    <w:jc w:val="left"/>
                    <w:rPr>
                      <w:color w:val="auto"/>
                      <w:szCs w:val="21"/>
                    </w:rPr>
                  </w:pPr>
                  <w:r>
                    <w:rPr>
                      <w:color w:val="auto"/>
                      <w:szCs w:val="21"/>
                    </w:rPr>
                    <w:t>建设项目的环境影响报告书、环境影响报告表的基础资料数据明显不实，内容存在重大缺陷、遗漏，或者环境影响评价结论不明确、不合理</w:t>
                  </w:r>
                </w:p>
              </w:tc>
              <w:tc>
                <w:tcPr>
                  <w:tcW w:w="1732" w:type="pct"/>
                  <w:tcBorders>
                    <w:top w:val="single" w:color="000000" w:sz="4" w:space="0"/>
                    <w:left w:val="single" w:color="000000" w:sz="4" w:space="0"/>
                    <w:bottom w:val="single" w:color="000000" w:sz="4" w:space="0"/>
                    <w:right w:val="single" w:color="auto" w:sz="4" w:space="0"/>
                  </w:tcBorders>
                  <w:vAlign w:val="center"/>
                </w:tcPr>
                <w:p>
                  <w:pPr>
                    <w:jc w:val="left"/>
                    <w:rPr>
                      <w:color w:val="auto"/>
                      <w:szCs w:val="21"/>
                    </w:rPr>
                  </w:pPr>
                  <w:r>
                    <w:rPr>
                      <w:color w:val="auto"/>
                      <w:szCs w:val="21"/>
                    </w:rPr>
                    <w:t>本次评价以企业实际提供资料为前提，核实后进行报告编制，环境影响评价结论明确，经初步审查不存在重大缺陷、遗漏。</w:t>
                  </w:r>
                </w:p>
              </w:tc>
              <w:tc>
                <w:tcPr>
                  <w:tcW w:w="305" w:type="pct"/>
                  <w:vMerge w:val="continue"/>
                  <w:tcBorders>
                    <w:top w:val="single" w:color="auto" w:sz="4" w:space="0"/>
                    <w:left w:val="single" w:color="auto" w:sz="4" w:space="0"/>
                    <w:bottom w:val="single" w:color="auto" w:sz="4" w:space="0"/>
                    <w:right w:val="nil"/>
                  </w:tcBorders>
                  <w:vAlign w:val="center"/>
                </w:tcPr>
                <w:p>
                  <w:pPr>
                    <w:widowControl/>
                    <w:jc w:val="center"/>
                    <w:rPr>
                      <w:color w:val="auto"/>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129" w:type="pct"/>
                  <w:gridSpan w:val="2"/>
                  <w:vMerge w:val="continue"/>
                  <w:tcBorders>
                    <w:top w:val="single" w:color="auto" w:sz="4" w:space="0"/>
                    <w:left w:val="nil"/>
                    <w:bottom w:val="single" w:color="auto" w:sz="4" w:space="0"/>
                    <w:right w:val="single" w:color="auto" w:sz="4" w:space="0"/>
                  </w:tcBorders>
                  <w:vAlign w:val="center"/>
                </w:tcPr>
                <w:p>
                  <w:pPr>
                    <w:widowControl/>
                    <w:jc w:val="center"/>
                    <w:rPr>
                      <w:color w:val="auto"/>
                      <w:szCs w:val="21"/>
                    </w:rPr>
                  </w:pPr>
                </w:p>
              </w:tc>
              <w:tc>
                <w:tcPr>
                  <w:tcW w:w="1832" w:type="pct"/>
                  <w:gridSpan w:val="2"/>
                  <w:tcBorders>
                    <w:top w:val="single" w:color="000000" w:sz="4" w:space="0"/>
                    <w:left w:val="single" w:color="auto" w:sz="4" w:space="0"/>
                    <w:bottom w:val="single" w:color="000000" w:sz="4" w:space="0"/>
                    <w:right w:val="single" w:color="000000" w:sz="4" w:space="0"/>
                  </w:tcBorders>
                  <w:vAlign w:val="center"/>
                </w:tcPr>
                <w:p>
                  <w:pPr>
                    <w:jc w:val="left"/>
                    <w:rPr>
                      <w:color w:val="auto"/>
                      <w:szCs w:val="21"/>
                    </w:rPr>
                  </w:pPr>
                  <w:r>
                    <w:rPr>
                      <w:color w:val="auto"/>
                      <w:szCs w:val="21"/>
                    </w:rPr>
                    <w:t>严格控制在优先保护类耕地集中区域新建有色金属冶炼、石油加工、化工、焦化、电镀、制革等行业企业，有关环境保护主管部门依法不予审批可能造成耕地土壤污染的建设项目环境影响报告书或者报告表。</w:t>
                  </w:r>
                </w:p>
              </w:tc>
              <w:tc>
                <w:tcPr>
                  <w:tcW w:w="1732" w:type="pct"/>
                  <w:tcBorders>
                    <w:top w:val="single" w:color="000000" w:sz="4" w:space="0"/>
                    <w:left w:val="single" w:color="000000" w:sz="4" w:space="0"/>
                    <w:bottom w:val="single" w:color="000000" w:sz="4" w:space="0"/>
                    <w:right w:val="single" w:color="auto" w:sz="4" w:space="0"/>
                  </w:tcBorders>
                  <w:vAlign w:val="center"/>
                </w:tcPr>
                <w:p>
                  <w:pPr>
                    <w:jc w:val="left"/>
                    <w:rPr>
                      <w:color w:val="auto"/>
                      <w:szCs w:val="21"/>
                    </w:rPr>
                  </w:pPr>
                  <w:r>
                    <w:rPr>
                      <w:color w:val="auto"/>
                      <w:szCs w:val="21"/>
                    </w:rPr>
                    <w:t>建设项目位于淮阴区古清口街道农科村淮三路168号，北侧长深高速，南侧为王三线，</w:t>
                  </w:r>
                  <w:r>
                    <w:rPr>
                      <w:rFonts w:hint="eastAsia"/>
                      <w:color w:val="auto"/>
                      <w:szCs w:val="21"/>
                      <w:lang w:eastAsia="zh-CN"/>
                    </w:rPr>
                    <w:t>西侧为农科村村委会，东侧为淮安昊瑞物流有限公司</w:t>
                  </w:r>
                  <w:r>
                    <w:rPr>
                      <w:rFonts w:hint="eastAsia"/>
                      <w:color w:val="auto"/>
                      <w:szCs w:val="21"/>
                    </w:rPr>
                    <w:t>，</w:t>
                  </w:r>
                  <w:r>
                    <w:rPr>
                      <w:color w:val="auto"/>
                      <w:szCs w:val="21"/>
                    </w:rPr>
                    <w:t>属于工业用地。</w:t>
                  </w:r>
                </w:p>
              </w:tc>
              <w:tc>
                <w:tcPr>
                  <w:tcW w:w="305" w:type="pct"/>
                  <w:vMerge w:val="continue"/>
                  <w:tcBorders>
                    <w:top w:val="single" w:color="auto" w:sz="4" w:space="0"/>
                    <w:left w:val="single" w:color="auto" w:sz="4" w:space="0"/>
                    <w:bottom w:val="single" w:color="auto" w:sz="4" w:space="0"/>
                    <w:right w:val="nil"/>
                  </w:tcBorders>
                  <w:vAlign w:val="center"/>
                </w:tcPr>
                <w:p>
                  <w:pPr>
                    <w:widowControl/>
                    <w:jc w:val="center"/>
                    <w:rPr>
                      <w:color w:val="auto"/>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129" w:type="pct"/>
                  <w:gridSpan w:val="2"/>
                  <w:vMerge w:val="continue"/>
                  <w:tcBorders>
                    <w:top w:val="single" w:color="auto" w:sz="4" w:space="0"/>
                    <w:left w:val="nil"/>
                    <w:bottom w:val="single" w:color="auto" w:sz="4" w:space="0"/>
                    <w:right w:val="single" w:color="auto" w:sz="4" w:space="0"/>
                  </w:tcBorders>
                  <w:vAlign w:val="center"/>
                </w:tcPr>
                <w:p>
                  <w:pPr>
                    <w:widowControl/>
                    <w:jc w:val="center"/>
                    <w:rPr>
                      <w:color w:val="auto"/>
                      <w:szCs w:val="21"/>
                    </w:rPr>
                  </w:pPr>
                </w:p>
              </w:tc>
              <w:tc>
                <w:tcPr>
                  <w:tcW w:w="1832" w:type="pct"/>
                  <w:gridSpan w:val="2"/>
                  <w:tcBorders>
                    <w:top w:val="single" w:color="000000" w:sz="4" w:space="0"/>
                    <w:left w:val="single" w:color="auto" w:sz="4" w:space="0"/>
                    <w:bottom w:val="single" w:color="000000" w:sz="4" w:space="0"/>
                    <w:right w:val="single" w:color="000000" w:sz="4" w:space="0"/>
                  </w:tcBorders>
                  <w:vAlign w:val="center"/>
                </w:tcPr>
                <w:p>
                  <w:pPr>
                    <w:jc w:val="left"/>
                    <w:rPr>
                      <w:color w:val="auto"/>
                      <w:szCs w:val="21"/>
                    </w:rPr>
                  </w:pPr>
                  <w:r>
                    <w:rPr>
                      <w:color w:val="auto"/>
                      <w:szCs w:val="21"/>
                    </w:rPr>
                    <w:t>严格落实污染物排放总量控制制度，把主要污染物排放总量指标作为建设项目环境影响评价审批的前置条件。排放主要污染物的建设项目，在环境影响评价文件审批前，须取得主要污染物排放总量指标</w:t>
                  </w:r>
                </w:p>
              </w:tc>
              <w:tc>
                <w:tcPr>
                  <w:tcW w:w="1732" w:type="pct"/>
                  <w:tcBorders>
                    <w:top w:val="single" w:color="000000" w:sz="4" w:space="0"/>
                    <w:left w:val="single" w:color="000000" w:sz="4" w:space="0"/>
                    <w:bottom w:val="single" w:color="000000" w:sz="4" w:space="0"/>
                    <w:right w:val="single" w:color="auto" w:sz="4" w:space="0"/>
                  </w:tcBorders>
                  <w:vAlign w:val="center"/>
                </w:tcPr>
                <w:p>
                  <w:pPr>
                    <w:jc w:val="left"/>
                    <w:rPr>
                      <w:color w:val="auto"/>
                      <w:szCs w:val="21"/>
                    </w:rPr>
                  </w:pPr>
                  <w:r>
                    <w:rPr>
                      <w:color w:val="auto"/>
                      <w:szCs w:val="21"/>
                    </w:rPr>
                    <w:t>建设项目将按要求严格落实污染物排放总量控制制度，把主要污染物排放总量指标作为建设项目环境影响评价审批的前置条件。在环境影响评价文件审批前，须取得主要污染物排放总量指标。</w:t>
                  </w:r>
                </w:p>
              </w:tc>
              <w:tc>
                <w:tcPr>
                  <w:tcW w:w="305" w:type="pct"/>
                  <w:vMerge w:val="continue"/>
                  <w:tcBorders>
                    <w:top w:val="single" w:color="auto" w:sz="4" w:space="0"/>
                    <w:left w:val="single" w:color="auto" w:sz="4" w:space="0"/>
                    <w:bottom w:val="single" w:color="auto" w:sz="4" w:space="0"/>
                    <w:right w:val="nil"/>
                  </w:tcBorders>
                  <w:vAlign w:val="center"/>
                </w:tcPr>
                <w:p>
                  <w:pPr>
                    <w:widowControl/>
                    <w:jc w:val="center"/>
                    <w:rPr>
                      <w:color w:val="auto"/>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129" w:type="pct"/>
                  <w:gridSpan w:val="2"/>
                  <w:vMerge w:val="continue"/>
                  <w:tcBorders>
                    <w:top w:val="single" w:color="auto" w:sz="4" w:space="0"/>
                    <w:left w:val="nil"/>
                    <w:bottom w:val="single" w:color="auto" w:sz="4" w:space="0"/>
                    <w:right w:val="single" w:color="auto" w:sz="4" w:space="0"/>
                  </w:tcBorders>
                  <w:vAlign w:val="center"/>
                </w:tcPr>
                <w:p>
                  <w:pPr>
                    <w:widowControl/>
                    <w:jc w:val="center"/>
                    <w:rPr>
                      <w:color w:val="auto"/>
                      <w:szCs w:val="21"/>
                    </w:rPr>
                  </w:pPr>
                </w:p>
              </w:tc>
              <w:tc>
                <w:tcPr>
                  <w:tcW w:w="1832" w:type="pct"/>
                  <w:gridSpan w:val="2"/>
                  <w:tcBorders>
                    <w:top w:val="single" w:color="000000" w:sz="4" w:space="0"/>
                    <w:left w:val="single" w:color="auto" w:sz="4" w:space="0"/>
                    <w:bottom w:val="single" w:color="000000" w:sz="4" w:space="0"/>
                    <w:right w:val="single" w:color="000000" w:sz="4" w:space="0"/>
                  </w:tcBorders>
                  <w:vAlign w:val="center"/>
                </w:tcPr>
                <w:p>
                  <w:pPr>
                    <w:jc w:val="left"/>
                    <w:rPr>
                      <w:color w:val="auto"/>
                      <w:szCs w:val="21"/>
                    </w:rPr>
                  </w:pPr>
                  <w:r>
                    <w:rPr>
                      <w:color w:val="auto"/>
                      <w:szCs w:val="21"/>
                    </w:rPr>
                    <w:t>对环境质量现状超标的地区，项目拟采取的措施不能满足区域环境质量改善目标管理要求的，依法不予审批其环评文件。</w:t>
                  </w:r>
                </w:p>
              </w:tc>
              <w:tc>
                <w:tcPr>
                  <w:tcW w:w="1732" w:type="pct"/>
                  <w:tcBorders>
                    <w:top w:val="single" w:color="000000" w:sz="4" w:space="0"/>
                    <w:left w:val="single" w:color="000000" w:sz="4" w:space="0"/>
                    <w:bottom w:val="single" w:color="000000" w:sz="4" w:space="0"/>
                    <w:right w:val="single" w:color="auto" w:sz="4" w:space="0"/>
                  </w:tcBorders>
                  <w:vAlign w:val="center"/>
                </w:tcPr>
                <w:p>
                  <w:pPr>
                    <w:jc w:val="left"/>
                    <w:rPr>
                      <w:color w:val="auto"/>
                      <w:szCs w:val="21"/>
                    </w:rPr>
                  </w:pPr>
                  <w:r>
                    <w:rPr>
                      <w:color w:val="auto"/>
                      <w:szCs w:val="21"/>
                    </w:rPr>
                    <w:t>根据《2023年淮安市生态环境状况公报》，建设项目所在区域为不达标区，随着关于印发《淮安市2024年大气污染防治工作计划》《淮安市2024年水生态环境保护工作计划》的通知（淮污防攻坚指办〔2024〕50号）中的一系列防治计划的落实，预期淮安市环境空气质量状况会进一步改善，根据《2023年淮安市生态环境状况公报》：2023年淮安市水环境质量总体较好，优I比例超过省定考核指标，27条主要河流水质状况达优良，湖泊水质保持稳定，饮用水源地水质稳定达标，地下水水质稳中趋好，项目产生的废气、废水对环境影响较小，不会突破当地环境容量和环境承载力上限；项目所在地噪声环境质量达标。</w:t>
                  </w:r>
                </w:p>
              </w:tc>
              <w:tc>
                <w:tcPr>
                  <w:tcW w:w="305" w:type="pct"/>
                  <w:vMerge w:val="continue"/>
                  <w:tcBorders>
                    <w:top w:val="single" w:color="auto" w:sz="4" w:space="0"/>
                    <w:left w:val="single" w:color="auto" w:sz="4" w:space="0"/>
                    <w:bottom w:val="single" w:color="auto" w:sz="4" w:space="0"/>
                    <w:right w:val="nil"/>
                  </w:tcBorders>
                  <w:vAlign w:val="center"/>
                </w:tcPr>
                <w:p>
                  <w:pPr>
                    <w:widowControl/>
                    <w:jc w:val="center"/>
                    <w:rPr>
                      <w:color w:val="auto"/>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129" w:type="pct"/>
                  <w:gridSpan w:val="2"/>
                  <w:vMerge w:val="continue"/>
                  <w:tcBorders>
                    <w:top w:val="single" w:color="auto" w:sz="4" w:space="0"/>
                    <w:left w:val="nil"/>
                    <w:bottom w:val="single" w:color="auto" w:sz="4" w:space="0"/>
                    <w:right w:val="single" w:color="auto" w:sz="4" w:space="0"/>
                  </w:tcBorders>
                  <w:vAlign w:val="center"/>
                </w:tcPr>
                <w:p>
                  <w:pPr>
                    <w:widowControl/>
                    <w:jc w:val="center"/>
                    <w:rPr>
                      <w:color w:val="auto"/>
                      <w:szCs w:val="21"/>
                    </w:rPr>
                  </w:pPr>
                </w:p>
              </w:tc>
              <w:tc>
                <w:tcPr>
                  <w:tcW w:w="1832" w:type="pct"/>
                  <w:gridSpan w:val="2"/>
                  <w:tcBorders>
                    <w:top w:val="single" w:color="000000" w:sz="4" w:space="0"/>
                    <w:left w:val="single" w:color="auto" w:sz="4" w:space="0"/>
                    <w:bottom w:val="single" w:color="000000" w:sz="4" w:space="0"/>
                    <w:right w:val="single" w:color="000000" w:sz="4" w:space="0"/>
                  </w:tcBorders>
                  <w:vAlign w:val="center"/>
                </w:tcPr>
                <w:p>
                  <w:pPr>
                    <w:jc w:val="left"/>
                    <w:rPr>
                      <w:color w:val="auto"/>
                      <w:szCs w:val="21"/>
                    </w:rPr>
                  </w:pPr>
                  <w:r>
                    <w:rPr>
                      <w:color w:val="auto"/>
                      <w:szCs w:val="21"/>
                    </w:rPr>
                    <w:t>生态保护红线原则上按禁止开发区域的要求进行管理，严禁不符合主体功能定位的各类开发活动，严禁任意改变用途。</w:t>
                  </w:r>
                </w:p>
              </w:tc>
              <w:tc>
                <w:tcPr>
                  <w:tcW w:w="1732" w:type="pct"/>
                  <w:tcBorders>
                    <w:top w:val="single" w:color="000000" w:sz="4" w:space="0"/>
                    <w:left w:val="single" w:color="000000" w:sz="4" w:space="0"/>
                    <w:bottom w:val="single" w:color="000000" w:sz="4" w:space="0"/>
                    <w:right w:val="single" w:color="auto" w:sz="4" w:space="0"/>
                  </w:tcBorders>
                  <w:vAlign w:val="center"/>
                </w:tcPr>
                <w:p>
                  <w:pPr>
                    <w:jc w:val="left"/>
                    <w:rPr>
                      <w:color w:val="auto"/>
                      <w:szCs w:val="21"/>
                    </w:rPr>
                  </w:pPr>
                  <w:r>
                    <w:rPr>
                      <w:bCs/>
                      <w:color w:val="auto"/>
                      <w:szCs w:val="21"/>
                    </w:rPr>
                    <w:t>项目</w:t>
                  </w:r>
                  <w:r>
                    <w:rPr>
                      <w:color w:val="auto"/>
                      <w:szCs w:val="21"/>
                    </w:rPr>
                    <w:t>位于淮阴区生态公益林东侧约0.24km左右，不在管控范围之内</w:t>
                  </w:r>
                </w:p>
              </w:tc>
              <w:tc>
                <w:tcPr>
                  <w:tcW w:w="305" w:type="pct"/>
                  <w:vMerge w:val="continue"/>
                  <w:tcBorders>
                    <w:top w:val="single" w:color="auto" w:sz="4" w:space="0"/>
                    <w:left w:val="single" w:color="auto" w:sz="4" w:space="0"/>
                    <w:bottom w:val="single" w:color="auto" w:sz="4" w:space="0"/>
                    <w:right w:val="nil"/>
                  </w:tcBorders>
                  <w:vAlign w:val="center"/>
                </w:tcPr>
                <w:p>
                  <w:pPr>
                    <w:widowControl/>
                    <w:jc w:val="center"/>
                    <w:rPr>
                      <w:color w:val="auto"/>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129" w:type="pct"/>
                  <w:gridSpan w:val="2"/>
                  <w:vMerge w:val="continue"/>
                  <w:tcBorders>
                    <w:top w:val="single" w:color="auto" w:sz="4" w:space="0"/>
                    <w:left w:val="nil"/>
                    <w:bottom w:val="single" w:color="auto" w:sz="4" w:space="0"/>
                    <w:right w:val="single" w:color="auto" w:sz="4" w:space="0"/>
                  </w:tcBorders>
                  <w:vAlign w:val="center"/>
                </w:tcPr>
                <w:p>
                  <w:pPr>
                    <w:widowControl/>
                    <w:jc w:val="center"/>
                    <w:rPr>
                      <w:color w:val="auto"/>
                      <w:szCs w:val="21"/>
                    </w:rPr>
                  </w:pPr>
                </w:p>
              </w:tc>
              <w:tc>
                <w:tcPr>
                  <w:tcW w:w="1832" w:type="pct"/>
                  <w:gridSpan w:val="2"/>
                  <w:tcBorders>
                    <w:top w:val="single" w:color="000000" w:sz="4" w:space="0"/>
                    <w:left w:val="single" w:color="auto" w:sz="4" w:space="0"/>
                    <w:bottom w:val="single" w:color="000000" w:sz="4" w:space="0"/>
                    <w:right w:val="single" w:color="000000" w:sz="4" w:space="0"/>
                  </w:tcBorders>
                  <w:vAlign w:val="center"/>
                </w:tcPr>
                <w:p>
                  <w:pPr>
                    <w:jc w:val="left"/>
                    <w:rPr>
                      <w:color w:val="auto"/>
                      <w:szCs w:val="21"/>
                    </w:rPr>
                  </w:pPr>
                  <w:r>
                    <w:rPr>
                      <w:color w:val="auto"/>
                      <w:szCs w:val="21"/>
                    </w:rPr>
                    <w:t>禁止审批无法落实危险废物利用、处置途径的项目，从严审批危险废物产生量大、本地无配套利用处置能力、且需设区市统筹解决的项目</w:t>
                  </w:r>
                </w:p>
              </w:tc>
              <w:tc>
                <w:tcPr>
                  <w:tcW w:w="1732" w:type="pct"/>
                  <w:tcBorders>
                    <w:top w:val="single" w:color="000000" w:sz="4" w:space="0"/>
                    <w:left w:val="single" w:color="000000" w:sz="4" w:space="0"/>
                    <w:bottom w:val="single" w:color="000000" w:sz="4" w:space="0"/>
                    <w:right w:val="single" w:color="auto" w:sz="4" w:space="0"/>
                  </w:tcBorders>
                  <w:vAlign w:val="center"/>
                </w:tcPr>
                <w:p>
                  <w:pPr>
                    <w:jc w:val="left"/>
                    <w:rPr>
                      <w:color w:val="auto"/>
                      <w:szCs w:val="21"/>
                    </w:rPr>
                  </w:pPr>
                  <w:r>
                    <w:rPr>
                      <w:color w:val="auto"/>
                      <w:szCs w:val="21"/>
                    </w:rPr>
                    <w:t>项目危险废物委托有资质单位安全处置，危险废物处置可行性论证详见相关章节。</w:t>
                  </w:r>
                </w:p>
              </w:tc>
              <w:tc>
                <w:tcPr>
                  <w:tcW w:w="305" w:type="pct"/>
                  <w:vMerge w:val="continue"/>
                  <w:tcBorders>
                    <w:top w:val="single" w:color="auto" w:sz="4" w:space="0"/>
                    <w:left w:val="single" w:color="auto" w:sz="4" w:space="0"/>
                    <w:bottom w:val="single" w:color="auto" w:sz="4" w:space="0"/>
                    <w:right w:val="nil"/>
                  </w:tcBorders>
                  <w:vAlign w:val="center"/>
                </w:tcPr>
                <w:p>
                  <w:pPr>
                    <w:widowControl/>
                    <w:jc w:val="center"/>
                    <w:rPr>
                      <w:color w:val="auto"/>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129" w:type="pct"/>
                  <w:gridSpan w:val="2"/>
                  <w:vMerge w:val="continue"/>
                  <w:tcBorders>
                    <w:top w:val="single" w:color="auto" w:sz="4" w:space="0"/>
                    <w:left w:val="nil"/>
                    <w:bottom w:val="single" w:color="auto" w:sz="4" w:space="0"/>
                    <w:right w:val="single" w:color="auto" w:sz="4" w:space="0"/>
                  </w:tcBorders>
                  <w:vAlign w:val="center"/>
                </w:tcPr>
                <w:p>
                  <w:pPr>
                    <w:widowControl/>
                    <w:jc w:val="center"/>
                    <w:rPr>
                      <w:color w:val="auto"/>
                      <w:szCs w:val="21"/>
                    </w:rPr>
                  </w:pPr>
                </w:p>
              </w:tc>
              <w:tc>
                <w:tcPr>
                  <w:tcW w:w="1832" w:type="pct"/>
                  <w:gridSpan w:val="2"/>
                  <w:tcBorders>
                    <w:top w:val="single" w:color="000000" w:sz="4" w:space="0"/>
                    <w:left w:val="single" w:color="auto" w:sz="4" w:space="0"/>
                    <w:bottom w:val="single" w:color="000000" w:sz="4" w:space="0"/>
                    <w:right w:val="single" w:color="000000" w:sz="4" w:space="0"/>
                  </w:tcBorders>
                  <w:vAlign w:val="center"/>
                </w:tcPr>
                <w:p>
                  <w:pPr>
                    <w:jc w:val="left"/>
                    <w:rPr>
                      <w:color w:val="auto"/>
                      <w:szCs w:val="21"/>
                    </w:rPr>
                  </w:pPr>
                  <w:r>
                    <w:rPr>
                      <w:color w:val="auto"/>
                      <w:szCs w:val="21"/>
                    </w:rPr>
                    <w:t>禁止新建、扩建不符合国家产能置换要求的严重过剩产能行业的项目</w:t>
                  </w:r>
                </w:p>
              </w:tc>
              <w:tc>
                <w:tcPr>
                  <w:tcW w:w="1732" w:type="pct"/>
                  <w:vMerge w:val="restart"/>
                  <w:tcBorders>
                    <w:top w:val="single" w:color="000000" w:sz="4" w:space="0"/>
                    <w:left w:val="single" w:color="000000" w:sz="4" w:space="0"/>
                    <w:bottom w:val="single" w:color="000000" w:sz="4" w:space="0"/>
                    <w:right w:val="single" w:color="auto" w:sz="4" w:space="0"/>
                  </w:tcBorders>
                  <w:vAlign w:val="center"/>
                </w:tcPr>
                <w:p>
                  <w:pPr>
                    <w:jc w:val="left"/>
                    <w:rPr>
                      <w:color w:val="auto"/>
                      <w:szCs w:val="21"/>
                    </w:rPr>
                  </w:pPr>
                  <w:r>
                    <w:rPr>
                      <w:color w:val="auto"/>
                      <w:szCs w:val="21"/>
                    </w:rPr>
                    <w:t>项目为金属</w:t>
                  </w:r>
                  <w:r>
                    <w:rPr>
                      <w:rFonts w:hint="eastAsia"/>
                      <w:color w:val="auto"/>
                      <w:szCs w:val="21"/>
                    </w:rPr>
                    <w:t>结构制造</w:t>
                  </w:r>
                  <w:r>
                    <w:rPr>
                      <w:color w:val="auto"/>
                      <w:szCs w:val="21"/>
                    </w:rPr>
                    <w:t>项目，不属于法律法规和相关政策明令禁止的落后产能项目，不属于国家产能置换要求的过剩产能行业的项目。</w:t>
                  </w:r>
                </w:p>
              </w:tc>
              <w:tc>
                <w:tcPr>
                  <w:tcW w:w="305" w:type="pct"/>
                  <w:vMerge w:val="continue"/>
                  <w:tcBorders>
                    <w:top w:val="single" w:color="auto" w:sz="4" w:space="0"/>
                    <w:left w:val="single" w:color="auto" w:sz="4" w:space="0"/>
                    <w:bottom w:val="single" w:color="auto" w:sz="4" w:space="0"/>
                    <w:right w:val="nil"/>
                  </w:tcBorders>
                  <w:vAlign w:val="center"/>
                </w:tcPr>
                <w:p>
                  <w:pPr>
                    <w:widowControl/>
                    <w:jc w:val="center"/>
                    <w:rPr>
                      <w:color w:val="auto"/>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129" w:type="pct"/>
                  <w:gridSpan w:val="2"/>
                  <w:vMerge w:val="continue"/>
                  <w:tcBorders>
                    <w:top w:val="single" w:color="auto" w:sz="4" w:space="0"/>
                    <w:left w:val="nil"/>
                    <w:bottom w:val="single" w:color="auto" w:sz="4" w:space="0"/>
                    <w:right w:val="single" w:color="auto" w:sz="4" w:space="0"/>
                  </w:tcBorders>
                  <w:vAlign w:val="center"/>
                </w:tcPr>
                <w:p>
                  <w:pPr>
                    <w:widowControl/>
                    <w:jc w:val="center"/>
                    <w:rPr>
                      <w:color w:val="auto"/>
                      <w:szCs w:val="21"/>
                    </w:rPr>
                  </w:pPr>
                </w:p>
              </w:tc>
              <w:tc>
                <w:tcPr>
                  <w:tcW w:w="1832" w:type="pct"/>
                  <w:gridSpan w:val="2"/>
                  <w:tcBorders>
                    <w:top w:val="single" w:color="000000" w:sz="4" w:space="0"/>
                    <w:left w:val="single" w:color="auto" w:sz="4" w:space="0"/>
                    <w:bottom w:val="single" w:color="000000" w:sz="4" w:space="0"/>
                    <w:right w:val="single" w:color="000000" w:sz="4" w:space="0"/>
                  </w:tcBorders>
                  <w:vAlign w:val="center"/>
                </w:tcPr>
                <w:p>
                  <w:pPr>
                    <w:jc w:val="left"/>
                    <w:rPr>
                      <w:color w:val="auto"/>
                      <w:szCs w:val="21"/>
                    </w:rPr>
                  </w:pPr>
                  <w:r>
                    <w:rPr>
                      <w:color w:val="auto"/>
                      <w:szCs w:val="21"/>
                    </w:rPr>
                    <w:t>禁止新建、扩建法律法规和相关政策明令禁止的落后产能项目</w:t>
                  </w:r>
                </w:p>
              </w:tc>
              <w:tc>
                <w:tcPr>
                  <w:tcW w:w="1732" w:type="pct"/>
                  <w:vMerge w:val="continue"/>
                  <w:tcBorders>
                    <w:top w:val="single" w:color="000000" w:sz="4" w:space="0"/>
                    <w:left w:val="single" w:color="000000" w:sz="4" w:space="0"/>
                    <w:bottom w:val="single" w:color="000000" w:sz="4" w:space="0"/>
                    <w:right w:val="single" w:color="auto" w:sz="4" w:space="0"/>
                  </w:tcBorders>
                  <w:vAlign w:val="center"/>
                </w:tcPr>
                <w:p>
                  <w:pPr>
                    <w:jc w:val="center"/>
                    <w:rPr>
                      <w:color w:val="auto"/>
                      <w:szCs w:val="21"/>
                    </w:rPr>
                  </w:pPr>
                </w:p>
              </w:tc>
              <w:tc>
                <w:tcPr>
                  <w:tcW w:w="305" w:type="pct"/>
                  <w:vMerge w:val="continue"/>
                  <w:tcBorders>
                    <w:top w:val="single" w:color="auto" w:sz="4" w:space="0"/>
                    <w:left w:val="single" w:color="auto" w:sz="4" w:space="0"/>
                    <w:bottom w:val="single" w:color="auto" w:sz="4" w:space="0"/>
                    <w:right w:val="nil"/>
                  </w:tcBorders>
                  <w:vAlign w:val="center"/>
                </w:tcPr>
                <w:p>
                  <w:pPr>
                    <w:widowControl/>
                    <w:jc w:val="center"/>
                    <w:rPr>
                      <w:color w:val="auto"/>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129" w:type="pct"/>
                  <w:gridSpan w:val="2"/>
                  <w:tcBorders>
                    <w:top w:val="single" w:color="auto" w:sz="4" w:space="0"/>
                    <w:left w:val="nil"/>
                    <w:bottom w:val="single" w:color="auto" w:sz="4" w:space="0"/>
                    <w:right w:val="single" w:color="auto" w:sz="4" w:space="0"/>
                  </w:tcBorders>
                  <w:vAlign w:val="center"/>
                </w:tcPr>
                <w:p>
                  <w:pPr>
                    <w:widowControl/>
                    <w:jc w:val="center"/>
                    <w:rPr>
                      <w:color w:val="auto"/>
                      <w:szCs w:val="21"/>
                    </w:rPr>
                  </w:pPr>
                  <w:r>
                    <w:rPr>
                      <w:color w:val="auto"/>
                      <w:szCs w:val="21"/>
                    </w:rPr>
                    <w:t>《省政府关于印发大运河江苏段核心监控区国土空间管控暂行办法的通知》（苏政发[2021]20号）</w:t>
                  </w:r>
                </w:p>
              </w:tc>
              <w:tc>
                <w:tcPr>
                  <w:tcW w:w="1832" w:type="pct"/>
                  <w:gridSpan w:val="2"/>
                  <w:tcBorders>
                    <w:top w:val="single" w:color="000000" w:sz="4" w:space="0"/>
                    <w:left w:val="single" w:color="auto" w:sz="4" w:space="0"/>
                    <w:bottom w:val="single" w:color="000000" w:sz="4" w:space="0"/>
                    <w:right w:val="single" w:color="000000" w:sz="4" w:space="0"/>
                  </w:tcBorders>
                  <w:vAlign w:val="center"/>
                </w:tcPr>
                <w:p>
                  <w:pPr>
                    <w:adjustRightInd w:val="0"/>
                    <w:snapToGrid w:val="0"/>
                    <w:jc w:val="center"/>
                    <w:rPr>
                      <w:color w:val="auto"/>
                      <w:szCs w:val="21"/>
                    </w:rPr>
                  </w:pPr>
                  <w:r>
                    <w:rPr>
                      <w:b/>
                      <w:color w:val="auto"/>
                      <w:szCs w:val="21"/>
                    </w:rPr>
                    <w:t>第二条</w:t>
                  </w:r>
                  <w:r>
                    <w:rPr>
                      <w:color w:val="auto"/>
                      <w:szCs w:val="21"/>
                    </w:rPr>
                    <w:t>在大运河江苏段核心监控区内从事各类国土空间保护与开发利用活动，应遵守本办法。</w:t>
                  </w:r>
                </w:p>
                <w:p>
                  <w:pPr>
                    <w:jc w:val="center"/>
                    <w:rPr>
                      <w:color w:val="auto"/>
                      <w:szCs w:val="21"/>
                    </w:rPr>
                  </w:pPr>
                  <w:r>
                    <w:rPr>
                      <w:b/>
                      <w:color w:val="auto"/>
                      <w:szCs w:val="21"/>
                    </w:rPr>
                    <w:t>第三条</w:t>
                  </w:r>
                  <w:r>
                    <w:rPr>
                      <w:color w:val="auto"/>
                      <w:szCs w:val="21"/>
                    </w:rPr>
                    <w:t>本办法所称核心监控区，是指大运河江苏段主河道两岸各2千米的范围。滨河生态空间，是指核心监控区内，原则上除建成区（城市、建制镇）外，大运河江苏段主河道两岸各1千米的范围。</w:t>
                  </w:r>
                </w:p>
              </w:tc>
              <w:tc>
                <w:tcPr>
                  <w:tcW w:w="1732" w:type="pct"/>
                  <w:tcBorders>
                    <w:top w:val="single" w:color="000000" w:sz="4" w:space="0"/>
                    <w:left w:val="single" w:color="000000" w:sz="4" w:space="0"/>
                    <w:bottom w:val="single" w:color="000000" w:sz="4" w:space="0"/>
                    <w:right w:val="single" w:color="auto" w:sz="4" w:space="0"/>
                  </w:tcBorders>
                  <w:vAlign w:val="center"/>
                </w:tcPr>
                <w:p>
                  <w:pPr>
                    <w:jc w:val="center"/>
                    <w:rPr>
                      <w:color w:val="auto"/>
                      <w:szCs w:val="21"/>
                    </w:rPr>
                  </w:pPr>
                  <w:r>
                    <w:rPr>
                      <w:color w:val="auto"/>
                      <w:szCs w:val="21"/>
                    </w:rPr>
                    <w:t>建设项目位于大运河东</w:t>
                  </w:r>
                  <w:r>
                    <w:rPr>
                      <w:rFonts w:hint="eastAsia"/>
                      <w:color w:val="auto"/>
                      <w:szCs w:val="21"/>
                    </w:rPr>
                    <w:t>南</w:t>
                  </w:r>
                  <w:r>
                    <w:rPr>
                      <w:color w:val="auto"/>
                      <w:szCs w:val="21"/>
                    </w:rPr>
                    <w:t>侧</w:t>
                  </w:r>
                  <w:r>
                    <w:rPr>
                      <w:rFonts w:hint="eastAsia"/>
                      <w:color w:val="auto"/>
                      <w:szCs w:val="21"/>
                    </w:rPr>
                    <w:t>32.34</w:t>
                  </w:r>
                  <w:r>
                    <w:rPr>
                      <w:color w:val="auto"/>
                      <w:szCs w:val="21"/>
                    </w:rPr>
                    <w:t>km左右，不在核心监控区、滨河生态空间范围内。</w:t>
                  </w:r>
                </w:p>
              </w:tc>
              <w:tc>
                <w:tcPr>
                  <w:tcW w:w="305" w:type="pct"/>
                  <w:tcBorders>
                    <w:top w:val="single" w:color="auto" w:sz="4" w:space="0"/>
                    <w:left w:val="single" w:color="auto" w:sz="4" w:space="0"/>
                    <w:bottom w:val="single" w:color="auto" w:sz="4" w:space="0"/>
                    <w:right w:val="nil"/>
                  </w:tcBorders>
                  <w:vAlign w:val="center"/>
                </w:tcPr>
                <w:p>
                  <w:pPr>
                    <w:widowControl/>
                    <w:jc w:val="center"/>
                    <w:rPr>
                      <w:color w:val="auto"/>
                      <w:szCs w:val="21"/>
                    </w:rPr>
                  </w:pPr>
                  <w:r>
                    <w:rPr>
                      <w:color w:val="auto"/>
                      <w:szCs w:val="21"/>
                    </w:rPr>
                    <w:t>符合</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129" w:type="pct"/>
                  <w:gridSpan w:val="2"/>
                  <w:tcBorders>
                    <w:top w:val="single" w:color="auto" w:sz="4" w:space="0"/>
                    <w:left w:val="nil"/>
                    <w:bottom w:val="single" w:color="auto" w:sz="4" w:space="0"/>
                    <w:right w:val="single" w:color="auto" w:sz="4" w:space="0"/>
                  </w:tcBorders>
                  <w:vAlign w:val="center"/>
                </w:tcPr>
                <w:p>
                  <w:pPr>
                    <w:widowControl/>
                    <w:jc w:val="center"/>
                    <w:rPr>
                      <w:color w:val="auto"/>
                      <w:szCs w:val="21"/>
                    </w:rPr>
                  </w:pPr>
                  <w:r>
                    <w:rPr>
                      <w:color w:val="auto"/>
                      <w:szCs w:val="21"/>
                    </w:rPr>
                    <w:t>《市政府关于印发大运河淮安段核心监控区国土空间管控细则的通知》（淮政规[2022]8号）</w:t>
                  </w:r>
                </w:p>
              </w:tc>
              <w:tc>
                <w:tcPr>
                  <w:tcW w:w="1832" w:type="pct"/>
                  <w:gridSpan w:val="2"/>
                  <w:tcBorders>
                    <w:top w:val="single" w:color="000000" w:sz="4" w:space="0"/>
                    <w:left w:val="single" w:color="auto" w:sz="4" w:space="0"/>
                    <w:bottom w:val="single" w:color="000000" w:sz="4" w:space="0"/>
                    <w:right w:val="single" w:color="000000" w:sz="4" w:space="0"/>
                  </w:tcBorders>
                  <w:vAlign w:val="center"/>
                </w:tcPr>
                <w:p>
                  <w:pPr>
                    <w:adjustRightInd w:val="0"/>
                    <w:snapToGrid w:val="0"/>
                    <w:jc w:val="center"/>
                    <w:rPr>
                      <w:color w:val="auto"/>
                      <w:szCs w:val="21"/>
                    </w:rPr>
                  </w:pPr>
                  <w:r>
                    <w:rPr>
                      <w:b/>
                      <w:color w:val="auto"/>
                      <w:szCs w:val="21"/>
                    </w:rPr>
                    <w:t>第二条</w:t>
                  </w:r>
                  <w:r>
                    <w:rPr>
                      <w:color w:val="auto"/>
                      <w:szCs w:val="21"/>
                    </w:rPr>
                    <w:t>在大运河淮安段核心监控区内从事各类国土空间保护与开发利用活动，应当遵守本细则。本细则所称大运河淮安段核心监控区，是指大运河淮安段、张福河两侧河道岸线临水边界线外各2千米的范围。</w:t>
                  </w:r>
                </w:p>
                <w:p>
                  <w:pPr>
                    <w:jc w:val="center"/>
                    <w:rPr>
                      <w:color w:val="auto"/>
                      <w:szCs w:val="21"/>
                    </w:rPr>
                  </w:pPr>
                  <w:r>
                    <w:rPr>
                      <w:b/>
                      <w:color w:val="auto"/>
                      <w:szCs w:val="21"/>
                    </w:rPr>
                    <w:t>第四条</w:t>
                  </w:r>
                  <w:r>
                    <w:rPr>
                      <w:color w:val="auto"/>
                      <w:szCs w:val="21"/>
                    </w:rPr>
                    <w:t>本细则所称滨河生态空间，是指核心监控区内，原则上除建成区（城市、建制镇）外，大运河淮安段、张福河两侧河道岸线临水边界线外各1千米的范围。</w:t>
                  </w:r>
                </w:p>
              </w:tc>
              <w:tc>
                <w:tcPr>
                  <w:tcW w:w="1732" w:type="pct"/>
                  <w:tcBorders>
                    <w:top w:val="single" w:color="000000" w:sz="4" w:space="0"/>
                    <w:left w:val="single" w:color="000000" w:sz="4" w:space="0"/>
                    <w:bottom w:val="single" w:color="000000" w:sz="4" w:space="0"/>
                    <w:right w:val="single" w:color="auto" w:sz="4" w:space="0"/>
                  </w:tcBorders>
                  <w:vAlign w:val="center"/>
                </w:tcPr>
                <w:p>
                  <w:pPr>
                    <w:jc w:val="center"/>
                    <w:rPr>
                      <w:color w:val="auto"/>
                      <w:szCs w:val="21"/>
                    </w:rPr>
                  </w:pPr>
                  <w:r>
                    <w:rPr>
                      <w:color w:val="auto"/>
                      <w:szCs w:val="21"/>
                    </w:rPr>
                    <w:t>建设项目位于大运河东</w:t>
                  </w:r>
                  <w:r>
                    <w:rPr>
                      <w:rFonts w:hint="eastAsia"/>
                      <w:color w:val="auto"/>
                      <w:szCs w:val="21"/>
                    </w:rPr>
                    <w:t>南</w:t>
                  </w:r>
                  <w:r>
                    <w:rPr>
                      <w:color w:val="auto"/>
                      <w:szCs w:val="21"/>
                    </w:rPr>
                    <w:t>侧</w:t>
                  </w:r>
                  <w:r>
                    <w:rPr>
                      <w:rFonts w:hint="eastAsia"/>
                      <w:color w:val="auto"/>
                      <w:szCs w:val="21"/>
                    </w:rPr>
                    <w:t>32.34</w:t>
                  </w:r>
                  <w:r>
                    <w:rPr>
                      <w:color w:val="auto"/>
                      <w:szCs w:val="21"/>
                    </w:rPr>
                    <w:t>km左右，不在核心监控区、滨河生态空间范围内。</w:t>
                  </w:r>
                </w:p>
              </w:tc>
              <w:tc>
                <w:tcPr>
                  <w:tcW w:w="305" w:type="pct"/>
                  <w:tcBorders>
                    <w:top w:val="single" w:color="auto" w:sz="4" w:space="0"/>
                    <w:left w:val="single" w:color="auto" w:sz="4" w:space="0"/>
                    <w:bottom w:val="single" w:color="auto" w:sz="4" w:space="0"/>
                    <w:right w:val="nil"/>
                  </w:tcBorders>
                  <w:vAlign w:val="center"/>
                </w:tcPr>
                <w:p>
                  <w:pPr>
                    <w:widowControl/>
                    <w:jc w:val="center"/>
                    <w:rPr>
                      <w:color w:val="auto"/>
                      <w:szCs w:val="21"/>
                    </w:rPr>
                  </w:pPr>
                  <w:r>
                    <w:rPr>
                      <w:color w:val="auto"/>
                      <w:szCs w:val="21"/>
                    </w:rPr>
                    <w:t>符合</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129" w:type="pct"/>
                  <w:gridSpan w:val="2"/>
                  <w:vMerge w:val="restart"/>
                  <w:tcBorders>
                    <w:top w:val="single" w:color="auto" w:sz="4" w:space="0"/>
                    <w:left w:val="nil"/>
                    <w:right w:val="single" w:color="auto" w:sz="4" w:space="0"/>
                  </w:tcBorders>
                  <w:vAlign w:val="center"/>
                </w:tcPr>
                <w:p>
                  <w:pPr>
                    <w:jc w:val="center"/>
                    <w:rPr>
                      <w:color w:val="auto"/>
                      <w:szCs w:val="21"/>
                    </w:rPr>
                  </w:pPr>
                  <w:r>
                    <w:rPr>
                      <w:color w:val="auto"/>
                      <w:szCs w:val="21"/>
                    </w:rPr>
                    <w:t>《江苏省生态环境厅关于进一步做好建设项目环评审批工作的通知》（苏环办[2019]36号）</w:t>
                  </w:r>
                </w:p>
              </w:tc>
              <w:tc>
                <w:tcPr>
                  <w:tcW w:w="1832" w:type="pct"/>
                  <w:gridSpan w:val="2"/>
                  <w:tcBorders>
                    <w:top w:val="single" w:color="000000" w:sz="4" w:space="0"/>
                    <w:left w:val="single" w:color="auto" w:sz="4" w:space="0"/>
                    <w:bottom w:val="single" w:color="000000" w:sz="4" w:space="0"/>
                    <w:right w:val="single" w:color="000000" w:sz="4" w:space="0"/>
                  </w:tcBorders>
                  <w:vAlign w:val="center"/>
                </w:tcPr>
                <w:p>
                  <w:pPr>
                    <w:jc w:val="center"/>
                    <w:rPr>
                      <w:color w:val="auto"/>
                      <w:szCs w:val="21"/>
                    </w:rPr>
                  </w:pPr>
                  <w:r>
                    <w:rPr>
                      <w:color w:val="auto"/>
                      <w:szCs w:val="21"/>
                    </w:rPr>
                    <w:t>建设项目类型及其选址、布局、</w:t>
                  </w:r>
                </w:p>
                <w:p>
                  <w:pPr>
                    <w:jc w:val="center"/>
                    <w:rPr>
                      <w:color w:val="auto"/>
                      <w:szCs w:val="21"/>
                    </w:rPr>
                  </w:pPr>
                  <w:r>
                    <w:rPr>
                      <w:color w:val="auto"/>
                      <w:szCs w:val="21"/>
                    </w:rPr>
                    <w:t>规模等不符合环境保护法律法规和相关法定规划</w:t>
                  </w:r>
                </w:p>
              </w:tc>
              <w:tc>
                <w:tcPr>
                  <w:tcW w:w="1732" w:type="pct"/>
                  <w:tcBorders>
                    <w:top w:val="single" w:color="000000" w:sz="4" w:space="0"/>
                    <w:left w:val="single" w:color="000000" w:sz="4" w:space="0"/>
                    <w:bottom w:val="single" w:color="000000" w:sz="4" w:space="0"/>
                    <w:right w:val="single" w:color="auto" w:sz="4" w:space="0"/>
                  </w:tcBorders>
                  <w:vAlign w:val="center"/>
                </w:tcPr>
                <w:p>
                  <w:pPr>
                    <w:jc w:val="center"/>
                    <w:rPr>
                      <w:color w:val="auto"/>
                      <w:szCs w:val="21"/>
                    </w:rPr>
                  </w:pPr>
                  <w:r>
                    <w:rPr>
                      <w:color w:val="auto"/>
                      <w:szCs w:val="21"/>
                    </w:rPr>
                    <w:t>经过与“三线一单”及规划相符性分析可知，项目类型及其选址、布局、规模等均符合环境保护法律法规和相关法定规划</w:t>
                  </w:r>
                </w:p>
              </w:tc>
              <w:tc>
                <w:tcPr>
                  <w:tcW w:w="305" w:type="pct"/>
                  <w:tcBorders>
                    <w:top w:val="single" w:color="auto" w:sz="4" w:space="0"/>
                    <w:left w:val="single" w:color="auto" w:sz="4" w:space="0"/>
                    <w:bottom w:val="single" w:color="auto" w:sz="4" w:space="0"/>
                    <w:right w:val="nil"/>
                  </w:tcBorders>
                  <w:vAlign w:val="center"/>
                </w:tcPr>
                <w:p>
                  <w:pPr>
                    <w:jc w:val="center"/>
                    <w:rPr>
                      <w:color w:val="auto"/>
                      <w:szCs w:val="21"/>
                    </w:rPr>
                  </w:pPr>
                  <w:r>
                    <w:rPr>
                      <w:color w:val="auto"/>
                      <w:szCs w:val="21"/>
                    </w:rPr>
                    <w:t>符合</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129" w:type="pct"/>
                  <w:gridSpan w:val="2"/>
                  <w:vMerge w:val="continue"/>
                  <w:tcBorders>
                    <w:left w:val="nil"/>
                    <w:right w:val="single" w:color="auto" w:sz="4" w:space="0"/>
                  </w:tcBorders>
                  <w:vAlign w:val="center"/>
                </w:tcPr>
                <w:p>
                  <w:pPr>
                    <w:jc w:val="center"/>
                    <w:rPr>
                      <w:color w:val="auto"/>
                      <w:szCs w:val="21"/>
                    </w:rPr>
                  </w:pPr>
                </w:p>
              </w:tc>
              <w:tc>
                <w:tcPr>
                  <w:tcW w:w="1832" w:type="pct"/>
                  <w:gridSpan w:val="2"/>
                  <w:tcBorders>
                    <w:top w:val="single" w:color="000000" w:sz="4" w:space="0"/>
                    <w:left w:val="single" w:color="auto" w:sz="4" w:space="0"/>
                    <w:bottom w:val="single" w:color="000000" w:sz="4" w:space="0"/>
                    <w:right w:val="single" w:color="000000" w:sz="4" w:space="0"/>
                  </w:tcBorders>
                  <w:vAlign w:val="center"/>
                </w:tcPr>
                <w:p>
                  <w:pPr>
                    <w:jc w:val="center"/>
                    <w:rPr>
                      <w:color w:val="auto"/>
                      <w:szCs w:val="21"/>
                    </w:rPr>
                  </w:pPr>
                  <w:r>
                    <w:rPr>
                      <w:color w:val="auto"/>
                      <w:szCs w:val="21"/>
                    </w:rPr>
                    <w:t>所在区域环境质量未达到国家或者地方环境质量标准，且建设项目拟采取的措施不能满足区域环境质量改善目标管理要求</w:t>
                  </w:r>
                </w:p>
                <w:p>
                  <w:pPr>
                    <w:jc w:val="center"/>
                    <w:rPr>
                      <w:color w:val="auto"/>
                      <w:szCs w:val="21"/>
                    </w:rPr>
                  </w:pPr>
                </w:p>
              </w:tc>
              <w:tc>
                <w:tcPr>
                  <w:tcW w:w="1732" w:type="pct"/>
                  <w:tcBorders>
                    <w:top w:val="single" w:color="000000" w:sz="4" w:space="0"/>
                    <w:left w:val="single" w:color="000000" w:sz="4" w:space="0"/>
                    <w:bottom w:val="single" w:color="000000" w:sz="4" w:space="0"/>
                    <w:right w:val="single" w:color="auto" w:sz="4" w:space="0"/>
                  </w:tcBorders>
                  <w:vAlign w:val="center"/>
                </w:tcPr>
                <w:p>
                  <w:pPr>
                    <w:jc w:val="center"/>
                    <w:rPr>
                      <w:color w:val="auto"/>
                      <w:szCs w:val="21"/>
                    </w:rPr>
                  </w:pPr>
                  <w:r>
                    <w:rPr>
                      <w:color w:val="auto"/>
                      <w:szCs w:val="21"/>
                    </w:rPr>
                    <w:t>根据《2023年淮安市生态环境状况公报》，建设项目所在区域为不达标区，随着关于印发《淮安市2024年大气污染防治工作计划》《淮安市2024年水生态环境保护工作计划》的通知（淮污防攻坚指办〔2024〕50号）中的一系列防治计划的落实，预期淮安市环境空气质量状况会进一步改善，根据《2023年淮安市生态环境状况公报》：2023年淮安市水环境质量总体较好，优I比例超过省定考核指标，27条主要河流水质状况达优良，湖泊水质保持稳定，饮用水源地水质稳定达标，地下水水质稳中趋好，项目产生的废气、废水对环境影响较小，不会突破当地环境容量和环境承载力上限；项目所在地噪声环境质量达标。</w:t>
                  </w:r>
                </w:p>
              </w:tc>
              <w:tc>
                <w:tcPr>
                  <w:tcW w:w="305" w:type="pct"/>
                  <w:tcBorders>
                    <w:top w:val="single" w:color="auto" w:sz="4" w:space="0"/>
                    <w:left w:val="single" w:color="auto" w:sz="4" w:space="0"/>
                    <w:bottom w:val="single" w:color="auto" w:sz="4" w:space="0"/>
                    <w:right w:val="nil"/>
                  </w:tcBorders>
                  <w:vAlign w:val="center"/>
                </w:tcPr>
                <w:p>
                  <w:pPr>
                    <w:jc w:val="center"/>
                    <w:rPr>
                      <w:color w:val="auto"/>
                      <w:szCs w:val="21"/>
                    </w:rPr>
                  </w:pPr>
                  <w:r>
                    <w:rPr>
                      <w:color w:val="auto"/>
                      <w:szCs w:val="21"/>
                    </w:rPr>
                    <w:t>符合</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129" w:type="pct"/>
                  <w:gridSpan w:val="2"/>
                  <w:vMerge w:val="continue"/>
                  <w:tcBorders>
                    <w:left w:val="nil"/>
                    <w:right w:val="single" w:color="auto" w:sz="4" w:space="0"/>
                  </w:tcBorders>
                  <w:vAlign w:val="center"/>
                </w:tcPr>
                <w:p>
                  <w:pPr>
                    <w:jc w:val="center"/>
                    <w:rPr>
                      <w:color w:val="auto"/>
                      <w:szCs w:val="21"/>
                    </w:rPr>
                  </w:pPr>
                </w:p>
              </w:tc>
              <w:tc>
                <w:tcPr>
                  <w:tcW w:w="1832" w:type="pct"/>
                  <w:gridSpan w:val="2"/>
                  <w:tcBorders>
                    <w:top w:val="single" w:color="000000" w:sz="4" w:space="0"/>
                    <w:left w:val="single" w:color="auto" w:sz="4" w:space="0"/>
                    <w:bottom w:val="single" w:color="000000" w:sz="4" w:space="0"/>
                    <w:right w:val="single" w:color="000000" w:sz="4" w:space="0"/>
                  </w:tcBorders>
                  <w:vAlign w:val="center"/>
                </w:tcPr>
                <w:p>
                  <w:pPr>
                    <w:jc w:val="center"/>
                    <w:rPr>
                      <w:color w:val="auto"/>
                      <w:szCs w:val="21"/>
                    </w:rPr>
                  </w:pPr>
                  <w:r>
                    <w:rPr>
                      <w:color w:val="auto"/>
                      <w:szCs w:val="21"/>
                    </w:rPr>
                    <w:t>建设项目采取的污染防治措施无法确保污染物排放达到国家和地方排放标准，或者未采取必要措施预防和控制生态破坏</w:t>
                  </w:r>
                </w:p>
              </w:tc>
              <w:tc>
                <w:tcPr>
                  <w:tcW w:w="1732" w:type="pct"/>
                  <w:tcBorders>
                    <w:top w:val="single" w:color="000000" w:sz="4" w:space="0"/>
                    <w:left w:val="single" w:color="000000" w:sz="4" w:space="0"/>
                    <w:bottom w:val="single" w:color="000000" w:sz="4" w:space="0"/>
                    <w:right w:val="single" w:color="auto" w:sz="4" w:space="0"/>
                  </w:tcBorders>
                  <w:vAlign w:val="center"/>
                </w:tcPr>
                <w:p>
                  <w:pPr>
                    <w:jc w:val="center"/>
                    <w:rPr>
                      <w:color w:val="auto"/>
                      <w:szCs w:val="21"/>
                    </w:rPr>
                  </w:pPr>
                  <w:r>
                    <w:rPr>
                      <w:color w:val="auto"/>
                      <w:szCs w:val="21"/>
                    </w:rPr>
                    <w:t>建设项目废气、废水、噪声、固废采取污染防治措施，确保排放达标，生态影响较小。</w:t>
                  </w:r>
                </w:p>
              </w:tc>
              <w:tc>
                <w:tcPr>
                  <w:tcW w:w="305" w:type="pct"/>
                  <w:tcBorders>
                    <w:top w:val="single" w:color="auto" w:sz="4" w:space="0"/>
                    <w:left w:val="single" w:color="auto" w:sz="4" w:space="0"/>
                    <w:bottom w:val="single" w:color="auto" w:sz="4" w:space="0"/>
                    <w:right w:val="nil"/>
                  </w:tcBorders>
                  <w:vAlign w:val="center"/>
                </w:tcPr>
                <w:p>
                  <w:pPr>
                    <w:jc w:val="center"/>
                    <w:rPr>
                      <w:color w:val="auto"/>
                      <w:szCs w:val="21"/>
                    </w:rPr>
                  </w:pPr>
                  <w:r>
                    <w:rPr>
                      <w:color w:val="auto"/>
                      <w:szCs w:val="21"/>
                    </w:rPr>
                    <w:t>符合</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129" w:type="pct"/>
                  <w:gridSpan w:val="2"/>
                  <w:vMerge w:val="continue"/>
                  <w:tcBorders>
                    <w:left w:val="nil"/>
                    <w:right w:val="single" w:color="auto" w:sz="4" w:space="0"/>
                  </w:tcBorders>
                  <w:vAlign w:val="center"/>
                </w:tcPr>
                <w:p>
                  <w:pPr>
                    <w:jc w:val="center"/>
                    <w:rPr>
                      <w:color w:val="auto"/>
                      <w:szCs w:val="21"/>
                    </w:rPr>
                  </w:pPr>
                </w:p>
              </w:tc>
              <w:tc>
                <w:tcPr>
                  <w:tcW w:w="1832" w:type="pct"/>
                  <w:gridSpan w:val="2"/>
                  <w:tcBorders>
                    <w:top w:val="single" w:color="000000" w:sz="4" w:space="0"/>
                    <w:left w:val="single" w:color="auto" w:sz="4" w:space="0"/>
                    <w:bottom w:val="single" w:color="000000" w:sz="4" w:space="0"/>
                    <w:right w:val="single" w:color="000000" w:sz="4" w:space="0"/>
                  </w:tcBorders>
                  <w:vAlign w:val="center"/>
                </w:tcPr>
                <w:p>
                  <w:pPr>
                    <w:jc w:val="center"/>
                    <w:rPr>
                      <w:color w:val="auto"/>
                      <w:szCs w:val="21"/>
                    </w:rPr>
                  </w:pPr>
                  <w:r>
                    <w:rPr>
                      <w:color w:val="auto"/>
                      <w:szCs w:val="21"/>
                    </w:rPr>
                    <w:t>改建、扩建和技术改造项目，未</w:t>
                  </w:r>
                </w:p>
                <w:p>
                  <w:pPr>
                    <w:jc w:val="center"/>
                    <w:rPr>
                      <w:color w:val="auto"/>
                      <w:szCs w:val="21"/>
                    </w:rPr>
                  </w:pPr>
                  <w:r>
                    <w:rPr>
                      <w:color w:val="auto"/>
                      <w:szCs w:val="21"/>
                    </w:rPr>
                    <w:t>针对项目原有环境污染和生态破坏提出有效防止措施</w:t>
                  </w:r>
                </w:p>
              </w:tc>
              <w:tc>
                <w:tcPr>
                  <w:tcW w:w="1732" w:type="pct"/>
                  <w:tcBorders>
                    <w:top w:val="single" w:color="000000" w:sz="4" w:space="0"/>
                    <w:left w:val="single" w:color="000000" w:sz="4" w:space="0"/>
                    <w:bottom w:val="single" w:color="000000" w:sz="4" w:space="0"/>
                    <w:right w:val="single" w:color="auto" w:sz="4" w:space="0"/>
                  </w:tcBorders>
                  <w:vAlign w:val="center"/>
                </w:tcPr>
                <w:p>
                  <w:pPr>
                    <w:jc w:val="center"/>
                    <w:rPr>
                      <w:color w:val="auto"/>
                      <w:szCs w:val="21"/>
                    </w:rPr>
                  </w:pPr>
                  <w:r>
                    <w:rPr>
                      <w:color w:val="auto"/>
                      <w:szCs w:val="21"/>
                    </w:rPr>
                    <w:t>建设项目不存在遗留环境污染问题，目前企业尚未建设，不存在未批先建行为，无与项目有关的原有污染情况及主要环境问题</w:t>
                  </w:r>
                </w:p>
              </w:tc>
              <w:tc>
                <w:tcPr>
                  <w:tcW w:w="305" w:type="pct"/>
                  <w:tcBorders>
                    <w:top w:val="single" w:color="auto" w:sz="4" w:space="0"/>
                    <w:left w:val="single" w:color="auto" w:sz="4" w:space="0"/>
                    <w:bottom w:val="single" w:color="auto" w:sz="4" w:space="0"/>
                    <w:right w:val="nil"/>
                  </w:tcBorders>
                  <w:vAlign w:val="center"/>
                </w:tcPr>
                <w:p>
                  <w:pPr>
                    <w:jc w:val="center"/>
                    <w:rPr>
                      <w:color w:val="auto"/>
                      <w:szCs w:val="21"/>
                    </w:rPr>
                  </w:pPr>
                  <w:r>
                    <w:rPr>
                      <w:color w:val="auto"/>
                      <w:szCs w:val="21"/>
                    </w:rPr>
                    <w:t>符合</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129" w:type="pct"/>
                  <w:gridSpan w:val="2"/>
                  <w:vMerge w:val="continue"/>
                  <w:tcBorders>
                    <w:left w:val="nil"/>
                    <w:right w:val="single" w:color="auto" w:sz="4" w:space="0"/>
                  </w:tcBorders>
                  <w:vAlign w:val="center"/>
                </w:tcPr>
                <w:p>
                  <w:pPr>
                    <w:jc w:val="center"/>
                    <w:rPr>
                      <w:color w:val="auto"/>
                      <w:szCs w:val="21"/>
                    </w:rPr>
                  </w:pPr>
                </w:p>
              </w:tc>
              <w:tc>
                <w:tcPr>
                  <w:tcW w:w="1832" w:type="pct"/>
                  <w:gridSpan w:val="2"/>
                  <w:tcBorders>
                    <w:top w:val="single" w:color="000000" w:sz="4" w:space="0"/>
                    <w:left w:val="single" w:color="auto" w:sz="4" w:space="0"/>
                    <w:bottom w:val="single" w:color="000000" w:sz="4" w:space="0"/>
                    <w:right w:val="single" w:color="000000" w:sz="4" w:space="0"/>
                  </w:tcBorders>
                  <w:vAlign w:val="center"/>
                </w:tcPr>
                <w:p>
                  <w:pPr>
                    <w:jc w:val="center"/>
                    <w:rPr>
                      <w:color w:val="auto"/>
                      <w:szCs w:val="21"/>
                    </w:rPr>
                  </w:pPr>
                  <w:r>
                    <w:rPr>
                      <w:color w:val="auto"/>
                      <w:szCs w:val="21"/>
                    </w:rPr>
                    <w:t>建设项目的环境影响报告书、环</w:t>
                  </w:r>
                </w:p>
                <w:p>
                  <w:pPr>
                    <w:jc w:val="center"/>
                    <w:rPr>
                      <w:color w:val="auto"/>
                      <w:szCs w:val="21"/>
                    </w:rPr>
                  </w:pPr>
                  <w:r>
                    <w:rPr>
                      <w:color w:val="auto"/>
                      <w:szCs w:val="21"/>
                    </w:rPr>
                    <w:t>境影响报告表的基础资料数据明显不实，内容存在重大缺陷、遗漏，或者环境影响评价结论不明确、不合理</w:t>
                  </w:r>
                </w:p>
              </w:tc>
              <w:tc>
                <w:tcPr>
                  <w:tcW w:w="1732" w:type="pct"/>
                  <w:tcBorders>
                    <w:top w:val="single" w:color="000000" w:sz="4" w:space="0"/>
                    <w:left w:val="single" w:color="000000" w:sz="4" w:space="0"/>
                    <w:bottom w:val="single" w:color="000000" w:sz="4" w:space="0"/>
                    <w:right w:val="single" w:color="auto" w:sz="4" w:space="0"/>
                  </w:tcBorders>
                  <w:vAlign w:val="center"/>
                </w:tcPr>
                <w:p>
                  <w:pPr>
                    <w:jc w:val="center"/>
                    <w:rPr>
                      <w:color w:val="auto"/>
                      <w:szCs w:val="21"/>
                    </w:rPr>
                  </w:pPr>
                  <w:r>
                    <w:rPr>
                      <w:color w:val="auto"/>
                      <w:szCs w:val="21"/>
                    </w:rPr>
                    <w:t>本次评价以企业实际提供资料为前提，核实后进行报告编制，环境影响评价结论明确，经初步审查不存在重大缺陷、遗漏</w:t>
                  </w:r>
                </w:p>
              </w:tc>
              <w:tc>
                <w:tcPr>
                  <w:tcW w:w="305" w:type="pct"/>
                  <w:tcBorders>
                    <w:top w:val="single" w:color="auto" w:sz="4" w:space="0"/>
                    <w:left w:val="single" w:color="auto" w:sz="4" w:space="0"/>
                    <w:bottom w:val="single" w:color="auto" w:sz="4" w:space="0"/>
                    <w:right w:val="nil"/>
                  </w:tcBorders>
                  <w:vAlign w:val="center"/>
                </w:tcPr>
                <w:p>
                  <w:pPr>
                    <w:jc w:val="center"/>
                    <w:rPr>
                      <w:color w:val="auto"/>
                      <w:szCs w:val="21"/>
                    </w:rPr>
                  </w:pPr>
                  <w:r>
                    <w:rPr>
                      <w:color w:val="auto"/>
                      <w:szCs w:val="21"/>
                    </w:rPr>
                    <w:t>符合</w:t>
                  </w:r>
                </w:p>
              </w:tc>
            </w:tr>
          </w:tbl>
          <w:p>
            <w:pPr>
              <w:adjustRightInd w:val="0"/>
              <w:snapToGrid w:val="0"/>
              <w:spacing w:line="360" w:lineRule="auto"/>
              <w:ind w:firstLine="480" w:firstLineChars="200"/>
              <w:rPr>
                <w:rFonts w:hint="eastAsia" w:hAnsiTheme="minorEastAsia" w:eastAsiaTheme="minorEastAsia"/>
                <w:b/>
                <w:bCs/>
                <w:color w:val="auto"/>
                <w:sz w:val="24"/>
              </w:rPr>
            </w:pPr>
            <w:r>
              <w:rPr>
                <w:rFonts w:hAnsi="宋体"/>
                <w:color w:val="auto"/>
                <w:sz w:val="24"/>
              </w:rPr>
              <w:t>对照苏环办[2023]154号省生态环境厅关于做好《危险废物贮存污染控制标准》等标准规范实施后危险废物环境管理衔接工作的通知</w:t>
            </w:r>
            <w:r>
              <w:rPr>
                <w:rFonts w:hint="eastAsia" w:hAnsi="宋体"/>
                <w:color w:val="auto"/>
                <w:sz w:val="24"/>
              </w:rPr>
              <w:t>，</w:t>
            </w:r>
            <w:r>
              <w:rPr>
                <w:rFonts w:hAnsi="宋体"/>
                <w:color w:val="auto"/>
                <w:sz w:val="24"/>
              </w:rPr>
              <w:t>省生态环境厅关于印发《江苏省固体废物全过程环境监管工作意见》的通知苏环办[2024]16号文</w:t>
            </w:r>
            <w:r>
              <w:rPr>
                <w:rFonts w:hint="eastAsia" w:hAnsi="宋体"/>
                <w:color w:val="auto"/>
                <w:sz w:val="24"/>
              </w:rPr>
              <w:t>，</w:t>
            </w:r>
            <w:r>
              <w:rPr>
                <w:rFonts w:hAnsi="宋体"/>
                <w:color w:val="auto"/>
                <w:sz w:val="24"/>
              </w:rPr>
              <w:t>《江苏省固体废物全过程环境监管工作意见》的通知(苏环办[2024]16号)</w:t>
            </w:r>
            <w:r>
              <w:rPr>
                <w:rFonts w:hint="eastAsia" w:hAnsi="宋体"/>
                <w:color w:val="auto"/>
                <w:sz w:val="24"/>
              </w:rPr>
              <w:t>文件的相符性分析见下表。</w:t>
            </w:r>
          </w:p>
          <w:p>
            <w:pPr>
              <w:adjustRightInd w:val="0"/>
              <w:snapToGrid w:val="0"/>
              <w:jc w:val="center"/>
              <w:rPr>
                <w:rFonts w:hAnsiTheme="minorEastAsia" w:eastAsiaTheme="minorEastAsia"/>
                <w:b/>
                <w:bCs/>
                <w:color w:val="auto"/>
                <w:sz w:val="24"/>
              </w:rPr>
            </w:pPr>
          </w:p>
          <w:p>
            <w:pPr>
              <w:adjustRightInd w:val="0"/>
              <w:snapToGrid w:val="0"/>
              <w:jc w:val="center"/>
              <w:rPr>
                <w:rFonts w:hAnsiTheme="minorEastAsia" w:eastAsiaTheme="minorEastAsia"/>
                <w:b/>
                <w:bCs/>
                <w:color w:val="auto"/>
                <w:sz w:val="24"/>
              </w:rPr>
            </w:pPr>
          </w:p>
          <w:p>
            <w:pPr>
              <w:adjustRightInd w:val="0"/>
              <w:snapToGrid w:val="0"/>
              <w:jc w:val="center"/>
              <w:rPr>
                <w:rFonts w:hAnsiTheme="minorEastAsia" w:eastAsiaTheme="minorEastAsia"/>
                <w:b/>
                <w:bCs/>
                <w:color w:val="auto"/>
                <w:sz w:val="24"/>
              </w:rPr>
            </w:pPr>
          </w:p>
          <w:p>
            <w:pPr>
              <w:adjustRightInd w:val="0"/>
              <w:snapToGrid w:val="0"/>
              <w:jc w:val="center"/>
              <w:rPr>
                <w:rFonts w:hAnsiTheme="minorEastAsia" w:eastAsiaTheme="minorEastAsia"/>
                <w:b/>
                <w:bCs/>
                <w:color w:val="auto"/>
                <w:sz w:val="24"/>
              </w:rPr>
            </w:pPr>
          </w:p>
          <w:p>
            <w:pPr>
              <w:adjustRightInd w:val="0"/>
              <w:snapToGrid w:val="0"/>
              <w:jc w:val="center"/>
              <w:rPr>
                <w:rFonts w:hAnsiTheme="minorEastAsia" w:eastAsiaTheme="minorEastAsia"/>
                <w:b/>
                <w:bCs/>
                <w:color w:val="auto"/>
                <w:sz w:val="24"/>
              </w:rPr>
            </w:pPr>
          </w:p>
          <w:p>
            <w:pPr>
              <w:adjustRightInd w:val="0"/>
              <w:snapToGrid w:val="0"/>
              <w:jc w:val="center"/>
              <w:rPr>
                <w:rFonts w:hAnsiTheme="minorEastAsia" w:eastAsiaTheme="minorEastAsia"/>
                <w:b/>
                <w:bCs/>
                <w:color w:val="auto"/>
                <w:sz w:val="24"/>
              </w:rPr>
            </w:pPr>
          </w:p>
          <w:p>
            <w:pPr>
              <w:adjustRightInd w:val="0"/>
              <w:snapToGrid w:val="0"/>
              <w:jc w:val="center"/>
              <w:rPr>
                <w:rFonts w:hAnsiTheme="minorEastAsia" w:eastAsiaTheme="minorEastAsia"/>
                <w:b/>
                <w:bCs/>
                <w:color w:val="auto"/>
                <w:sz w:val="24"/>
              </w:rPr>
            </w:pPr>
          </w:p>
          <w:p>
            <w:pPr>
              <w:adjustRightInd w:val="0"/>
              <w:snapToGrid w:val="0"/>
              <w:jc w:val="center"/>
              <w:rPr>
                <w:rFonts w:hAnsiTheme="minorEastAsia" w:eastAsiaTheme="minorEastAsia"/>
                <w:b/>
                <w:bCs/>
                <w:color w:val="auto"/>
                <w:sz w:val="24"/>
              </w:rPr>
            </w:pPr>
          </w:p>
          <w:p>
            <w:pPr>
              <w:adjustRightInd w:val="0"/>
              <w:snapToGrid w:val="0"/>
              <w:jc w:val="center"/>
              <w:rPr>
                <w:rFonts w:hAnsiTheme="minorEastAsia" w:eastAsiaTheme="minorEastAsia"/>
                <w:b/>
                <w:bCs/>
                <w:color w:val="auto"/>
                <w:sz w:val="24"/>
              </w:rPr>
            </w:pPr>
          </w:p>
          <w:p>
            <w:pPr>
              <w:adjustRightInd w:val="0"/>
              <w:snapToGrid w:val="0"/>
              <w:jc w:val="center"/>
              <w:rPr>
                <w:rFonts w:hAnsiTheme="minorEastAsia" w:eastAsiaTheme="minorEastAsia"/>
                <w:b/>
                <w:bCs/>
                <w:color w:val="auto"/>
                <w:sz w:val="24"/>
              </w:rPr>
            </w:pPr>
          </w:p>
          <w:p>
            <w:pPr>
              <w:adjustRightInd w:val="0"/>
              <w:snapToGrid w:val="0"/>
              <w:jc w:val="center"/>
              <w:rPr>
                <w:rFonts w:hint="eastAsia" w:hAnsiTheme="minorEastAsia" w:eastAsiaTheme="minorEastAsia"/>
                <w:color w:val="auto"/>
                <w:sz w:val="24"/>
              </w:rPr>
            </w:pPr>
            <w:r>
              <w:rPr>
                <w:rFonts w:hAnsiTheme="minorEastAsia" w:eastAsiaTheme="minorEastAsia"/>
                <w:b/>
                <w:bCs/>
                <w:color w:val="auto"/>
                <w:sz w:val="24"/>
              </w:rPr>
              <w:t>表1</w:t>
            </w:r>
            <w:r>
              <w:rPr>
                <w:rFonts w:hint="eastAsia" w:hAnsiTheme="minorEastAsia" w:eastAsiaTheme="minorEastAsia"/>
                <w:b/>
                <w:bCs/>
                <w:color w:val="auto"/>
                <w:sz w:val="24"/>
              </w:rPr>
              <w:t>.7-2 与固体危废相关文件的的相符性</w:t>
            </w:r>
          </w:p>
          <w:tbl>
            <w:tblPr>
              <w:tblStyle w:val="50"/>
              <w:tblW w:w="0" w:type="auto"/>
              <w:jc w:val="center"/>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
            <w:tblGrid>
              <w:gridCol w:w="1279"/>
              <w:gridCol w:w="3229"/>
              <w:gridCol w:w="2871"/>
              <w:gridCol w:w="240"/>
            </w:tblGrid>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554" w:hRule="atLeast"/>
                <w:jc w:val="center"/>
              </w:trPr>
              <w:tc>
                <w:tcPr>
                  <w:tcW w:w="4508" w:type="dxa"/>
                  <w:gridSpan w:val="2"/>
                  <w:tcBorders>
                    <w:tl2br w:val="nil"/>
                    <w:tr2bl w:val="nil"/>
                  </w:tcBorders>
                  <w:vAlign w:val="center"/>
                </w:tcPr>
                <w:p>
                  <w:pPr>
                    <w:pStyle w:val="49"/>
                    <w:jc w:val="center"/>
                    <w:rPr>
                      <w:rFonts w:ascii="Times New Roman" w:hAnsi="Times New Roman"/>
                      <w:color w:val="auto"/>
                      <w:sz w:val="21"/>
                      <w:szCs w:val="21"/>
                    </w:rPr>
                  </w:pPr>
                  <w:r>
                    <w:rPr>
                      <w:rFonts w:ascii="Times New Roman" w:hAnsi="Times New Roman"/>
                      <w:b/>
                      <w:bCs/>
                      <w:color w:val="auto"/>
                      <w:sz w:val="21"/>
                      <w:szCs w:val="21"/>
                    </w:rPr>
                    <w:t>要求</w:t>
                  </w:r>
                </w:p>
              </w:tc>
              <w:tc>
                <w:tcPr>
                  <w:tcW w:w="2871" w:type="dxa"/>
                  <w:tcBorders>
                    <w:tl2br w:val="nil"/>
                    <w:tr2bl w:val="nil"/>
                  </w:tcBorders>
                  <w:vAlign w:val="center"/>
                </w:tcPr>
                <w:p>
                  <w:pPr>
                    <w:pStyle w:val="49"/>
                    <w:jc w:val="center"/>
                    <w:rPr>
                      <w:rFonts w:ascii="Times New Roman" w:hAnsi="Times New Roman"/>
                      <w:color w:val="auto"/>
                      <w:sz w:val="21"/>
                      <w:szCs w:val="21"/>
                    </w:rPr>
                  </w:pPr>
                  <w:r>
                    <w:rPr>
                      <w:rFonts w:ascii="Times New Roman" w:hAnsi="Times New Roman"/>
                      <w:b/>
                      <w:bCs/>
                      <w:color w:val="auto"/>
                      <w:sz w:val="21"/>
                      <w:szCs w:val="21"/>
                    </w:rPr>
                    <w:t>本项目情况</w:t>
                  </w:r>
                </w:p>
              </w:tc>
              <w:tc>
                <w:tcPr>
                  <w:tcW w:w="240" w:type="dxa"/>
                  <w:tcBorders>
                    <w:tl2br w:val="nil"/>
                    <w:tr2bl w:val="nil"/>
                  </w:tcBorders>
                  <w:vAlign w:val="center"/>
                </w:tcPr>
                <w:p>
                  <w:pPr>
                    <w:pStyle w:val="49"/>
                    <w:jc w:val="center"/>
                    <w:rPr>
                      <w:rFonts w:ascii="Times New Roman" w:hAnsi="Times New Roman"/>
                      <w:color w:val="auto"/>
                      <w:sz w:val="21"/>
                      <w:szCs w:val="21"/>
                    </w:rPr>
                  </w:pPr>
                  <w:r>
                    <w:rPr>
                      <w:rFonts w:ascii="Times New Roman" w:hAnsi="Times New Roman"/>
                      <w:b/>
                      <w:bCs/>
                      <w:color w:val="auto"/>
                      <w:sz w:val="21"/>
                      <w:szCs w:val="21"/>
                    </w:rPr>
                    <w:t>是否符合</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2454" w:hRule="atLeast"/>
                <w:jc w:val="center"/>
              </w:trPr>
              <w:tc>
                <w:tcPr>
                  <w:tcW w:w="1279" w:type="dxa"/>
                  <w:vMerge w:val="restart"/>
                  <w:tcBorders>
                    <w:tl2br w:val="nil"/>
                    <w:tr2bl w:val="nil"/>
                  </w:tcBorders>
                  <w:vAlign w:val="center"/>
                </w:tcPr>
                <w:p>
                  <w:pPr>
                    <w:widowControl/>
                    <w:shd w:val="clear" w:color="auto" w:fill="FFFFFF"/>
                    <w:jc w:val="center"/>
                    <w:rPr>
                      <w:color w:val="auto"/>
                      <w:szCs w:val="21"/>
                    </w:rPr>
                  </w:pPr>
                  <w:r>
                    <w:rPr>
                      <w:color w:val="auto"/>
                      <w:szCs w:val="21"/>
                    </w:rPr>
                    <w:t>苏环办[2023]154号省生态环境厅关于做好《危险废物贮存污染控制标准》等标准规范实施后危险废物环境管理衔接工作的通知</w:t>
                  </w:r>
                </w:p>
                <w:p>
                  <w:pPr>
                    <w:pStyle w:val="49"/>
                    <w:jc w:val="center"/>
                    <w:rPr>
                      <w:rFonts w:ascii="Times New Roman" w:hAnsi="Times New Roman"/>
                      <w:color w:val="auto"/>
                      <w:sz w:val="21"/>
                      <w:szCs w:val="21"/>
                      <w:lang w:eastAsia="zh-CN"/>
                    </w:rPr>
                  </w:pPr>
                </w:p>
              </w:tc>
              <w:tc>
                <w:tcPr>
                  <w:tcW w:w="3229" w:type="dxa"/>
                  <w:tcBorders>
                    <w:tl2br w:val="nil"/>
                    <w:tr2bl w:val="nil"/>
                  </w:tcBorders>
                  <w:vAlign w:val="center"/>
                </w:tcPr>
                <w:p>
                  <w:pPr>
                    <w:pStyle w:val="49"/>
                    <w:jc w:val="center"/>
                    <w:rPr>
                      <w:rFonts w:ascii="Times New Roman" w:hAnsi="Times New Roman"/>
                      <w:color w:val="auto"/>
                      <w:sz w:val="21"/>
                      <w:szCs w:val="21"/>
                      <w:lang w:eastAsia="zh-CN"/>
                    </w:rPr>
                  </w:pPr>
                  <w:r>
                    <w:rPr>
                      <w:rFonts w:ascii="Times New Roman" w:hAnsi="Times New Roman"/>
                      <w:color w:val="auto"/>
                      <w:sz w:val="21"/>
                      <w:szCs w:val="21"/>
                      <w:lang w:eastAsia="zh-CN"/>
                    </w:rPr>
                    <w:t>危险废物贮存设施(含贮存点)应按照《省生态环境厅关于进一步加强危险废物污染防治工作的实施意见》(苏环办[2023]327号)、《省生态环境厅关于做好江苏省危险废物全生命周期监控系统上线运行工作的通知》(苏环办[2020]401号)等文件要求设置视频监控，并与中控室联网，视频监控应确保监控画面清晰，视频记录保存时间至少为3个月。</w:t>
                  </w:r>
                </w:p>
              </w:tc>
              <w:tc>
                <w:tcPr>
                  <w:tcW w:w="2871" w:type="dxa"/>
                  <w:tcBorders>
                    <w:tl2br w:val="nil"/>
                    <w:tr2bl w:val="nil"/>
                  </w:tcBorders>
                  <w:vAlign w:val="center"/>
                </w:tcPr>
                <w:p>
                  <w:pPr>
                    <w:pStyle w:val="49"/>
                    <w:jc w:val="center"/>
                    <w:rPr>
                      <w:rFonts w:ascii="Times New Roman" w:hAnsi="Times New Roman"/>
                      <w:color w:val="auto"/>
                      <w:sz w:val="21"/>
                      <w:szCs w:val="21"/>
                      <w:lang w:eastAsia="zh-CN"/>
                    </w:rPr>
                  </w:pPr>
                  <w:r>
                    <w:rPr>
                      <w:rFonts w:ascii="Times New Roman" w:hAnsi="Times New Roman"/>
                      <w:color w:val="auto"/>
                      <w:sz w:val="21"/>
                      <w:szCs w:val="21"/>
                      <w:lang w:eastAsia="zh-CN"/>
                    </w:rPr>
                    <w:t>本项目建设后将按照《省生态环境厅关于做好江苏省危险废物全生命周期监控系统上线运行工作的通知》(苏环办[2020]401号)等文件要求设置了视频监控，并与中控室联网，监控画面清晰，视频记录保存时间至少为3个月。</w:t>
                  </w:r>
                </w:p>
              </w:tc>
              <w:tc>
                <w:tcPr>
                  <w:tcW w:w="240" w:type="dxa"/>
                  <w:tcBorders>
                    <w:tl2br w:val="nil"/>
                    <w:tr2bl w:val="nil"/>
                  </w:tcBorders>
                  <w:vAlign w:val="center"/>
                </w:tcPr>
                <w:p>
                  <w:pPr>
                    <w:jc w:val="center"/>
                    <w:rPr>
                      <w:color w:val="auto"/>
                      <w:szCs w:val="21"/>
                    </w:rPr>
                  </w:pPr>
                </w:p>
                <w:p>
                  <w:pPr>
                    <w:jc w:val="center"/>
                    <w:rPr>
                      <w:color w:val="auto"/>
                      <w:szCs w:val="21"/>
                    </w:rPr>
                  </w:pPr>
                </w:p>
                <w:p>
                  <w:pPr>
                    <w:jc w:val="center"/>
                    <w:rPr>
                      <w:color w:val="auto"/>
                      <w:szCs w:val="21"/>
                    </w:rPr>
                  </w:pPr>
                </w:p>
                <w:p>
                  <w:pPr>
                    <w:jc w:val="center"/>
                    <w:rPr>
                      <w:color w:val="auto"/>
                      <w:szCs w:val="21"/>
                    </w:rPr>
                  </w:pPr>
                </w:p>
                <w:p>
                  <w:pPr>
                    <w:pStyle w:val="49"/>
                    <w:jc w:val="center"/>
                    <w:rPr>
                      <w:rFonts w:ascii="Times New Roman" w:hAnsi="Times New Roman"/>
                      <w:color w:val="auto"/>
                      <w:sz w:val="21"/>
                      <w:szCs w:val="21"/>
                    </w:rPr>
                  </w:pPr>
                  <w:r>
                    <w:rPr>
                      <w:rFonts w:ascii="Times New Roman" w:hAnsi="Times New Roman"/>
                      <w:color w:val="auto"/>
                      <w:sz w:val="21"/>
                      <w:szCs w:val="21"/>
                    </w:rPr>
                    <w:t>相符</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2454" w:hRule="atLeast"/>
                <w:jc w:val="center"/>
              </w:trPr>
              <w:tc>
                <w:tcPr>
                  <w:tcW w:w="1279" w:type="dxa"/>
                  <w:vMerge w:val="continue"/>
                  <w:tcBorders>
                    <w:tl2br w:val="nil"/>
                    <w:tr2bl w:val="nil"/>
                  </w:tcBorders>
                  <w:vAlign w:val="center"/>
                </w:tcPr>
                <w:p>
                  <w:pPr>
                    <w:pStyle w:val="49"/>
                    <w:jc w:val="center"/>
                    <w:rPr>
                      <w:rFonts w:ascii="Times New Roman" w:hAnsi="Times New Roman"/>
                      <w:color w:val="auto"/>
                      <w:sz w:val="21"/>
                      <w:szCs w:val="21"/>
                    </w:rPr>
                  </w:pPr>
                </w:p>
              </w:tc>
              <w:tc>
                <w:tcPr>
                  <w:tcW w:w="3229" w:type="dxa"/>
                  <w:tcBorders>
                    <w:tl2br w:val="nil"/>
                    <w:tr2bl w:val="nil"/>
                  </w:tcBorders>
                  <w:vAlign w:val="center"/>
                </w:tcPr>
                <w:p>
                  <w:pPr>
                    <w:pStyle w:val="49"/>
                    <w:jc w:val="center"/>
                    <w:rPr>
                      <w:rFonts w:ascii="Times New Roman" w:hAnsi="Times New Roman"/>
                      <w:color w:val="auto"/>
                      <w:sz w:val="21"/>
                      <w:szCs w:val="21"/>
                      <w:lang w:eastAsia="zh-CN"/>
                    </w:rPr>
                  </w:pPr>
                  <w:r>
                    <w:rPr>
                      <w:rFonts w:ascii="Times New Roman" w:hAnsi="Times New Roman"/>
                      <w:color w:val="auto"/>
                      <w:sz w:val="21"/>
                      <w:szCs w:val="21"/>
                      <w:lang w:eastAsia="zh-CN"/>
                    </w:rPr>
                    <w:t>危险废物识别标志样式可由江苏省危险废物全生命周期监控系统自动生成，原贮存、利用处置设施标志牌上贮存设施环评批文、贮存设施建筑面积或容积、贮存设施环境污染防治措施环境应急物资和设备、贮存危险废物清单、利用处置方式、利用处置能力、可利用处置危废、产生危废等信息纳入识别标志二维码管理，危险废物标签备注栏需显示容器容量材质等信息。本通知印发前已设置贮存、利用、处置设施标志牌的，可直接对照附件要求在标志牌上进行修改，《规范》实施之日前已经张贴在危险废物包装上的标签不需更换。</w:t>
                  </w:r>
                </w:p>
              </w:tc>
              <w:tc>
                <w:tcPr>
                  <w:tcW w:w="2871" w:type="dxa"/>
                  <w:tcBorders>
                    <w:tl2br w:val="nil"/>
                    <w:tr2bl w:val="nil"/>
                  </w:tcBorders>
                  <w:vAlign w:val="center"/>
                </w:tcPr>
                <w:p>
                  <w:pPr>
                    <w:adjustRightInd w:val="0"/>
                    <w:snapToGrid w:val="0"/>
                    <w:jc w:val="center"/>
                    <w:rPr>
                      <w:color w:val="auto"/>
                      <w:szCs w:val="21"/>
                    </w:rPr>
                  </w:pPr>
                  <w:r>
                    <w:rPr>
                      <w:color w:val="auto"/>
                      <w:szCs w:val="21"/>
                    </w:rPr>
                    <w:t>固废贮存场所标志执行《危险废物识别标志设置技术规范》（HJ1276-2022）、《环境保护图形标志固体废物贮存（处置）场》（GB15562.2-1995）及修改单、《江苏省危险废物集中收集体系建设工作方案（试行）》</w:t>
                  </w:r>
                  <w:bookmarkStart w:id="4" w:name="OLE_LINK16"/>
                  <w:r>
                    <w:rPr>
                      <w:color w:val="auto"/>
                      <w:szCs w:val="21"/>
                    </w:rPr>
                    <w:t>（苏环办[2021]290号）要求、《省生态环境厅关于做好&lt;危险废物贮存污染控制标准&gt;等标准规范实施后危险废物环境管理衔接工作的通知》（苏环办[2023]154号）要求。</w:t>
                  </w:r>
                  <w:bookmarkEnd w:id="4"/>
                </w:p>
              </w:tc>
              <w:tc>
                <w:tcPr>
                  <w:tcW w:w="240" w:type="dxa"/>
                  <w:tcBorders>
                    <w:tl2br w:val="nil"/>
                    <w:tr2bl w:val="nil"/>
                  </w:tcBorders>
                  <w:vAlign w:val="center"/>
                </w:tcPr>
                <w:p>
                  <w:pPr>
                    <w:jc w:val="center"/>
                    <w:rPr>
                      <w:color w:val="auto"/>
                      <w:szCs w:val="21"/>
                    </w:rPr>
                  </w:pPr>
                  <w:r>
                    <w:rPr>
                      <w:color w:val="auto"/>
                      <w:szCs w:val="21"/>
                    </w:rPr>
                    <w:t>相符</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2454" w:hRule="atLeast"/>
                <w:jc w:val="center"/>
              </w:trPr>
              <w:tc>
                <w:tcPr>
                  <w:tcW w:w="1279" w:type="dxa"/>
                  <w:vMerge w:val="continue"/>
                  <w:tcBorders>
                    <w:tl2br w:val="nil"/>
                    <w:tr2bl w:val="nil"/>
                  </w:tcBorders>
                  <w:vAlign w:val="center"/>
                </w:tcPr>
                <w:p>
                  <w:pPr>
                    <w:pStyle w:val="49"/>
                    <w:jc w:val="center"/>
                    <w:rPr>
                      <w:rFonts w:ascii="Times New Roman" w:hAnsi="Times New Roman"/>
                      <w:color w:val="auto"/>
                      <w:sz w:val="21"/>
                      <w:szCs w:val="21"/>
                    </w:rPr>
                  </w:pPr>
                </w:p>
              </w:tc>
              <w:tc>
                <w:tcPr>
                  <w:tcW w:w="3229" w:type="dxa"/>
                  <w:tcBorders>
                    <w:tl2br w:val="nil"/>
                    <w:tr2bl w:val="nil"/>
                  </w:tcBorders>
                  <w:vAlign w:val="center"/>
                </w:tcPr>
                <w:p>
                  <w:pPr>
                    <w:pStyle w:val="49"/>
                    <w:jc w:val="center"/>
                    <w:rPr>
                      <w:rFonts w:ascii="Times New Roman" w:hAnsi="Times New Roman"/>
                      <w:color w:val="auto"/>
                      <w:sz w:val="21"/>
                      <w:szCs w:val="21"/>
                      <w:lang w:eastAsia="zh-CN"/>
                    </w:rPr>
                  </w:pPr>
                  <w:r>
                    <w:rPr>
                      <w:rFonts w:ascii="Times New Roman" w:hAnsi="Times New Roman"/>
                      <w:color w:val="auto"/>
                      <w:sz w:val="21"/>
                      <w:szCs w:val="21"/>
                      <w:lang w:eastAsia="zh-CN"/>
                    </w:rPr>
                    <w:t>各级生态环境部门要高度重视危险废物贮存污染控制标准和危险废物新老识别标志更换落实工作，通过组织线上线下学习培训、印发“口袋书”等方式，加强对环评、固管、执法等监管部门和相关企业的宣传培训，指导帮助企业做好标准规范实施后危险废物环境管理的衔接工作,提高其危险废物规范化环境管理水平。</w:t>
                  </w:r>
                </w:p>
              </w:tc>
              <w:tc>
                <w:tcPr>
                  <w:tcW w:w="2871" w:type="dxa"/>
                  <w:tcBorders>
                    <w:tl2br w:val="nil"/>
                    <w:tr2bl w:val="nil"/>
                  </w:tcBorders>
                  <w:vAlign w:val="center"/>
                </w:tcPr>
                <w:p>
                  <w:pPr>
                    <w:pStyle w:val="49"/>
                    <w:jc w:val="center"/>
                    <w:rPr>
                      <w:rFonts w:ascii="Times New Roman" w:hAnsi="Times New Roman"/>
                      <w:color w:val="auto"/>
                      <w:sz w:val="21"/>
                      <w:szCs w:val="21"/>
                      <w:lang w:eastAsia="zh-CN"/>
                    </w:rPr>
                  </w:pPr>
                  <w:r>
                    <w:rPr>
                      <w:rFonts w:ascii="Times New Roman" w:hAnsi="Times New Roman"/>
                      <w:color w:val="auto"/>
                      <w:sz w:val="21"/>
                      <w:szCs w:val="21"/>
                      <w:lang w:eastAsia="zh-CN"/>
                    </w:rPr>
                    <w:t>建设项目根据相关要求对企业员工进行相关培训，提高危险废物环境管理水平</w:t>
                  </w:r>
                </w:p>
              </w:tc>
              <w:tc>
                <w:tcPr>
                  <w:tcW w:w="240" w:type="dxa"/>
                  <w:tcBorders>
                    <w:tl2br w:val="nil"/>
                    <w:tr2bl w:val="nil"/>
                  </w:tcBorders>
                  <w:vAlign w:val="center"/>
                </w:tcPr>
                <w:p>
                  <w:pPr>
                    <w:jc w:val="center"/>
                    <w:rPr>
                      <w:color w:val="auto"/>
                      <w:szCs w:val="21"/>
                    </w:rPr>
                  </w:pPr>
                  <w:r>
                    <w:rPr>
                      <w:color w:val="auto"/>
                      <w:szCs w:val="21"/>
                    </w:rPr>
                    <w:t>相符</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1352" w:hRule="atLeast"/>
                <w:jc w:val="center"/>
              </w:trPr>
              <w:tc>
                <w:tcPr>
                  <w:tcW w:w="1279" w:type="dxa"/>
                  <w:vMerge w:val="restart"/>
                  <w:tcBorders>
                    <w:tl2br w:val="nil"/>
                    <w:tr2bl w:val="nil"/>
                  </w:tcBorders>
                  <w:vAlign w:val="center"/>
                </w:tcPr>
                <w:p>
                  <w:pPr>
                    <w:pStyle w:val="49"/>
                    <w:jc w:val="center"/>
                    <w:rPr>
                      <w:rFonts w:ascii="Times New Roman" w:hAnsi="Times New Roman"/>
                      <w:color w:val="auto"/>
                      <w:sz w:val="21"/>
                      <w:szCs w:val="21"/>
                      <w:lang w:eastAsia="zh-CN"/>
                    </w:rPr>
                  </w:pPr>
                  <w:r>
                    <w:rPr>
                      <w:rFonts w:ascii="Times New Roman" w:hAnsi="Times New Roman"/>
                      <w:color w:val="auto"/>
                      <w:sz w:val="21"/>
                      <w:szCs w:val="21"/>
                      <w:lang w:eastAsia="zh-CN"/>
                    </w:rPr>
                    <w:t>省生态环境厅关于印发《江苏省固体废物全过程环境监管工作意见》的通知苏环办[2024]16号文</w:t>
                  </w:r>
                </w:p>
              </w:tc>
              <w:tc>
                <w:tcPr>
                  <w:tcW w:w="3229" w:type="dxa"/>
                  <w:tcBorders>
                    <w:tl2br w:val="nil"/>
                    <w:tr2bl w:val="nil"/>
                  </w:tcBorders>
                  <w:vAlign w:val="center"/>
                </w:tcPr>
                <w:p>
                  <w:pPr>
                    <w:pStyle w:val="49"/>
                    <w:jc w:val="center"/>
                    <w:rPr>
                      <w:rFonts w:ascii="Times New Roman" w:hAnsi="Times New Roman"/>
                      <w:color w:val="auto"/>
                      <w:sz w:val="21"/>
                      <w:szCs w:val="21"/>
                      <w:lang w:eastAsia="zh-CN"/>
                    </w:rPr>
                  </w:pPr>
                  <w:r>
                    <w:rPr>
                      <w:rFonts w:ascii="Times New Roman" w:hAnsi="Times New Roman"/>
                      <w:color w:val="auto"/>
                      <w:sz w:val="21"/>
                      <w:szCs w:val="21"/>
                      <w:lang w:eastAsia="zh-CN"/>
                    </w:rPr>
                    <w:t>规范贮存管理要求。根据《危险废物贮存污染控制标准》(GB18597-2023)，企业可根据实际情况选择采用危险废物贮存设施或贮存点两类方式进行贮存，符合相应的污染控制标准;不具备建设贮存设施条件、选用贮存点方式的</w:t>
                  </w:r>
                </w:p>
              </w:tc>
              <w:tc>
                <w:tcPr>
                  <w:tcW w:w="2871" w:type="dxa"/>
                  <w:tcBorders>
                    <w:tl2br w:val="nil"/>
                    <w:tr2bl w:val="nil"/>
                  </w:tcBorders>
                  <w:vAlign w:val="center"/>
                </w:tcPr>
                <w:p>
                  <w:pPr>
                    <w:pStyle w:val="49"/>
                    <w:jc w:val="center"/>
                    <w:rPr>
                      <w:rFonts w:ascii="Times New Roman" w:hAnsi="Times New Roman"/>
                      <w:color w:val="auto"/>
                      <w:kern w:val="2"/>
                      <w:sz w:val="21"/>
                      <w:szCs w:val="21"/>
                      <w:lang w:eastAsia="zh-CN"/>
                    </w:rPr>
                  </w:pPr>
                  <w:r>
                    <w:rPr>
                      <w:rFonts w:ascii="Times New Roman" w:hAnsi="Times New Roman"/>
                      <w:color w:val="auto"/>
                      <w:kern w:val="2"/>
                      <w:sz w:val="21"/>
                      <w:szCs w:val="21"/>
                      <w:lang w:eastAsia="zh-CN"/>
                    </w:rPr>
                    <w:t>本项目建设后将落实《危险废物贮存污染控制标准》(GB18597-2023)，进行分类贮存</w:t>
                  </w:r>
                </w:p>
              </w:tc>
              <w:tc>
                <w:tcPr>
                  <w:tcW w:w="240" w:type="dxa"/>
                  <w:tcBorders>
                    <w:tl2br w:val="nil"/>
                    <w:tr2bl w:val="nil"/>
                  </w:tcBorders>
                  <w:vAlign w:val="center"/>
                </w:tcPr>
                <w:p>
                  <w:pPr>
                    <w:jc w:val="center"/>
                    <w:rPr>
                      <w:color w:val="auto"/>
                      <w:szCs w:val="21"/>
                    </w:rPr>
                  </w:pPr>
                  <w:r>
                    <w:rPr>
                      <w:color w:val="auto"/>
                      <w:szCs w:val="21"/>
                    </w:rPr>
                    <w:t>相符</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2454" w:hRule="atLeast"/>
                <w:jc w:val="center"/>
              </w:trPr>
              <w:tc>
                <w:tcPr>
                  <w:tcW w:w="1279" w:type="dxa"/>
                  <w:vMerge w:val="continue"/>
                  <w:tcBorders>
                    <w:tl2br w:val="nil"/>
                    <w:tr2bl w:val="nil"/>
                  </w:tcBorders>
                  <w:vAlign w:val="center"/>
                </w:tcPr>
                <w:p>
                  <w:pPr>
                    <w:pStyle w:val="49"/>
                    <w:jc w:val="center"/>
                    <w:rPr>
                      <w:rFonts w:ascii="Times New Roman" w:hAnsi="Times New Roman"/>
                      <w:color w:val="auto"/>
                      <w:sz w:val="21"/>
                      <w:szCs w:val="21"/>
                    </w:rPr>
                  </w:pPr>
                </w:p>
              </w:tc>
              <w:tc>
                <w:tcPr>
                  <w:tcW w:w="3229" w:type="dxa"/>
                  <w:tcBorders>
                    <w:tl2br w:val="nil"/>
                    <w:tr2bl w:val="nil"/>
                  </w:tcBorders>
                  <w:vAlign w:val="center"/>
                </w:tcPr>
                <w:p>
                  <w:pPr>
                    <w:pStyle w:val="49"/>
                    <w:jc w:val="center"/>
                    <w:rPr>
                      <w:rFonts w:ascii="Times New Roman" w:hAnsi="Times New Roman"/>
                      <w:color w:val="auto"/>
                      <w:sz w:val="21"/>
                      <w:szCs w:val="21"/>
                      <w:lang w:eastAsia="zh-CN"/>
                    </w:rPr>
                  </w:pPr>
                  <w:r>
                    <w:rPr>
                      <w:rFonts w:ascii="Times New Roman" w:hAnsi="Times New Roman"/>
                      <w:color w:val="auto"/>
                      <w:sz w:val="21"/>
                      <w:szCs w:val="21"/>
                      <w:lang w:eastAsia="zh-CN"/>
                    </w:rPr>
                    <w:t>规范贮存管理要求：根据《危险废物贮存污染控制标准》（GB18597-2023），企业可根据实际情况选择采用危险废物贮存设施或贮存点两类方式进行贮存，符合相应的污染控制标准；不具备建设贮存设施条件、选用贮存点方式的，除符合国家关于贮存点控制要求外，还要执行《江苏省危险废物集中收集体系建设工作方案（试行）》（苏环办〔2021〕290号）中关于贮存周期和贮存量的要求，I级、II级、III级危险废物贮存时间分别不得超过30天、60天、90天，最大贮存量不得超过1吨</w:t>
                  </w:r>
                </w:p>
              </w:tc>
              <w:tc>
                <w:tcPr>
                  <w:tcW w:w="2871" w:type="dxa"/>
                  <w:tcBorders>
                    <w:tl2br w:val="nil"/>
                    <w:tr2bl w:val="nil"/>
                  </w:tcBorders>
                  <w:vAlign w:val="center"/>
                </w:tcPr>
                <w:p>
                  <w:pPr>
                    <w:pStyle w:val="49"/>
                    <w:jc w:val="center"/>
                    <w:rPr>
                      <w:rFonts w:ascii="Times New Roman" w:hAnsi="Times New Roman"/>
                      <w:color w:val="auto"/>
                      <w:kern w:val="2"/>
                      <w:sz w:val="21"/>
                      <w:szCs w:val="21"/>
                      <w:lang w:eastAsia="zh-CN"/>
                    </w:rPr>
                  </w:pPr>
                  <w:r>
                    <w:rPr>
                      <w:rFonts w:ascii="Times New Roman" w:hAnsi="Times New Roman"/>
                      <w:color w:val="auto"/>
                      <w:sz w:val="21"/>
                      <w:szCs w:val="21"/>
                      <w:lang w:eastAsia="zh-CN"/>
                    </w:rPr>
                    <w:t>本项目建设后将根据《危险废物贮存污染控制标准》（GB18597-2023），落实危废贮存，过程中配套防扬散、防流失、防渗漏及其他防止污染环境的措施，并且执行《江苏省危险废物集中收集体系建设工作方案（试行）》（苏环办〔2021〕290号）要求，提高危废处理次数</w:t>
                  </w:r>
                  <w:r>
                    <w:rPr>
                      <w:rFonts w:hint="eastAsia" w:ascii="Times New Roman" w:hAnsi="Times New Roman"/>
                      <w:color w:val="auto"/>
                      <w:sz w:val="21"/>
                      <w:szCs w:val="21"/>
                      <w:lang w:eastAsia="zh-CN"/>
                    </w:rPr>
                    <w:t>，</w:t>
                  </w:r>
                  <w:r>
                    <w:rPr>
                      <w:rFonts w:ascii="Times New Roman" w:hAnsi="Times New Roman"/>
                      <w:color w:val="auto"/>
                      <w:sz w:val="21"/>
                      <w:szCs w:val="21"/>
                      <w:lang w:eastAsia="zh-CN"/>
                    </w:rPr>
                    <w:t>企业危险废物约3个月清理一次</w:t>
                  </w:r>
                  <w:r>
                    <w:rPr>
                      <w:rFonts w:hint="eastAsia" w:ascii="Times New Roman" w:hAnsi="Times New Roman"/>
                      <w:color w:val="auto"/>
                      <w:sz w:val="21"/>
                      <w:szCs w:val="21"/>
                      <w:lang w:eastAsia="zh-CN"/>
                    </w:rPr>
                    <w:t>。</w:t>
                  </w:r>
                </w:p>
              </w:tc>
              <w:tc>
                <w:tcPr>
                  <w:tcW w:w="240" w:type="dxa"/>
                  <w:tcBorders>
                    <w:tl2br w:val="nil"/>
                    <w:tr2bl w:val="nil"/>
                  </w:tcBorders>
                  <w:vAlign w:val="center"/>
                </w:tcPr>
                <w:p>
                  <w:pPr>
                    <w:jc w:val="center"/>
                    <w:rPr>
                      <w:color w:val="auto"/>
                      <w:szCs w:val="21"/>
                    </w:rPr>
                  </w:pPr>
                  <w:r>
                    <w:rPr>
                      <w:color w:val="auto"/>
                      <w:szCs w:val="21"/>
                    </w:rPr>
                    <w:t>相符</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2454" w:hRule="atLeast"/>
                <w:jc w:val="center"/>
              </w:trPr>
              <w:tc>
                <w:tcPr>
                  <w:tcW w:w="1279" w:type="dxa"/>
                  <w:vMerge w:val="continue"/>
                  <w:tcBorders>
                    <w:tl2br w:val="nil"/>
                    <w:tr2bl w:val="nil"/>
                  </w:tcBorders>
                  <w:vAlign w:val="center"/>
                </w:tcPr>
                <w:p>
                  <w:pPr>
                    <w:pStyle w:val="49"/>
                    <w:jc w:val="center"/>
                    <w:rPr>
                      <w:rFonts w:ascii="Times New Roman" w:hAnsi="Times New Roman"/>
                      <w:color w:val="auto"/>
                      <w:sz w:val="21"/>
                      <w:szCs w:val="21"/>
                    </w:rPr>
                  </w:pPr>
                </w:p>
              </w:tc>
              <w:tc>
                <w:tcPr>
                  <w:tcW w:w="3229" w:type="dxa"/>
                  <w:tcBorders>
                    <w:tl2br w:val="nil"/>
                    <w:tr2bl w:val="nil"/>
                  </w:tcBorders>
                  <w:vAlign w:val="center"/>
                </w:tcPr>
                <w:p>
                  <w:pPr>
                    <w:pStyle w:val="49"/>
                    <w:jc w:val="center"/>
                    <w:rPr>
                      <w:rFonts w:ascii="Times New Roman" w:hAnsi="Times New Roman"/>
                      <w:color w:val="auto"/>
                      <w:sz w:val="21"/>
                      <w:szCs w:val="21"/>
                      <w:lang w:eastAsia="zh-CN"/>
                    </w:rPr>
                  </w:pPr>
                  <w:r>
                    <w:rPr>
                      <w:rFonts w:ascii="Times New Roman" w:hAnsi="Times New Roman"/>
                      <w:color w:val="auto"/>
                      <w:sz w:val="21"/>
                      <w:szCs w:val="21"/>
                      <w:lang w:eastAsia="zh-CN"/>
                    </w:rPr>
                    <w:t>强化转移过程管理。全面落实危险废物转移电子联单制度，实行省内全域扫描“二维码”转移。加强与危险货物道路运输电子运单数据共享，实现运输轨迹可溯可查。产废单位须依法核实经营单位主体资格和技术能力，并直接签订利用处置合同，违法委托的，应当与造成环境污染和生态破坏的受托方承担连带责任；经营单位须按包装物扫码签收，签收人、车辆信息等须拍照上传至系统，严禁“空转”二维码。积极推行一般工业固体废物转移电子联单制度，优先选择环境风险较大的污泥、矿渣等试行</w:t>
                  </w:r>
                </w:p>
              </w:tc>
              <w:tc>
                <w:tcPr>
                  <w:tcW w:w="2871" w:type="dxa"/>
                  <w:tcBorders>
                    <w:tl2br w:val="nil"/>
                    <w:tr2bl w:val="nil"/>
                  </w:tcBorders>
                  <w:vAlign w:val="center"/>
                </w:tcPr>
                <w:p>
                  <w:pPr>
                    <w:pStyle w:val="49"/>
                    <w:jc w:val="center"/>
                    <w:rPr>
                      <w:rFonts w:ascii="Times New Roman" w:hAnsi="Times New Roman"/>
                      <w:color w:val="auto"/>
                      <w:kern w:val="2"/>
                      <w:sz w:val="21"/>
                      <w:szCs w:val="21"/>
                      <w:lang w:eastAsia="zh-CN"/>
                    </w:rPr>
                  </w:pPr>
                  <w:r>
                    <w:rPr>
                      <w:rFonts w:ascii="Times New Roman" w:hAnsi="Times New Roman"/>
                      <w:color w:val="auto"/>
                      <w:sz w:val="21"/>
                      <w:szCs w:val="21"/>
                      <w:lang w:eastAsia="zh-CN"/>
                    </w:rPr>
                    <w:t>建设单位危险废物产生、经营企业在省内转移时按要求选择有资质并能利用“江苏省固体废物管理信息系统”进行信息比对的危险货物道路运输企业承运危险废物</w:t>
                  </w:r>
                </w:p>
              </w:tc>
              <w:tc>
                <w:tcPr>
                  <w:tcW w:w="240" w:type="dxa"/>
                  <w:tcBorders>
                    <w:tl2br w:val="nil"/>
                    <w:tr2bl w:val="nil"/>
                  </w:tcBorders>
                  <w:vAlign w:val="center"/>
                </w:tcPr>
                <w:p>
                  <w:pPr>
                    <w:jc w:val="center"/>
                    <w:rPr>
                      <w:color w:val="auto"/>
                      <w:szCs w:val="21"/>
                    </w:rPr>
                  </w:pPr>
                  <w:r>
                    <w:rPr>
                      <w:color w:val="auto"/>
                      <w:szCs w:val="21"/>
                    </w:rPr>
                    <w:t>相符</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2454" w:hRule="atLeast"/>
                <w:jc w:val="center"/>
              </w:trPr>
              <w:tc>
                <w:tcPr>
                  <w:tcW w:w="1279" w:type="dxa"/>
                  <w:vMerge w:val="restart"/>
                  <w:tcBorders>
                    <w:tl2br w:val="nil"/>
                    <w:tr2bl w:val="nil"/>
                  </w:tcBorders>
                  <w:vAlign w:val="center"/>
                </w:tcPr>
                <w:p>
                  <w:pPr>
                    <w:pStyle w:val="49"/>
                    <w:jc w:val="center"/>
                    <w:rPr>
                      <w:rFonts w:ascii="Times New Roman" w:hAnsi="Times New Roman"/>
                      <w:color w:val="auto"/>
                      <w:sz w:val="21"/>
                      <w:szCs w:val="21"/>
                      <w:lang w:eastAsia="zh-CN"/>
                    </w:rPr>
                  </w:pPr>
                  <w:r>
                    <w:rPr>
                      <w:rFonts w:ascii="Times New Roman" w:hAnsi="Times New Roman"/>
                      <w:color w:val="auto"/>
                      <w:sz w:val="21"/>
                      <w:szCs w:val="21"/>
                      <w:lang w:eastAsia="zh-CN"/>
                    </w:rPr>
                    <w:t>《江苏省固体废物全过程环境监管工作意见》的通知(苏环办[2024]16号)</w:t>
                  </w:r>
                </w:p>
              </w:tc>
              <w:tc>
                <w:tcPr>
                  <w:tcW w:w="3229" w:type="dxa"/>
                  <w:tcBorders>
                    <w:tl2br w:val="nil"/>
                    <w:tr2bl w:val="nil"/>
                  </w:tcBorders>
                  <w:vAlign w:val="center"/>
                </w:tcPr>
                <w:p>
                  <w:pPr>
                    <w:pStyle w:val="49"/>
                    <w:jc w:val="center"/>
                    <w:rPr>
                      <w:rFonts w:ascii="Times New Roman" w:hAnsi="Times New Roman"/>
                      <w:color w:val="auto"/>
                      <w:sz w:val="21"/>
                      <w:szCs w:val="21"/>
                      <w:lang w:eastAsia="zh-CN"/>
                    </w:rPr>
                  </w:pPr>
                  <w:r>
                    <w:rPr>
                      <w:rFonts w:ascii="Times New Roman" w:hAnsi="Times New Roman"/>
                      <w:color w:val="auto"/>
                      <w:sz w:val="21"/>
                      <w:szCs w:val="21"/>
                      <w:lang w:eastAsia="zh-CN"/>
                    </w:rPr>
                    <w:t>建立健全管理台账。一般工业固体废物产生单位要严格根据环评文件等明确固体废物属性，做好不同属性固体废物分类管理。按照《固体废物污染环境防治法》《一般工业固体废物管理台账制定指南（试行）》的要求，建立健全全过程管理台账，如实记录一般工业固体废物种类、数量、流向、贮存、利用、处置等信息。推动产生单位简历电子台账，并直接与江苏省固体废物管理信息系统（以下简称固废系统）数据对接。</w:t>
                  </w:r>
                </w:p>
              </w:tc>
              <w:tc>
                <w:tcPr>
                  <w:tcW w:w="2871" w:type="dxa"/>
                  <w:tcBorders>
                    <w:tl2br w:val="nil"/>
                    <w:tr2bl w:val="nil"/>
                  </w:tcBorders>
                  <w:shd w:val="clear" w:color="auto" w:fill="auto"/>
                  <w:vAlign w:val="center"/>
                </w:tcPr>
                <w:p>
                  <w:pPr>
                    <w:adjustRightInd w:val="0"/>
                    <w:snapToGrid w:val="0"/>
                    <w:jc w:val="center"/>
                    <w:rPr>
                      <w:color w:val="auto"/>
                      <w:szCs w:val="21"/>
                    </w:rPr>
                  </w:pPr>
                  <w:r>
                    <w:rPr>
                      <w:color w:val="auto"/>
                      <w:szCs w:val="21"/>
                    </w:rPr>
                    <w:t>建设项目建成后将建立健全一般工业固体废物管理台账，按要求明确固体废物属性，如实记录一般工业固体废物种类、数量、流向、贮存、利用、处置等信息。</w:t>
                  </w:r>
                </w:p>
              </w:tc>
              <w:tc>
                <w:tcPr>
                  <w:tcW w:w="240" w:type="dxa"/>
                  <w:tcBorders>
                    <w:tl2br w:val="nil"/>
                    <w:tr2bl w:val="nil"/>
                  </w:tcBorders>
                  <w:vAlign w:val="center"/>
                </w:tcPr>
                <w:p>
                  <w:pPr>
                    <w:jc w:val="center"/>
                    <w:rPr>
                      <w:color w:val="auto"/>
                      <w:szCs w:val="21"/>
                    </w:rPr>
                  </w:pPr>
                  <w:r>
                    <w:rPr>
                      <w:color w:val="auto"/>
                      <w:szCs w:val="21"/>
                    </w:rPr>
                    <w:t>相符</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2454" w:hRule="atLeast"/>
                <w:jc w:val="center"/>
              </w:trPr>
              <w:tc>
                <w:tcPr>
                  <w:tcW w:w="1279" w:type="dxa"/>
                  <w:vMerge w:val="continue"/>
                  <w:tcBorders>
                    <w:tl2br w:val="nil"/>
                    <w:tr2bl w:val="nil"/>
                  </w:tcBorders>
                  <w:vAlign w:val="center"/>
                </w:tcPr>
                <w:p>
                  <w:pPr>
                    <w:pStyle w:val="49"/>
                    <w:jc w:val="center"/>
                    <w:rPr>
                      <w:rFonts w:ascii="Times New Roman" w:hAnsi="Times New Roman"/>
                      <w:color w:val="auto"/>
                      <w:sz w:val="21"/>
                      <w:szCs w:val="21"/>
                      <w:lang w:eastAsia="zh-CN"/>
                    </w:rPr>
                  </w:pPr>
                </w:p>
              </w:tc>
              <w:tc>
                <w:tcPr>
                  <w:tcW w:w="3229" w:type="dxa"/>
                  <w:tcBorders>
                    <w:tl2br w:val="nil"/>
                    <w:tr2bl w:val="nil"/>
                  </w:tcBorders>
                  <w:vAlign w:val="center"/>
                </w:tcPr>
                <w:p>
                  <w:pPr>
                    <w:pStyle w:val="49"/>
                    <w:jc w:val="center"/>
                    <w:rPr>
                      <w:rFonts w:ascii="Times New Roman" w:hAnsi="Times New Roman"/>
                      <w:color w:val="auto"/>
                      <w:sz w:val="21"/>
                      <w:szCs w:val="21"/>
                      <w:lang w:eastAsia="zh-CN"/>
                    </w:rPr>
                  </w:pPr>
                  <w:r>
                    <w:rPr>
                      <w:rFonts w:ascii="Times New Roman" w:hAnsi="Times New Roman"/>
                      <w:color w:val="auto"/>
                      <w:sz w:val="21"/>
                      <w:szCs w:val="21"/>
                      <w:lang w:eastAsia="zh-CN"/>
                    </w:rPr>
                    <w:t>完善贮存设施建设。一般工业固体废物产生、收集贮存、利用处置单位应建设满足防扬散、防流失、防渗漏或者其他防止污染环境措施要求的贮存设施，在显著位置设立符合《环境保护图形标志固体废物贮存(处置)场》(GB15562.2)要求的环境保护图形标志。</w:t>
                  </w:r>
                </w:p>
              </w:tc>
              <w:tc>
                <w:tcPr>
                  <w:tcW w:w="2871" w:type="dxa"/>
                  <w:tcBorders>
                    <w:tl2br w:val="nil"/>
                    <w:tr2bl w:val="nil"/>
                  </w:tcBorders>
                  <w:shd w:val="clear" w:color="auto" w:fill="auto"/>
                  <w:vAlign w:val="center"/>
                </w:tcPr>
                <w:p>
                  <w:pPr>
                    <w:adjustRightInd w:val="0"/>
                    <w:snapToGrid w:val="0"/>
                    <w:jc w:val="center"/>
                    <w:rPr>
                      <w:color w:val="auto"/>
                      <w:szCs w:val="21"/>
                    </w:rPr>
                  </w:pPr>
                  <w:r>
                    <w:rPr>
                      <w:color w:val="auto"/>
                      <w:szCs w:val="21"/>
                    </w:rPr>
                    <w:t>建设项目的一般工业固废暂存场所及生产车间拟按要求做好相应防渗漏、防雨淋、防扬尘等措施，严格按照《环境保护图形标志固体废物贮存(处置)场》(GB15562.2)要求，树立环境保护图形标志。</w:t>
                  </w:r>
                </w:p>
              </w:tc>
              <w:tc>
                <w:tcPr>
                  <w:tcW w:w="240" w:type="dxa"/>
                  <w:tcBorders>
                    <w:tl2br w:val="nil"/>
                    <w:tr2bl w:val="nil"/>
                  </w:tcBorders>
                  <w:vAlign w:val="center"/>
                </w:tcPr>
                <w:p>
                  <w:pPr>
                    <w:jc w:val="center"/>
                    <w:rPr>
                      <w:color w:val="auto"/>
                      <w:szCs w:val="21"/>
                    </w:rPr>
                  </w:pPr>
                  <w:r>
                    <w:rPr>
                      <w:color w:val="auto"/>
                      <w:szCs w:val="21"/>
                    </w:rPr>
                    <w:t>相符</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2454" w:hRule="atLeast"/>
                <w:jc w:val="center"/>
              </w:trPr>
              <w:tc>
                <w:tcPr>
                  <w:tcW w:w="1279" w:type="dxa"/>
                  <w:vMerge w:val="continue"/>
                  <w:tcBorders>
                    <w:tl2br w:val="nil"/>
                    <w:tr2bl w:val="nil"/>
                  </w:tcBorders>
                  <w:vAlign w:val="center"/>
                </w:tcPr>
                <w:p>
                  <w:pPr>
                    <w:pStyle w:val="49"/>
                    <w:jc w:val="center"/>
                    <w:rPr>
                      <w:rFonts w:ascii="Times New Roman" w:hAnsi="Times New Roman"/>
                      <w:color w:val="auto"/>
                      <w:sz w:val="21"/>
                      <w:szCs w:val="21"/>
                      <w:lang w:eastAsia="zh-CN"/>
                    </w:rPr>
                  </w:pPr>
                </w:p>
              </w:tc>
              <w:tc>
                <w:tcPr>
                  <w:tcW w:w="3229" w:type="dxa"/>
                  <w:tcBorders>
                    <w:tl2br w:val="nil"/>
                    <w:tr2bl w:val="nil"/>
                  </w:tcBorders>
                  <w:shd w:val="clear" w:color="auto" w:fill="auto"/>
                  <w:vAlign w:val="center"/>
                </w:tcPr>
                <w:p>
                  <w:pPr>
                    <w:pStyle w:val="49"/>
                    <w:jc w:val="center"/>
                    <w:rPr>
                      <w:rFonts w:ascii="Times New Roman" w:hAnsi="Times New Roman"/>
                      <w:color w:val="auto"/>
                      <w:sz w:val="21"/>
                      <w:szCs w:val="21"/>
                      <w:lang w:eastAsia="zh-CN"/>
                    </w:rPr>
                  </w:pPr>
                  <w:r>
                    <w:rPr>
                      <w:rFonts w:ascii="Times New Roman" w:hAnsi="Times New Roman"/>
                      <w:color w:val="auto"/>
                      <w:sz w:val="21"/>
                      <w:szCs w:val="21"/>
                      <w:lang w:eastAsia="zh-CN"/>
                    </w:rPr>
                    <w:t>落实转运转移制度。产生单位委托运输、利用、处置一般工业固体废物的，要对受托方的主体资格和技术能力进行核实，依法签订书面合同，在合同中约定污染防治要求，并跟踪最终利用处置去向，严禁委托给无利用处置能力的单位和个人，收集单位应落实并跟踪最终利用处置去向。省内转移污泥要严格执行电子转运联单制度，转移其他一般工业固体废物的逐步执行。原则上污泥以设区市为范围就近利用处置。跨省转移贮存、处置一般工业固体废物的，严格执行审批程序。跨省转出利用一般工业固体废物的，执行备案流程，严禁未备先转。接受跨省移入利用一般工业固体废物的单位，应在接受前向属地生态环境部门提供种类、数量、贮存、利用处置等有关资料，防范污染二次转移。对接受的一般工业固体废物与合同约定内容不相符的，应予退回，同时向属地生态环境部门报告。</w:t>
                  </w:r>
                </w:p>
              </w:tc>
              <w:tc>
                <w:tcPr>
                  <w:tcW w:w="2871" w:type="dxa"/>
                  <w:tcBorders>
                    <w:tl2br w:val="nil"/>
                    <w:tr2bl w:val="nil"/>
                  </w:tcBorders>
                  <w:shd w:val="clear" w:color="auto" w:fill="auto"/>
                  <w:vAlign w:val="center"/>
                </w:tcPr>
                <w:p>
                  <w:pPr>
                    <w:adjustRightInd w:val="0"/>
                    <w:snapToGrid w:val="0"/>
                    <w:jc w:val="center"/>
                    <w:rPr>
                      <w:color w:val="auto"/>
                      <w:szCs w:val="21"/>
                    </w:rPr>
                  </w:pPr>
                  <w:r>
                    <w:rPr>
                      <w:color w:val="auto"/>
                      <w:szCs w:val="21"/>
                    </w:rPr>
                    <w:t>建设项目与处置单位签订书面合同，对于与合同约定内容不相符的，将予退回，同时向属地生态环境部门报告。</w:t>
                  </w:r>
                </w:p>
              </w:tc>
              <w:tc>
                <w:tcPr>
                  <w:tcW w:w="240" w:type="dxa"/>
                  <w:tcBorders>
                    <w:tl2br w:val="nil"/>
                    <w:tr2bl w:val="nil"/>
                  </w:tcBorders>
                  <w:vAlign w:val="center"/>
                </w:tcPr>
                <w:p>
                  <w:pPr>
                    <w:jc w:val="center"/>
                    <w:rPr>
                      <w:color w:val="auto"/>
                      <w:szCs w:val="21"/>
                    </w:rPr>
                  </w:pPr>
                  <w:r>
                    <w:rPr>
                      <w:color w:val="auto"/>
                      <w:szCs w:val="21"/>
                    </w:rPr>
                    <w:t>相符</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2454" w:hRule="atLeast"/>
                <w:jc w:val="center"/>
              </w:trPr>
              <w:tc>
                <w:tcPr>
                  <w:tcW w:w="1279" w:type="dxa"/>
                  <w:vMerge w:val="continue"/>
                  <w:tcBorders>
                    <w:tl2br w:val="nil"/>
                    <w:tr2bl w:val="nil"/>
                  </w:tcBorders>
                  <w:vAlign w:val="center"/>
                </w:tcPr>
                <w:p>
                  <w:pPr>
                    <w:pStyle w:val="49"/>
                    <w:jc w:val="center"/>
                    <w:rPr>
                      <w:rFonts w:ascii="Times New Roman" w:hAnsi="Times New Roman"/>
                      <w:color w:val="auto"/>
                      <w:sz w:val="21"/>
                      <w:szCs w:val="21"/>
                      <w:lang w:eastAsia="zh-CN"/>
                    </w:rPr>
                  </w:pPr>
                </w:p>
              </w:tc>
              <w:tc>
                <w:tcPr>
                  <w:tcW w:w="3229" w:type="dxa"/>
                  <w:tcBorders>
                    <w:tl2br w:val="nil"/>
                    <w:tr2bl w:val="nil"/>
                  </w:tcBorders>
                  <w:shd w:val="clear" w:color="auto" w:fill="auto"/>
                  <w:vAlign w:val="center"/>
                </w:tcPr>
                <w:p>
                  <w:pPr>
                    <w:pStyle w:val="49"/>
                    <w:jc w:val="center"/>
                    <w:rPr>
                      <w:rFonts w:ascii="Times New Roman" w:hAnsi="Times New Roman"/>
                      <w:color w:val="auto"/>
                      <w:sz w:val="21"/>
                      <w:szCs w:val="21"/>
                      <w:lang w:eastAsia="zh-CN"/>
                    </w:rPr>
                  </w:pPr>
                  <w:r>
                    <w:rPr>
                      <w:rFonts w:ascii="Times New Roman" w:hAnsi="Times New Roman"/>
                      <w:color w:val="auto"/>
                      <w:sz w:val="21"/>
                      <w:szCs w:val="21"/>
                      <w:lang w:eastAsia="zh-CN"/>
                    </w:rPr>
                    <w:t>全面开展信息申报。排污许可中涉及一般工业固体废物的单位均应进入固废系统申报，污染源“一企一档”管理系统(企业“环保脸谱”)自动向相关单位及其属地生态环境部门推送提醒申报信息。无排污许可证或排污许可证未涉及固体废物，但实际涉及一般工业固体废物的，也可通过固废系统进行申报(一般工业固体废物产生单位操作说明详见附件1)。固废系统内单位分为产生单位和收集贮存利用处置单位。产生固体废物(次生固体废物除外)的单位属于产生单位，如还涉及收集、贮存、利用、处置活动的，可在业务下同时选择产生固体废物和收集、贮存、利用、处置固体废物。收集贮存利用处置单位不涉及固体废物产生(次生固体废物除外)。一般工业固体废物产生单位根据年产废量大于100吨(含100吨)、小于100吨且大于10吨(含10吨)、小于10吨分别按月度、季度和年度申报，涉及一般工业污泥产生的单位按月度申报。一般工业固体废物收集贮存利用处置单位按月度申报，涉及一般污泥收集贮存利用处置的单位按日申报。原通过江苏省危险废物动态管理系统申报的一般污泥产生和利用处置单位，要按固废系统要求继续申报，补充完善基本信息和一般污泥代码(详见附件2)。对未按要求申报的，固废系统自动限制电子转运联单功能。</w:t>
                  </w:r>
                </w:p>
              </w:tc>
              <w:tc>
                <w:tcPr>
                  <w:tcW w:w="2871" w:type="dxa"/>
                  <w:tcBorders>
                    <w:tl2br w:val="nil"/>
                    <w:tr2bl w:val="nil"/>
                  </w:tcBorders>
                  <w:shd w:val="clear" w:color="auto" w:fill="auto"/>
                  <w:vAlign w:val="center"/>
                </w:tcPr>
                <w:p>
                  <w:pPr>
                    <w:adjustRightInd w:val="0"/>
                    <w:snapToGrid w:val="0"/>
                    <w:jc w:val="center"/>
                    <w:rPr>
                      <w:color w:val="auto"/>
                      <w:szCs w:val="21"/>
                    </w:rPr>
                  </w:pPr>
                  <w:r>
                    <w:rPr>
                      <w:color w:val="auto"/>
                      <w:szCs w:val="21"/>
                    </w:rPr>
                    <w:t>建设项目将严格按照要求如实申报“一企一档”管理系统(企业“环保脸谱”)信息。</w:t>
                  </w:r>
                </w:p>
              </w:tc>
              <w:tc>
                <w:tcPr>
                  <w:tcW w:w="240" w:type="dxa"/>
                  <w:tcBorders>
                    <w:tl2br w:val="nil"/>
                    <w:tr2bl w:val="nil"/>
                  </w:tcBorders>
                  <w:vAlign w:val="center"/>
                </w:tcPr>
                <w:p>
                  <w:pPr>
                    <w:jc w:val="center"/>
                    <w:rPr>
                      <w:color w:val="auto"/>
                      <w:szCs w:val="21"/>
                    </w:rPr>
                  </w:pPr>
                  <w:r>
                    <w:rPr>
                      <w:color w:val="auto"/>
                      <w:szCs w:val="21"/>
                    </w:rPr>
                    <w:t>相符</w:t>
                  </w:r>
                </w:p>
              </w:tc>
            </w:tr>
          </w:tbl>
          <w:p>
            <w:pPr>
              <w:widowControl/>
              <w:adjustRightInd w:val="0"/>
              <w:snapToGrid w:val="0"/>
              <w:spacing w:line="360" w:lineRule="auto"/>
              <w:ind w:firstLine="480" w:firstLineChars="200"/>
              <w:rPr>
                <w:rFonts w:hint="eastAsia" w:hAnsiTheme="minorEastAsia" w:eastAsiaTheme="minorEastAsia"/>
                <w:color w:val="auto"/>
                <w:sz w:val="24"/>
              </w:rPr>
            </w:pPr>
            <w:r>
              <w:rPr>
                <w:rFonts w:hAnsiTheme="minorEastAsia" w:eastAsiaTheme="minorEastAsia"/>
                <w:color w:val="auto"/>
                <w:sz w:val="24"/>
              </w:rPr>
              <w:t>根据上表分析可知，</w:t>
            </w:r>
            <w:r>
              <w:rPr>
                <w:rFonts w:hint="eastAsia" w:hAnsiTheme="minorEastAsia" w:eastAsiaTheme="minorEastAsia"/>
                <w:color w:val="auto"/>
                <w:sz w:val="24"/>
              </w:rPr>
              <w:t>建设项目</w:t>
            </w:r>
            <w:r>
              <w:rPr>
                <w:rFonts w:hAnsiTheme="minorEastAsia" w:eastAsiaTheme="minorEastAsia"/>
                <w:color w:val="auto"/>
                <w:sz w:val="24"/>
              </w:rPr>
              <w:t>与对照苏环办[2023]154号省生态环境厅关于做好《危险废物贮存污染控制标准》等标准规范实施后危险废物环境管理衔接工作的通知</w:t>
            </w:r>
            <w:r>
              <w:rPr>
                <w:rFonts w:hint="eastAsia" w:hAnsiTheme="minorEastAsia" w:eastAsiaTheme="minorEastAsia"/>
                <w:color w:val="auto"/>
                <w:sz w:val="24"/>
              </w:rPr>
              <w:t>，</w:t>
            </w:r>
            <w:r>
              <w:rPr>
                <w:rFonts w:hAnsiTheme="minorEastAsia" w:eastAsiaTheme="minorEastAsia"/>
                <w:color w:val="auto"/>
                <w:sz w:val="24"/>
              </w:rPr>
              <w:t>省生态环境厅关于印发《江苏省固体废物全过程环境监管工作意见》的通知苏环办[2024]16号文</w:t>
            </w:r>
            <w:r>
              <w:rPr>
                <w:rFonts w:hint="eastAsia" w:hAnsiTheme="minorEastAsia" w:eastAsiaTheme="minorEastAsia"/>
                <w:color w:val="auto"/>
                <w:sz w:val="24"/>
              </w:rPr>
              <w:t>，</w:t>
            </w:r>
            <w:r>
              <w:rPr>
                <w:rFonts w:hAnsiTheme="minorEastAsia" w:eastAsiaTheme="minorEastAsia"/>
                <w:color w:val="auto"/>
                <w:sz w:val="24"/>
              </w:rPr>
              <w:t>《江苏省固体废物全过程环境监管工作意见》的通知(苏环办[2024]16号)</w:t>
            </w:r>
            <w:r>
              <w:rPr>
                <w:rFonts w:hint="eastAsia" w:hAnsiTheme="minorEastAsia" w:eastAsiaTheme="minorEastAsia"/>
                <w:color w:val="auto"/>
                <w:sz w:val="24"/>
              </w:rPr>
              <w:t>文件</w:t>
            </w:r>
            <w:r>
              <w:rPr>
                <w:rFonts w:hAnsiTheme="minorEastAsia" w:eastAsiaTheme="minorEastAsia"/>
                <w:color w:val="auto"/>
                <w:sz w:val="24"/>
              </w:rPr>
              <w:t>相关环保法规、指南中的相关要求是相符的</w:t>
            </w:r>
            <w:r>
              <w:rPr>
                <w:rFonts w:hint="eastAsia" w:hAnsiTheme="minorEastAsia" w:eastAsiaTheme="minorEastAsia"/>
                <w:color w:val="auto"/>
                <w:sz w:val="24"/>
              </w:rPr>
              <w:t>。</w:t>
            </w:r>
          </w:p>
          <w:p>
            <w:pPr>
              <w:tabs>
                <w:tab w:val="left" w:pos="720"/>
              </w:tabs>
              <w:adjustRightInd w:val="0"/>
              <w:snapToGrid w:val="0"/>
              <w:spacing w:line="360" w:lineRule="auto"/>
              <w:ind w:firstLine="480" w:firstLineChars="200"/>
              <w:rPr>
                <w:color w:val="auto"/>
                <w:sz w:val="24"/>
              </w:rPr>
            </w:pPr>
            <w:r>
              <w:rPr>
                <w:color w:val="auto"/>
                <w:sz w:val="24"/>
              </w:rPr>
              <w:t>综上所述，本项目符合当地流域政策、环保政策、行业政策。</w:t>
            </w:r>
          </w:p>
          <w:bookmarkEnd w:id="2"/>
          <w:p>
            <w:pPr>
              <w:pStyle w:val="16"/>
              <w:ind w:left="0" w:leftChars="0" w:firstLine="0" w:firstLineChars="0"/>
              <w:rPr>
                <w:color w:val="auto"/>
              </w:rPr>
            </w:pPr>
          </w:p>
        </w:tc>
      </w:tr>
    </w:tbl>
    <w:p>
      <w:pPr>
        <w:jc w:val="center"/>
        <w:rPr>
          <w:rFonts w:hint="eastAsia"/>
          <w:b/>
          <w:bCs/>
          <w:snapToGrid w:val="0"/>
          <w:color w:val="auto"/>
          <w:sz w:val="30"/>
          <w:szCs w:val="30"/>
        </w:rPr>
      </w:pPr>
      <w:r>
        <w:rPr>
          <w:b/>
          <w:bCs/>
          <w:snapToGrid w:val="0"/>
          <w:color w:val="auto"/>
          <w:sz w:val="30"/>
          <w:szCs w:val="30"/>
        </w:rPr>
        <w:br w:type="page"/>
      </w:r>
      <w:r>
        <w:rPr>
          <w:rFonts w:hint="eastAsia"/>
          <w:b/>
          <w:bCs/>
          <w:snapToGrid w:val="0"/>
          <w:color w:val="auto"/>
          <w:sz w:val="30"/>
          <w:szCs w:val="30"/>
        </w:rPr>
        <w:t>二、建设项目工程分析</w:t>
      </w:r>
    </w:p>
    <w:tbl>
      <w:tblPr>
        <w:tblStyle w:val="20"/>
        <w:tblpPr w:leftFromText="180" w:rightFromText="180" w:vertAnchor="text" w:tblpXSpec="center" w:tblpY="1"/>
        <w:tblOverlap w:val="never"/>
        <w:tblW w:w="9135"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453"/>
        <w:gridCol w:w="107"/>
        <w:gridCol w:w="940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666" w:hRule="atLeast"/>
        </w:trPr>
        <w:tc>
          <w:tcPr>
            <w:tcW w:w="604" w:type="dxa"/>
            <w:vAlign w:val="center"/>
          </w:tcPr>
          <w:p>
            <w:pPr>
              <w:pStyle w:val="13"/>
              <w:wordWrap w:val="0"/>
              <w:adjustRightInd w:val="0"/>
              <w:snapToGrid w:val="0"/>
              <w:spacing w:before="0" w:beforeAutospacing="0" w:after="0" w:afterAutospacing="0"/>
              <w:jc w:val="center"/>
              <w:rPr>
                <w:rFonts w:ascii="Times New Roman" w:hAnsi="Times New Roman"/>
                <w:color w:val="auto"/>
                <w:sz w:val="21"/>
                <w:szCs w:val="21"/>
              </w:rPr>
            </w:pPr>
            <w:r>
              <w:rPr>
                <w:rFonts w:ascii="Times New Roman" w:hAnsi="Times New Roman"/>
                <w:b/>
                <w:bCs/>
                <w:color w:val="auto"/>
                <w:szCs w:val="24"/>
              </w:rPr>
              <w:t>建设内容</w:t>
            </w:r>
          </w:p>
        </w:tc>
        <w:tc>
          <w:tcPr>
            <w:tcW w:w="8346" w:type="dxa"/>
            <w:gridSpan w:val="2"/>
          </w:tcPr>
          <w:p>
            <w:pPr>
              <w:wordWrap w:val="0"/>
              <w:autoSpaceDE w:val="0"/>
              <w:autoSpaceDN w:val="0"/>
              <w:adjustRightInd w:val="0"/>
              <w:snapToGrid w:val="0"/>
              <w:spacing w:line="360" w:lineRule="auto"/>
              <w:ind w:firstLine="482" w:firstLineChars="200"/>
              <w:rPr>
                <w:b/>
                <w:bCs/>
                <w:color w:val="auto"/>
                <w:kern w:val="44"/>
                <w:sz w:val="24"/>
                <w:szCs w:val="22"/>
                <w:lang w:val="zh-CN"/>
              </w:rPr>
            </w:pPr>
            <w:r>
              <w:rPr>
                <w:b/>
                <w:bCs/>
                <w:color w:val="auto"/>
                <w:kern w:val="44"/>
                <w:sz w:val="24"/>
                <w:szCs w:val="22"/>
              </w:rPr>
              <w:t>1、</w:t>
            </w:r>
            <w:r>
              <w:rPr>
                <w:b/>
                <w:bCs/>
                <w:color w:val="auto"/>
                <w:kern w:val="44"/>
                <w:sz w:val="24"/>
                <w:szCs w:val="22"/>
                <w:lang w:val="zh-CN"/>
              </w:rPr>
              <w:t>项目由来</w:t>
            </w:r>
          </w:p>
          <w:p>
            <w:pPr>
              <w:wordWrap w:val="0"/>
              <w:spacing w:line="360" w:lineRule="auto"/>
              <w:ind w:firstLine="480" w:firstLineChars="200"/>
              <w:rPr>
                <w:color w:val="auto"/>
                <w:sz w:val="24"/>
              </w:rPr>
            </w:pPr>
            <w:bookmarkStart w:id="5" w:name="OLE_LINK26"/>
            <w:bookmarkStart w:id="6" w:name="OLE_LINK25"/>
            <w:bookmarkStart w:id="7" w:name="OLE_LINK28"/>
            <w:r>
              <w:rPr>
                <w:color w:val="auto"/>
                <w:sz w:val="24"/>
              </w:rPr>
              <w:t>淮安嘉帅重工科技有限公司成立于2024年5月21日，</w:t>
            </w:r>
            <w:r>
              <w:rPr>
                <w:color w:val="auto"/>
                <w:kern w:val="0"/>
                <w:sz w:val="24"/>
              </w:rPr>
              <w:t>项目位于淮安市淮阴区淮阴区古清口街道农科村淮三路168号，项目用地性质为工业用地，</w:t>
            </w:r>
            <w:r>
              <w:rPr>
                <w:color w:val="auto"/>
                <w:sz w:val="24"/>
              </w:rPr>
              <w:t>主要从事钢结构</w:t>
            </w:r>
            <w:r>
              <w:rPr>
                <w:rFonts w:hint="eastAsia"/>
                <w:color w:val="auto"/>
                <w:sz w:val="24"/>
              </w:rPr>
              <w:t>制造</w:t>
            </w:r>
            <w:r>
              <w:rPr>
                <w:color w:val="auto"/>
                <w:sz w:val="24"/>
              </w:rPr>
              <w:t>。根据现场勘察，项目所在地目前为空地，尚未建设。</w:t>
            </w:r>
          </w:p>
          <w:p>
            <w:pPr>
              <w:wordWrap w:val="0"/>
              <w:spacing w:line="360" w:lineRule="auto"/>
              <w:ind w:firstLine="480" w:firstLineChars="200"/>
              <w:rPr>
                <w:color w:val="auto"/>
                <w:sz w:val="24"/>
              </w:rPr>
            </w:pPr>
            <w:r>
              <w:rPr>
                <w:color w:val="auto"/>
                <w:sz w:val="24"/>
              </w:rPr>
              <w:t>本项目占地面积约为26666.7平方米，购置组立机、数控平面钻床、下料机、切割机、焊接机等生产及辅助设备，项目建成后，形成年产2万吨钢结构的生产规模。</w:t>
            </w:r>
          </w:p>
          <w:p>
            <w:pPr>
              <w:wordWrap w:val="0"/>
              <w:spacing w:line="360" w:lineRule="auto"/>
              <w:ind w:firstLine="480" w:firstLineChars="200"/>
              <w:rPr>
                <w:color w:val="auto"/>
                <w:sz w:val="24"/>
              </w:rPr>
            </w:pPr>
            <w:r>
              <w:rPr>
                <w:color w:val="auto"/>
                <w:sz w:val="24"/>
              </w:rPr>
              <w:t>公司于2024年5月办理了新建项目“淮安嘉帅重工科技有限公司年产2万吨钢结构项目”备案申请，于2024年5月30日通过淮安市淮阴区行政审批局的审批，备案证号：淮阴区审批投资备〔2024〕335号，项目代码为2405-320804-89-01-221335。根据《国民经济行业分类》（GB/T 4754-2017）</w:t>
            </w:r>
            <w:r>
              <w:rPr>
                <w:rFonts w:hAnsiTheme="minorEastAsia" w:eastAsiaTheme="minorEastAsia"/>
                <w:b w:val="0"/>
                <w:bCs w:val="0"/>
                <w:color w:val="auto"/>
                <w:kern w:val="0"/>
                <w:sz w:val="24"/>
              </w:rPr>
              <w:t>及第</w:t>
            </w:r>
            <w:r>
              <w:rPr>
                <w:rFonts w:eastAsiaTheme="minorEastAsia"/>
                <w:b w:val="0"/>
                <w:bCs w:val="0"/>
                <w:color w:val="auto"/>
                <w:kern w:val="0"/>
                <w:sz w:val="24"/>
              </w:rPr>
              <w:t>1</w:t>
            </w:r>
            <w:r>
              <w:rPr>
                <w:rFonts w:hAnsiTheme="minorEastAsia" w:eastAsiaTheme="minorEastAsia"/>
                <w:b w:val="0"/>
                <w:bCs w:val="0"/>
                <w:color w:val="auto"/>
                <w:kern w:val="0"/>
                <w:sz w:val="24"/>
              </w:rPr>
              <w:t>号修改单</w:t>
            </w:r>
            <w:r>
              <w:rPr>
                <w:color w:val="auto"/>
                <w:sz w:val="24"/>
              </w:rPr>
              <w:t>，本项目属于“C3311 金属结构制造”。</w:t>
            </w:r>
          </w:p>
          <w:bookmarkEnd w:id="5"/>
          <w:bookmarkEnd w:id="6"/>
          <w:bookmarkEnd w:id="7"/>
          <w:p>
            <w:pPr>
              <w:wordWrap w:val="0"/>
              <w:spacing w:line="360" w:lineRule="auto"/>
              <w:ind w:firstLine="480" w:firstLineChars="200"/>
              <w:rPr>
                <w:color w:val="auto"/>
                <w:sz w:val="24"/>
              </w:rPr>
            </w:pPr>
            <w:bookmarkStart w:id="8" w:name="_Hlk66384427"/>
            <w:r>
              <w:rPr>
                <w:color w:val="auto"/>
                <w:sz w:val="24"/>
              </w:rPr>
              <w:t>根据《中华人民共和国环境保护法》、《中华人民共和国环境影响评价法》、《建设项目环境保护管理条例》等法律法规的规定，</w:t>
            </w:r>
            <w:r>
              <w:rPr>
                <w:color w:val="auto"/>
                <w:sz w:val="24"/>
                <w:lang w:val="zh-CN"/>
              </w:rPr>
              <w:t>对照《建设项目环境响评价分类管理名录（</w:t>
            </w:r>
            <w:r>
              <w:rPr>
                <w:color w:val="auto"/>
                <w:sz w:val="24"/>
              </w:rPr>
              <w:t>2021年版</w:t>
            </w:r>
            <w:r>
              <w:rPr>
                <w:color w:val="auto"/>
                <w:sz w:val="24"/>
                <w:lang w:val="zh-CN"/>
              </w:rPr>
              <w:t>）》，项目</w:t>
            </w:r>
            <w:r>
              <w:rPr>
                <w:color w:val="auto"/>
                <w:sz w:val="24"/>
              </w:rPr>
              <w:t>属于“三十、金属制品业33 结构性金属制品制造 331中的“其他(仅分割、焊接、组装的除外：年用非溶剂型低VOCs含量涂料10吨以下的除外)”，按照要求应编制环境影响报告表。</w:t>
            </w:r>
          </w:p>
          <w:p>
            <w:pPr>
              <w:pStyle w:val="17"/>
              <w:spacing w:line="360" w:lineRule="auto"/>
              <w:ind w:firstLine="422"/>
              <w:jc w:val="center"/>
              <w:rPr>
                <w:rFonts w:ascii="Times New Roman" w:cs="Times New Roman"/>
                <w:color w:val="auto"/>
                <w:sz w:val="21"/>
                <w:szCs w:val="21"/>
              </w:rPr>
            </w:pPr>
            <w:r>
              <w:rPr>
                <w:rFonts w:ascii="Times New Roman" w:cs="Times New Roman"/>
                <w:color w:val="auto"/>
                <w:sz w:val="21"/>
                <w:szCs w:val="21"/>
              </w:rPr>
              <w:t>表</w:t>
            </w:r>
            <w:r>
              <w:rPr>
                <w:rFonts w:hint="eastAsia" w:ascii="Times New Roman" w:cs="Times New Roman"/>
                <w:color w:val="auto"/>
                <w:sz w:val="21"/>
                <w:szCs w:val="21"/>
              </w:rPr>
              <w:t>2.1-1</w:t>
            </w:r>
            <w:r>
              <w:rPr>
                <w:rFonts w:ascii="Times New Roman" w:cs="Times New Roman"/>
                <w:color w:val="auto"/>
                <w:sz w:val="21"/>
                <w:szCs w:val="21"/>
              </w:rPr>
              <w:t xml:space="preserve"> 环评类别判定表</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
              <w:gridCol w:w="2521"/>
              <w:gridCol w:w="1624"/>
              <w:gridCol w:w="2321"/>
              <w:gridCol w:w="2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3" w:type="pct"/>
                  <w:gridSpan w:val="2"/>
                  <w:vAlign w:val="center"/>
                </w:tcPr>
                <w:p>
                  <w:pPr>
                    <w:wordWrap w:val="0"/>
                    <w:autoSpaceDE w:val="0"/>
                    <w:autoSpaceDN w:val="0"/>
                    <w:adjustRightInd w:val="0"/>
                    <w:snapToGrid w:val="0"/>
                    <w:jc w:val="center"/>
                    <w:rPr>
                      <w:b/>
                      <w:bCs/>
                      <w:color w:val="auto"/>
                      <w:kern w:val="44"/>
                      <w:szCs w:val="21"/>
                    </w:rPr>
                  </w:pPr>
                  <w:r>
                    <w:rPr>
                      <w:b/>
                      <w:bCs/>
                      <w:color w:val="auto"/>
                      <w:szCs w:val="21"/>
                    </w:rPr>
                    <mc:AlternateContent>
                      <mc:Choice Requires="wps">
                        <w:drawing>
                          <wp:anchor distT="0" distB="0" distL="114300" distR="114300" simplePos="0" relativeHeight="251661312" behindDoc="0" locked="0" layoutInCell="1" allowOverlap="1">
                            <wp:simplePos x="0" y="0"/>
                            <wp:positionH relativeFrom="column">
                              <wp:posOffset>-76835</wp:posOffset>
                            </wp:positionH>
                            <wp:positionV relativeFrom="paragraph">
                              <wp:posOffset>29845</wp:posOffset>
                            </wp:positionV>
                            <wp:extent cx="1702435" cy="464820"/>
                            <wp:effectExtent l="1905" t="6350" r="10160" b="24130"/>
                            <wp:wrapNone/>
                            <wp:docPr id="20" name="直接连接符 20"/>
                            <wp:cNvGraphicFramePr/>
                            <a:graphic xmlns:a="http://schemas.openxmlformats.org/drawingml/2006/main">
                              <a:graphicData uri="http://schemas.microsoft.com/office/word/2010/wordprocessingShape">
                                <wps:wsp>
                                  <wps:cNvCnPr/>
                                  <wps:spPr>
                                    <a:xfrm>
                                      <a:off x="1295400" y="6577965"/>
                                      <a:ext cx="1702435" cy="46482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6.05pt;margin-top:2.35pt;height:36.6pt;width:134.05pt;z-index:251661312;mso-width-relative:page;mso-height-relative:page;" filled="f" stroked="t" coordsize="21600,21600" o:gfxdata="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KSdJ69kAAAAIAQAADwAAAAAAAAABACAAAAAiAAAAZHJzL2Rvd25yZXYueG1sUEsB&#10;AhQAFAAAAAgAh07iQG7Q7b70AQAAxQMAAA4AAAAAAAAAAQAgAAAAKAEAAGRycy9lMm9Eb2MueG1s&#10;UEsFBgAAAAAGAAYAWQEAAI4FAAAAAA==&#10;">
                            <v:fill on="f" focussize="0,0"/>
                            <v:stroke weight="1pt" color="#000000 [3213]" miterlimit="8" joinstyle="miter"/>
                            <v:imagedata o:title=""/>
                            <o:lock v:ext="edit" aspectratio="f"/>
                          </v:line>
                        </w:pict>
                      </mc:Fallback>
                    </mc:AlternateContent>
                  </w:r>
                  <w:r>
                    <w:rPr>
                      <w:b/>
                      <w:bCs/>
                      <w:color w:val="auto"/>
                      <w:kern w:val="44"/>
                      <w:szCs w:val="21"/>
                    </w:rPr>
                    <w:t xml:space="preserve">     环评类别</w:t>
                  </w:r>
                </w:p>
                <w:p>
                  <w:pPr>
                    <w:pStyle w:val="17"/>
                    <w:ind w:firstLine="0" w:firstLineChars="0"/>
                    <w:rPr>
                      <w:rFonts w:ascii="Times New Roman" w:cs="Times New Roman"/>
                      <w:bCs/>
                      <w:color w:val="auto"/>
                      <w:sz w:val="21"/>
                      <w:szCs w:val="21"/>
                    </w:rPr>
                  </w:pPr>
                  <w:r>
                    <w:rPr>
                      <w:rFonts w:ascii="Times New Roman" w:cs="Times New Roman"/>
                      <w:bCs/>
                      <w:color w:val="auto"/>
                      <w:kern w:val="44"/>
                      <w:sz w:val="21"/>
                      <w:szCs w:val="21"/>
                    </w:rPr>
                    <w:t>项目类别</w:t>
                  </w:r>
                </w:p>
              </w:tc>
              <w:tc>
                <w:tcPr>
                  <w:tcW w:w="875" w:type="pct"/>
                  <w:vAlign w:val="center"/>
                </w:tcPr>
                <w:p>
                  <w:pPr>
                    <w:wordWrap w:val="0"/>
                    <w:autoSpaceDE w:val="0"/>
                    <w:autoSpaceDN w:val="0"/>
                    <w:adjustRightInd w:val="0"/>
                    <w:snapToGrid w:val="0"/>
                    <w:jc w:val="center"/>
                    <w:rPr>
                      <w:b/>
                      <w:bCs/>
                      <w:color w:val="auto"/>
                      <w:kern w:val="44"/>
                      <w:szCs w:val="21"/>
                    </w:rPr>
                  </w:pPr>
                  <w:r>
                    <w:rPr>
                      <w:b/>
                      <w:bCs/>
                      <w:color w:val="auto"/>
                      <w:kern w:val="44"/>
                      <w:szCs w:val="21"/>
                    </w:rPr>
                    <w:t>报告书</w:t>
                  </w:r>
                </w:p>
              </w:tc>
              <w:tc>
                <w:tcPr>
                  <w:tcW w:w="1250" w:type="pct"/>
                  <w:vAlign w:val="center"/>
                </w:tcPr>
                <w:p>
                  <w:pPr>
                    <w:wordWrap w:val="0"/>
                    <w:autoSpaceDE w:val="0"/>
                    <w:autoSpaceDN w:val="0"/>
                    <w:adjustRightInd w:val="0"/>
                    <w:snapToGrid w:val="0"/>
                    <w:jc w:val="center"/>
                    <w:rPr>
                      <w:b/>
                      <w:bCs/>
                      <w:color w:val="auto"/>
                      <w:kern w:val="44"/>
                      <w:szCs w:val="21"/>
                    </w:rPr>
                  </w:pPr>
                  <w:r>
                    <w:rPr>
                      <w:b/>
                      <w:bCs/>
                      <w:color w:val="auto"/>
                      <w:kern w:val="44"/>
                      <w:szCs w:val="21"/>
                    </w:rPr>
                    <w:t>报告表</w:t>
                  </w:r>
                </w:p>
              </w:tc>
              <w:tc>
                <w:tcPr>
                  <w:tcW w:w="1251" w:type="pct"/>
                  <w:vAlign w:val="center"/>
                </w:tcPr>
                <w:p>
                  <w:pPr>
                    <w:wordWrap w:val="0"/>
                    <w:autoSpaceDE w:val="0"/>
                    <w:autoSpaceDN w:val="0"/>
                    <w:adjustRightInd w:val="0"/>
                    <w:snapToGrid w:val="0"/>
                    <w:jc w:val="center"/>
                    <w:rPr>
                      <w:b/>
                      <w:bCs/>
                      <w:color w:val="auto"/>
                      <w:kern w:val="44"/>
                      <w:szCs w:val="21"/>
                    </w:rPr>
                  </w:pPr>
                  <w:r>
                    <w:rPr>
                      <w:b/>
                      <w:bCs/>
                      <w:color w:val="auto"/>
                      <w:kern w:val="44"/>
                      <w:szCs w:val="21"/>
                    </w:rPr>
                    <w:t>登记表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vAlign w:val="center"/>
                </w:tcPr>
                <w:p>
                  <w:pPr>
                    <w:wordWrap w:val="0"/>
                    <w:autoSpaceDE w:val="0"/>
                    <w:autoSpaceDN w:val="0"/>
                    <w:adjustRightInd w:val="0"/>
                    <w:snapToGrid w:val="0"/>
                    <w:rPr>
                      <w:color w:val="auto"/>
                      <w:kern w:val="44"/>
                      <w:szCs w:val="21"/>
                    </w:rPr>
                  </w:pPr>
                  <w:r>
                    <w:rPr>
                      <w:color w:val="auto"/>
                      <w:kern w:val="44"/>
                      <w:szCs w:val="21"/>
                    </w:rPr>
                    <w:t>三十、金属制品业33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 w:type="pct"/>
                  <w:vAlign w:val="center"/>
                </w:tcPr>
                <w:p>
                  <w:pPr>
                    <w:wordWrap w:val="0"/>
                    <w:autoSpaceDE w:val="0"/>
                    <w:autoSpaceDN w:val="0"/>
                    <w:adjustRightInd w:val="0"/>
                    <w:snapToGrid w:val="0"/>
                    <w:jc w:val="center"/>
                    <w:rPr>
                      <w:color w:val="auto"/>
                      <w:kern w:val="44"/>
                      <w:szCs w:val="21"/>
                    </w:rPr>
                  </w:pPr>
                  <w:r>
                    <w:rPr>
                      <w:color w:val="auto"/>
                      <w:kern w:val="44"/>
                      <w:szCs w:val="21"/>
                    </w:rPr>
                    <w:t>66</w:t>
                  </w:r>
                </w:p>
              </w:tc>
              <w:tc>
                <w:tcPr>
                  <w:tcW w:w="1357" w:type="pct"/>
                  <w:vAlign w:val="center"/>
                </w:tcPr>
                <w:p>
                  <w:pPr>
                    <w:wordWrap w:val="0"/>
                    <w:autoSpaceDE w:val="0"/>
                    <w:autoSpaceDN w:val="0"/>
                    <w:adjustRightInd w:val="0"/>
                    <w:snapToGrid w:val="0"/>
                    <w:jc w:val="center"/>
                    <w:rPr>
                      <w:color w:val="auto"/>
                      <w:kern w:val="44"/>
                      <w:szCs w:val="21"/>
                    </w:rPr>
                  </w:pPr>
                  <w:r>
                    <w:rPr>
                      <w:color w:val="auto"/>
                      <w:kern w:val="44"/>
                      <w:szCs w:val="21"/>
                    </w:rPr>
                    <w:t>结构性金属制品制造331;金属工具制造332;集装箱及金属包装容器制造333;金属丝绳及其制品制造334;建筑、安全用金属制品制造335;搪瓷制品制造337;金属制日用品制造338</w:t>
                  </w:r>
                </w:p>
              </w:tc>
              <w:tc>
                <w:tcPr>
                  <w:tcW w:w="875" w:type="pct"/>
                  <w:vAlign w:val="center"/>
                </w:tcPr>
                <w:p>
                  <w:pPr>
                    <w:wordWrap w:val="0"/>
                    <w:autoSpaceDE w:val="0"/>
                    <w:autoSpaceDN w:val="0"/>
                    <w:adjustRightInd w:val="0"/>
                    <w:snapToGrid w:val="0"/>
                    <w:jc w:val="center"/>
                    <w:rPr>
                      <w:color w:val="auto"/>
                      <w:kern w:val="44"/>
                      <w:szCs w:val="21"/>
                    </w:rPr>
                  </w:pPr>
                  <w:r>
                    <w:rPr>
                      <w:color w:val="auto"/>
                      <w:kern w:val="44"/>
                      <w:szCs w:val="21"/>
                    </w:rPr>
                    <w:t>有电镀工艺的；年用溶剂型涂料（含稀释剂）10吨及以上的</w:t>
                  </w:r>
                </w:p>
              </w:tc>
              <w:tc>
                <w:tcPr>
                  <w:tcW w:w="1250" w:type="pct"/>
                  <w:vAlign w:val="center"/>
                </w:tcPr>
                <w:p>
                  <w:pPr>
                    <w:wordWrap w:val="0"/>
                    <w:autoSpaceDE w:val="0"/>
                    <w:autoSpaceDN w:val="0"/>
                    <w:adjustRightInd w:val="0"/>
                    <w:snapToGrid w:val="0"/>
                    <w:jc w:val="center"/>
                    <w:rPr>
                      <w:color w:val="auto"/>
                      <w:kern w:val="44"/>
                      <w:szCs w:val="21"/>
                    </w:rPr>
                  </w:pPr>
                  <w:r>
                    <w:rPr>
                      <w:color w:val="auto"/>
                      <w:kern w:val="44"/>
                      <w:szCs w:val="21"/>
                    </w:rPr>
                    <w:t>其他（仅分割、焊接、涂装的除外；年用非溶剂型低VOC</w:t>
                  </w:r>
                  <w:r>
                    <w:rPr>
                      <w:color w:val="auto"/>
                      <w:kern w:val="44"/>
                      <w:szCs w:val="21"/>
                      <w:vertAlign w:val="subscript"/>
                    </w:rPr>
                    <w:t>S</w:t>
                  </w:r>
                  <w:r>
                    <w:rPr>
                      <w:color w:val="auto"/>
                      <w:kern w:val="44"/>
                      <w:szCs w:val="21"/>
                    </w:rPr>
                    <w:t>含量涂料10吨以下的除外）</w:t>
                  </w:r>
                </w:p>
              </w:tc>
              <w:tc>
                <w:tcPr>
                  <w:tcW w:w="1251" w:type="pct"/>
                  <w:vAlign w:val="center"/>
                </w:tcPr>
                <w:p>
                  <w:pPr>
                    <w:wordWrap w:val="0"/>
                    <w:autoSpaceDE w:val="0"/>
                    <w:autoSpaceDN w:val="0"/>
                    <w:adjustRightInd w:val="0"/>
                    <w:snapToGrid w:val="0"/>
                    <w:jc w:val="center"/>
                    <w:rPr>
                      <w:color w:val="auto"/>
                      <w:kern w:val="44"/>
                      <w:szCs w:val="21"/>
                    </w:rPr>
                  </w:pPr>
                  <w:r>
                    <w:rPr>
                      <w:color w:val="auto"/>
                      <w:kern w:val="44"/>
                      <w:szCs w:val="21"/>
                    </w:rPr>
                    <w:t>/</w:t>
                  </w:r>
                </w:p>
              </w:tc>
            </w:tr>
          </w:tbl>
          <w:p>
            <w:pPr>
              <w:wordWrap w:val="0"/>
              <w:autoSpaceDE w:val="0"/>
              <w:autoSpaceDN w:val="0"/>
              <w:adjustRightInd w:val="0"/>
              <w:snapToGrid w:val="0"/>
              <w:spacing w:line="360" w:lineRule="auto"/>
              <w:ind w:firstLine="482" w:firstLineChars="200"/>
              <w:rPr>
                <w:b/>
                <w:bCs/>
                <w:color w:val="auto"/>
                <w:kern w:val="44"/>
                <w:sz w:val="24"/>
                <w:szCs w:val="22"/>
              </w:rPr>
            </w:pPr>
            <w:r>
              <w:rPr>
                <w:b/>
                <w:bCs/>
                <w:color w:val="auto"/>
                <w:kern w:val="44"/>
                <w:sz w:val="24"/>
                <w:szCs w:val="22"/>
              </w:rPr>
              <w:t>2、项目概况</w:t>
            </w:r>
          </w:p>
          <w:p>
            <w:pPr>
              <w:wordWrap w:val="0"/>
              <w:spacing w:line="360" w:lineRule="auto"/>
              <w:ind w:firstLine="480" w:firstLineChars="200"/>
              <w:jc w:val="left"/>
              <w:rPr>
                <w:color w:val="auto"/>
                <w:sz w:val="24"/>
                <w:lang w:val="zh-CN"/>
              </w:rPr>
            </w:pPr>
            <w:r>
              <w:rPr>
                <w:color w:val="auto"/>
                <w:sz w:val="24"/>
                <w:lang w:val="zh-CN"/>
              </w:rPr>
              <w:t>项目名称：淮安嘉帅重工科技有限公司年产2万吨钢结构项目</w:t>
            </w:r>
          </w:p>
          <w:p>
            <w:pPr>
              <w:wordWrap w:val="0"/>
              <w:spacing w:line="360" w:lineRule="auto"/>
              <w:ind w:firstLine="480" w:firstLineChars="200"/>
              <w:jc w:val="left"/>
              <w:rPr>
                <w:color w:val="auto"/>
                <w:sz w:val="24"/>
                <w:lang w:val="zh-CN"/>
              </w:rPr>
            </w:pPr>
            <w:r>
              <w:rPr>
                <w:color w:val="auto"/>
                <w:sz w:val="24"/>
                <w:lang w:val="zh-CN"/>
              </w:rPr>
              <w:t>建设单位：淮安嘉帅重工科技有限公司</w:t>
            </w:r>
          </w:p>
          <w:p>
            <w:pPr>
              <w:wordWrap w:val="0"/>
              <w:spacing w:line="360" w:lineRule="auto"/>
              <w:ind w:firstLine="480" w:firstLineChars="200"/>
              <w:jc w:val="left"/>
              <w:rPr>
                <w:color w:val="auto"/>
                <w:sz w:val="24"/>
                <w:lang w:val="zh-CN"/>
              </w:rPr>
            </w:pPr>
            <w:r>
              <w:rPr>
                <w:color w:val="auto"/>
                <w:sz w:val="24"/>
                <w:lang w:val="zh-CN"/>
              </w:rPr>
              <w:t>行业类别：</w:t>
            </w:r>
            <w:r>
              <w:rPr>
                <w:color w:val="auto"/>
                <w:sz w:val="24"/>
              </w:rPr>
              <w:t>C3311 金属结构制造</w:t>
            </w:r>
          </w:p>
          <w:p>
            <w:pPr>
              <w:wordWrap w:val="0"/>
              <w:spacing w:line="360" w:lineRule="auto"/>
              <w:ind w:firstLine="480" w:firstLineChars="200"/>
              <w:jc w:val="left"/>
              <w:rPr>
                <w:color w:val="auto"/>
                <w:sz w:val="24"/>
                <w:lang w:val="zh-CN"/>
              </w:rPr>
            </w:pPr>
            <w:r>
              <w:rPr>
                <w:color w:val="auto"/>
                <w:sz w:val="24"/>
                <w:lang w:val="zh-CN"/>
              </w:rPr>
              <w:t>项目性质：</w:t>
            </w:r>
            <w:r>
              <w:rPr>
                <w:color w:val="auto"/>
                <w:sz w:val="24"/>
              </w:rPr>
              <w:t>新建</w:t>
            </w:r>
          </w:p>
          <w:p>
            <w:pPr>
              <w:wordWrap w:val="0"/>
              <w:spacing w:line="360" w:lineRule="auto"/>
              <w:ind w:firstLine="480" w:firstLineChars="200"/>
              <w:jc w:val="left"/>
              <w:rPr>
                <w:color w:val="auto"/>
                <w:sz w:val="24"/>
                <w:lang w:val="zh-CN"/>
              </w:rPr>
            </w:pPr>
            <w:r>
              <w:rPr>
                <w:color w:val="auto"/>
                <w:sz w:val="24"/>
                <w:lang w:val="zh-CN"/>
              </w:rPr>
              <w:t>建设地点：淮安市淮阴区淮阴区古清口街道农科村淮三路168号</w:t>
            </w:r>
          </w:p>
          <w:p>
            <w:pPr>
              <w:wordWrap w:val="0"/>
              <w:spacing w:line="360" w:lineRule="auto"/>
              <w:ind w:firstLine="480" w:firstLineChars="200"/>
              <w:jc w:val="left"/>
              <w:rPr>
                <w:color w:val="auto"/>
                <w:sz w:val="24"/>
                <w:lang w:val="zh-CN"/>
              </w:rPr>
            </w:pPr>
            <w:r>
              <w:rPr>
                <w:color w:val="auto"/>
                <w:sz w:val="24"/>
                <w:lang w:val="zh-CN"/>
              </w:rPr>
              <w:t>投资总额：</w:t>
            </w:r>
            <w:r>
              <w:rPr>
                <w:color w:val="auto"/>
                <w:sz w:val="24"/>
              </w:rPr>
              <w:t>11000</w:t>
            </w:r>
            <w:r>
              <w:rPr>
                <w:color w:val="auto"/>
                <w:sz w:val="24"/>
                <w:lang w:val="zh-CN"/>
              </w:rPr>
              <w:t>万元</w:t>
            </w:r>
          </w:p>
          <w:p>
            <w:pPr>
              <w:wordWrap w:val="0"/>
              <w:spacing w:line="360" w:lineRule="auto"/>
              <w:ind w:firstLine="480" w:firstLineChars="200"/>
              <w:jc w:val="left"/>
              <w:rPr>
                <w:color w:val="auto"/>
                <w:sz w:val="24"/>
              </w:rPr>
            </w:pPr>
            <w:r>
              <w:rPr>
                <w:color w:val="auto"/>
                <w:sz w:val="24"/>
                <w:lang w:val="zh-CN"/>
              </w:rPr>
              <w:t>职工人数：</w:t>
            </w:r>
            <w:r>
              <w:rPr>
                <w:color w:val="auto"/>
                <w:sz w:val="24"/>
              </w:rPr>
              <w:t>本次定员30人</w:t>
            </w:r>
          </w:p>
          <w:p>
            <w:pPr>
              <w:wordWrap w:val="0"/>
              <w:spacing w:line="360" w:lineRule="auto"/>
              <w:ind w:firstLine="480" w:firstLineChars="200"/>
              <w:jc w:val="left"/>
              <w:rPr>
                <w:color w:val="auto"/>
                <w:sz w:val="24"/>
              </w:rPr>
            </w:pPr>
            <w:r>
              <w:rPr>
                <w:color w:val="auto"/>
                <w:sz w:val="24"/>
                <w:lang w:val="zh-CN"/>
              </w:rPr>
              <w:t>工作制度：年工作300天，单班制（每班</w:t>
            </w:r>
            <w:r>
              <w:rPr>
                <w:color w:val="auto"/>
                <w:sz w:val="24"/>
              </w:rPr>
              <w:t>8</w:t>
            </w:r>
            <w:r>
              <w:rPr>
                <w:color w:val="auto"/>
                <w:sz w:val="24"/>
                <w:lang w:val="zh-CN"/>
              </w:rPr>
              <w:t>小时），年工作</w:t>
            </w:r>
            <w:r>
              <w:rPr>
                <w:color w:val="auto"/>
                <w:sz w:val="24"/>
              </w:rPr>
              <w:t>2400小时。</w:t>
            </w:r>
          </w:p>
          <w:p>
            <w:pPr>
              <w:wordWrap w:val="0"/>
              <w:spacing w:line="360" w:lineRule="auto"/>
              <w:ind w:firstLine="480" w:firstLineChars="200"/>
              <w:jc w:val="left"/>
              <w:rPr>
                <w:color w:val="auto"/>
                <w:sz w:val="24"/>
                <w:lang w:val="zh-CN"/>
              </w:rPr>
            </w:pPr>
            <w:r>
              <w:rPr>
                <w:color w:val="auto"/>
                <w:sz w:val="24"/>
                <w:lang w:val="zh-CN"/>
              </w:rPr>
              <w:t>环保投资：</w:t>
            </w:r>
            <w:r>
              <w:rPr>
                <w:color w:val="auto"/>
                <w:sz w:val="24"/>
              </w:rPr>
              <w:t>330</w:t>
            </w:r>
            <w:r>
              <w:rPr>
                <w:color w:val="auto"/>
                <w:sz w:val="24"/>
                <w:lang w:val="zh-CN"/>
              </w:rPr>
              <w:t>万元</w:t>
            </w:r>
          </w:p>
          <w:p>
            <w:pPr>
              <w:wordWrap w:val="0"/>
              <w:autoSpaceDE w:val="0"/>
              <w:autoSpaceDN w:val="0"/>
              <w:adjustRightInd w:val="0"/>
              <w:snapToGrid w:val="0"/>
              <w:spacing w:line="360" w:lineRule="auto"/>
              <w:ind w:firstLine="482" w:firstLineChars="200"/>
              <w:rPr>
                <w:b/>
                <w:bCs/>
                <w:color w:val="auto"/>
                <w:kern w:val="44"/>
                <w:sz w:val="24"/>
                <w:szCs w:val="22"/>
              </w:rPr>
            </w:pPr>
            <w:r>
              <w:rPr>
                <w:b/>
                <w:bCs/>
                <w:color w:val="auto"/>
                <w:kern w:val="44"/>
                <w:sz w:val="24"/>
                <w:szCs w:val="22"/>
              </w:rPr>
              <w:t>3、产品方案</w:t>
            </w:r>
          </w:p>
          <w:bookmarkEnd w:id="8"/>
          <w:p>
            <w:pPr>
              <w:wordWrap w:val="0"/>
              <w:spacing w:line="360" w:lineRule="auto"/>
              <w:ind w:firstLine="480" w:firstLineChars="200"/>
              <w:jc w:val="left"/>
              <w:rPr>
                <w:color w:val="auto"/>
                <w:sz w:val="24"/>
              </w:rPr>
            </w:pPr>
            <w:r>
              <w:rPr>
                <w:color w:val="auto"/>
                <w:sz w:val="24"/>
              </w:rPr>
              <w:t>本项目产品方案如下表所示。</w:t>
            </w:r>
          </w:p>
          <w:p>
            <w:pPr>
              <w:wordWrap w:val="0"/>
              <w:autoSpaceDE w:val="0"/>
              <w:autoSpaceDN w:val="0"/>
              <w:adjustRightInd w:val="0"/>
              <w:snapToGrid w:val="0"/>
              <w:spacing w:line="360" w:lineRule="auto"/>
              <w:jc w:val="center"/>
              <w:rPr>
                <w:b/>
                <w:bCs/>
                <w:color w:val="auto"/>
                <w:kern w:val="44"/>
                <w:szCs w:val="20"/>
              </w:rPr>
            </w:pPr>
            <w:r>
              <w:rPr>
                <w:b/>
                <w:bCs/>
                <w:color w:val="auto"/>
                <w:kern w:val="44"/>
                <w:szCs w:val="20"/>
              </w:rPr>
              <w:t>表</w:t>
            </w:r>
            <w:r>
              <w:rPr>
                <w:rFonts w:hint="eastAsia"/>
                <w:b/>
                <w:bCs/>
                <w:color w:val="auto"/>
                <w:kern w:val="44"/>
                <w:szCs w:val="20"/>
              </w:rPr>
              <w:t>2.1-2</w:t>
            </w:r>
            <w:r>
              <w:rPr>
                <w:b/>
                <w:bCs/>
                <w:color w:val="auto"/>
                <w:kern w:val="44"/>
                <w:szCs w:val="20"/>
              </w:rPr>
              <w:t xml:space="preserve"> 本项目产品方案一览表</w:t>
            </w:r>
          </w:p>
          <w:tbl>
            <w:tblPr>
              <w:tblStyle w:val="20"/>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293"/>
              <w:gridCol w:w="2293"/>
              <w:gridCol w:w="2607"/>
              <w:gridCol w:w="2095"/>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34" w:type="pct"/>
                  <w:vAlign w:val="center"/>
                </w:tcPr>
                <w:p>
                  <w:pPr>
                    <w:pStyle w:val="29"/>
                    <w:widowControl/>
                    <w:wordWrap w:val="0"/>
                    <w:spacing w:line="240" w:lineRule="auto"/>
                    <w:rPr>
                      <w:b/>
                      <w:bCs/>
                      <w:color w:val="auto"/>
                      <w:lang w:val="en-US"/>
                    </w:rPr>
                  </w:pPr>
                  <w:r>
                    <w:rPr>
                      <w:b/>
                      <w:bCs/>
                      <w:color w:val="auto"/>
                      <w:lang w:val="en-US"/>
                    </w:rPr>
                    <w:t>生产线</w:t>
                  </w:r>
                  <w:r>
                    <w:rPr>
                      <w:b/>
                      <w:bCs/>
                      <w:color w:val="auto"/>
                    </w:rPr>
                    <w:t>名称</w:t>
                  </w:r>
                </w:p>
              </w:tc>
              <w:tc>
                <w:tcPr>
                  <w:tcW w:w="1234" w:type="pct"/>
                  <w:vAlign w:val="center"/>
                </w:tcPr>
                <w:p>
                  <w:pPr>
                    <w:pStyle w:val="29"/>
                    <w:widowControl/>
                    <w:wordWrap w:val="0"/>
                    <w:spacing w:line="240" w:lineRule="auto"/>
                    <w:rPr>
                      <w:b/>
                      <w:bCs/>
                      <w:color w:val="auto"/>
                    </w:rPr>
                  </w:pPr>
                  <w:r>
                    <w:rPr>
                      <w:b/>
                      <w:bCs/>
                      <w:color w:val="auto"/>
                    </w:rPr>
                    <w:t>产品名称</w:t>
                  </w:r>
                </w:p>
              </w:tc>
              <w:tc>
                <w:tcPr>
                  <w:tcW w:w="1403" w:type="pct"/>
                  <w:vAlign w:val="center"/>
                </w:tcPr>
                <w:p>
                  <w:pPr>
                    <w:pStyle w:val="29"/>
                    <w:widowControl/>
                    <w:wordWrap w:val="0"/>
                    <w:spacing w:line="240" w:lineRule="auto"/>
                    <w:rPr>
                      <w:b/>
                      <w:bCs/>
                      <w:color w:val="auto"/>
                    </w:rPr>
                  </w:pPr>
                  <w:r>
                    <w:rPr>
                      <w:b/>
                      <w:bCs/>
                      <w:color w:val="auto"/>
                    </w:rPr>
                    <w:t>设计能力</w:t>
                  </w:r>
                </w:p>
              </w:tc>
              <w:tc>
                <w:tcPr>
                  <w:tcW w:w="1127" w:type="pct"/>
                  <w:vAlign w:val="center"/>
                </w:tcPr>
                <w:p>
                  <w:pPr>
                    <w:pStyle w:val="29"/>
                    <w:widowControl/>
                    <w:wordWrap w:val="0"/>
                    <w:spacing w:line="240" w:lineRule="auto"/>
                    <w:rPr>
                      <w:b/>
                      <w:bCs/>
                      <w:color w:val="auto"/>
                    </w:rPr>
                  </w:pPr>
                  <w:r>
                    <w:rPr>
                      <w:b/>
                      <w:bCs/>
                      <w:color w:val="auto"/>
                    </w:rPr>
                    <w:t>年运行</w:t>
                  </w:r>
                </w:p>
                <w:p>
                  <w:pPr>
                    <w:pStyle w:val="29"/>
                    <w:widowControl/>
                    <w:wordWrap w:val="0"/>
                    <w:spacing w:line="240" w:lineRule="auto"/>
                    <w:rPr>
                      <w:b/>
                      <w:bCs/>
                      <w:color w:val="auto"/>
                      <w:lang w:val="en-US"/>
                    </w:rPr>
                  </w:pPr>
                  <w:r>
                    <w:rPr>
                      <w:b/>
                      <w:bCs/>
                      <w:color w:val="auto"/>
                    </w:rPr>
                    <w:t>时数</w:t>
                  </w:r>
                  <w:r>
                    <w:rPr>
                      <w:b/>
                      <w:bCs/>
                      <w:color w:val="auto"/>
                      <w:lang w:val="en-US"/>
                    </w:rPr>
                    <w:t>h</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1234" w:type="pct"/>
                  <w:vAlign w:val="center"/>
                </w:tcPr>
                <w:p>
                  <w:pPr>
                    <w:pStyle w:val="29"/>
                    <w:widowControl/>
                    <w:wordWrap w:val="0"/>
                    <w:spacing w:line="240" w:lineRule="auto"/>
                    <w:rPr>
                      <w:color w:val="auto"/>
                      <w:lang w:val="en-US"/>
                    </w:rPr>
                  </w:pPr>
                  <w:r>
                    <w:rPr>
                      <w:color w:val="auto"/>
                      <w:lang w:val="en-US"/>
                    </w:rPr>
                    <w:t>建筑钢结构件生产线</w:t>
                  </w:r>
                </w:p>
              </w:tc>
              <w:tc>
                <w:tcPr>
                  <w:tcW w:w="1234" w:type="pct"/>
                  <w:vAlign w:val="center"/>
                </w:tcPr>
                <w:p>
                  <w:pPr>
                    <w:widowControl/>
                    <w:adjustRightInd w:val="0"/>
                    <w:snapToGrid w:val="0"/>
                    <w:jc w:val="center"/>
                    <w:rPr>
                      <w:color w:val="auto"/>
                    </w:rPr>
                  </w:pPr>
                  <w:r>
                    <w:rPr>
                      <w:color w:val="auto"/>
                    </w:rPr>
                    <w:t>钢结构</w:t>
                  </w:r>
                </w:p>
              </w:tc>
              <w:tc>
                <w:tcPr>
                  <w:tcW w:w="1403" w:type="pct"/>
                  <w:vAlign w:val="center"/>
                </w:tcPr>
                <w:p>
                  <w:pPr>
                    <w:pStyle w:val="29"/>
                    <w:widowControl/>
                    <w:wordWrap w:val="0"/>
                    <w:spacing w:line="240" w:lineRule="auto"/>
                    <w:rPr>
                      <w:color w:val="auto"/>
                      <w:lang w:val="en-US"/>
                    </w:rPr>
                  </w:pPr>
                  <w:r>
                    <w:rPr>
                      <w:color w:val="auto"/>
                      <w:lang w:val="en-US"/>
                    </w:rPr>
                    <w:t>20000t/a</w:t>
                  </w:r>
                </w:p>
              </w:tc>
              <w:tc>
                <w:tcPr>
                  <w:tcW w:w="1127" w:type="pct"/>
                  <w:vAlign w:val="center"/>
                </w:tcPr>
                <w:p>
                  <w:pPr>
                    <w:pStyle w:val="29"/>
                    <w:widowControl/>
                    <w:wordWrap w:val="0"/>
                    <w:spacing w:line="240" w:lineRule="auto"/>
                    <w:rPr>
                      <w:color w:val="auto"/>
                      <w:lang w:val="en-US"/>
                    </w:rPr>
                  </w:pPr>
                  <w:r>
                    <w:rPr>
                      <w:color w:val="auto"/>
                      <w:lang w:val="en-US"/>
                    </w:rPr>
                    <w:t>2400</w:t>
                  </w:r>
                </w:p>
              </w:tc>
            </w:tr>
          </w:tbl>
          <w:p>
            <w:pPr>
              <w:wordWrap w:val="0"/>
              <w:autoSpaceDE w:val="0"/>
              <w:autoSpaceDN w:val="0"/>
              <w:adjustRightInd w:val="0"/>
              <w:snapToGrid w:val="0"/>
              <w:spacing w:line="360" w:lineRule="auto"/>
              <w:ind w:firstLine="482" w:firstLineChars="200"/>
              <w:rPr>
                <w:b/>
                <w:bCs/>
                <w:color w:val="auto"/>
                <w:kern w:val="44"/>
                <w:sz w:val="24"/>
                <w:szCs w:val="22"/>
              </w:rPr>
            </w:pPr>
            <w:r>
              <w:rPr>
                <w:b/>
                <w:bCs/>
                <w:color w:val="auto"/>
                <w:kern w:val="44"/>
                <w:sz w:val="24"/>
                <w:szCs w:val="22"/>
              </w:rPr>
              <w:t>4</w:t>
            </w:r>
            <w:r>
              <w:rPr>
                <w:b/>
                <w:bCs/>
                <w:color w:val="auto"/>
                <w:kern w:val="44"/>
                <w:sz w:val="24"/>
                <w:szCs w:val="22"/>
                <w:lang w:val="zh-CN"/>
              </w:rPr>
              <w:t>、</w:t>
            </w:r>
            <w:r>
              <w:rPr>
                <w:b/>
                <w:bCs/>
                <w:color w:val="auto"/>
                <w:kern w:val="44"/>
                <w:sz w:val="24"/>
                <w:szCs w:val="22"/>
              </w:rPr>
              <w:t>建设内容</w:t>
            </w:r>
          </w:p>
          <w:p>
            <w:pPr>
              <w:wordWrap w:val="0"/>
              <w:autoSpaceDE w:val="0"/>
              <w:autoSpaceDN w:val="0"/>
              <w:adjustRightInd w:val="0"/>
              <w:snapToGrid w:val="0"/>
              <w:spacing w:line="360" w:lineRule="auto"/>
              <w:ind w:firstLine="480" w:firstLineChars="200"/>
              <w:rPr>
                <w:b/>
                <w:bCs/>
                <w:color w:val="auto"/>
                <w:kern w:val="44"/>
                <w:szCs w:val="21"/>
                <w:lang w:val="zh-CN"/>
              </w:rPr>
            </w:pPr>
            <w:bookmarkStart w:id="9" w:name="_Hlk61959533"/>
            <w:bookmarkStart w:id="10" w:name="_Hlk63689929"/>
            <w:r>
              <w:rPr>
                <w:color w:val="auto"/>
                <w:kern w:val="44"/>
                <w:sz w:val="24"/>
                <w:szCs w:val="22"/>
                <w:lang w:val="zh-CN"/>
              </w:rPr>
              <w:t>本项目</w:t>
            </w:r>
            <w:r>
              <w:rPr>
                <w:color w:val="auto"/>
                <w:kern w:val="44"/>
                <w:sz w:val="24"/>
                <w:szCs w:val="22"/>
              </w:rPr>
              <w:t>主体工程、公用工程、辅助工程、环保工程、储运工程及风险防范建设内容详见表2.1-3</w:t>
            </w:r>
            <w:r>
              <w:rPr>
                <w:color w:val="auto"/>
                <w:kern w:val="44"/>
                <w:sz w:val="24"/>
                <w:szCs w:val="22"/>
                <w:lang w:val="zh-CN"/>
              </w:rPr>
              <w:t>。</w:t>
            </w:r>
          </w:p>
          <w:p>
            <w:pPr>
              <w:wordWrap w:val="0"/>
              <w:spacing w:line="360" w:lineRule="auto"/>
              <w:jc w:val="center"/>
              <w:rPr>
                <w:b/>
                <w:bCs/>
                <w:color w:val="auto"/>
                <w:kern w:val="44"/>
                <w:szCs w:val="21"/>
              </w:rPr>
            </w:pPr>
            <w:r>
              <w:rPr>
                <w:b/>
                <w:bCs/>
                <w:color w:val="auto"/>
                <w:kern w:val="44"/>
                <w:szCs w:val="21"/>
                <w:lang w:val="zh-CN"/>
              </w:rPr>
              <w:t>表</w:t>
            </w:r>
            <w:r>
              <w:rPr>
                <w:rFonts w:hint="eastAsia"/>
                <w:b/>
                <w:bCs/>
                <w:color w:val="auto"/>
                <w:kern w:val="44"/>
                <w:szCs w:val="21"/>
              </w:rPr>
              <w:t>2.1-3</w:t>
            </w:r>
            <w:r>
              <w:rPr>
                <w:b/>
                <w:bCs/>
                <w:color w:val="auto"/>
                <w:kern w:val="44"/>
                <w:szCs w:val="21"/>
              </w:rPr>
              <w:t xml:space="preserve"> 本项目主要工程一览表</w:t>
            </w:r>
          </w:p>
          <w:bookmarkEnd w:id="9"/>
          <w:bookmarkEnd w:id="10"/>
          <w:tbl>
            <w:tblPr>
              <w:tblStyle w:val="20"/>
              <w:tblW w:w="9383"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708"/>
              <w:gridCol w:w="285"/>
              <w:gridCol w:w="2380"/>
              <w:gridCol w:w="1970"/>
              <w:gridCol w:w="404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14" w:hRule="atLeast"/>
                <w:jc w:val="center"/>
              </w:trPr>
              <w:tc>
                <w:tcPr>
                  <w:tcW w:w="0" w:type="auto"/>
                  <w:tcMar>
                    <w:left w:w="28" w:type="dxa"/>
                    <w:right w:w="28" w:type="dxa"/>
                  </w:tcMar>
                  <w:vAlign w:val="center"/>
                </w:tcPr>
                <w:p>
                  <w:pPr>
                    <w:pStyle w:val="29"/>
                    <w:widowControl/>
                    <w:wordWrap w:val="0"/>
                    <w:spacing w:line="240" w:lineRule="auto"/>
                    <w:rPr>
                      <w:b/>
                      <w:bCs/>
                      <w:color w:val="auto"/>
                    </w:rPr>
                  </w:pPr>
                  <w:bookmarkStart w:id="11" w:name="_Hlk153312704"/>
                  <w:r>
                    <w:rPr>
                      <w:b/>
                      <w:bCs/>
                      <w:color w:val="auto"/>
                    </w:rPr>
                    <w:t>类别</w:t>
                  </w:r>
                </w:p>
              </w:tc>
              <w:tc>
                <w:tcPr>
                  <w:tcW w:w="2665" w:type="dxa"/>
                  <w:gridSpan w:val="2"/>
                  <w:tcMar>
                    <w:left w:w="28" w:type="dxa"/>
                    <w:right w:w="28" w:type="dxa"/>
                  </w:tcMar>
                  <w:vAlign w:val="center"/>
                </w:tcPr>
                <w:p>
                  <w:pPr>
                    <w:pStyle w:val="29"/>
                    <w:widowControl/>
                    <w:wordWrap w:val="0"/>
                    <w:spacing w:line="240" w:lineRule="auto"/>
                    <w:rPr>
                      <w:b/>
                      <w:bCs/>
                      <w:color w:val="auto"/>
                    </w:rPr>
                  </w:pPr>
                  <w:r>
                    <w:rPr>
                      <w:b/>
                      <w:bCs/>
                      <w:color w:val="auto"/>
                    </w:rPr>
                    <w:t>建设名称</w:t>
                  </w:r>
                </w:p>
              </w:tc>
              <w:tc>
                <w:tcPr>
                  <w:tcW w:w="1970" w:type="dxa"/>
                  <w:tcMar>
                    <w:left w:w="28" w:type="dxa"/>
                    <w:right w:w="28" w:type="dxa"/>
                  </w:tcMar>
                  <w:vAlign w:val="center"/>
                </w:tcPr>
                <w:p>
                  <w:pPr>
                    <w:pStyle w:val="29"/>
                    <w:widowControl/>
                    <w:wordWrap w:val="0"/>
                    <w:spacing w:line="240" w:lineRule="auto"/>
                    <w:rPr>
                      <w:b/>
                      <w:bCs/>
                      <w:color w:val="auto"/>
                      <w:lang w:val="en-US"/>
                    </w:rPr>
                  </w:pPr>
                  <w:r>
                    <w:rPr>
                      <w:b/>
                      <w:bCs/>
                      <w:color w:val="auto"/>
                      <w:lang w:val="en-US"/>
                    </w:rPr>
                    <w:t>建设内容</w:t>
                  </w:r>
                </w:p>
              </w:tc>
              <w:tc>
                <w:tcPr>
                  <w:tcW w:w="4040" w:type="dxa"/>
                  <w:tcMar>
                    <w:left w:w="28" w:type="dxa"/>
                    <w:right w:w="28" w:type="dxa"/>
                  </w:tcMar>
                  <w:vAlign w:val="center"/>
                </w:tcPr>
                <w:p>
                  <w:pPr>
                    <w:pStyle w:val="29"/>
                    <w:widowControl/>
                    <w:wordWrap w:val="0"/>
                    <w:spacing w:line="240" w:lineRule="auto"/>
                    <w:rPr>
                      <w:b/>
                      <w:bCs/>
                      <w:color w:val="auto"/>
                    </w:rPr>
                  </w:pPr>
                  <w:r>
                    <w:rPr>
                      <w:rFonts w:hint="eastAsia"/>
                      <w:b/>
                      <w:color w:val="auto"/>
                      <w:lang w:val="en-US"/>
                    </w:rPr>
                    <w:t>备注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525" w:hRule="atLeast"/>
                <w:jc w:val="center"/>
              </w:trPr>
              <w:tc>
                <w:tcPr>
                  <w:tcW w:w="0" w:type="auto"/>
                  <w:vMerge w:val="restart"/>
                  <w:tcMar>
                    <w:left w:w="28" w:type="dxa"/>
                    <w:right w:w="28" w:type="dxa"/>
                  </w:tcMar>
                  <w:vAlign w:val="center"/>
                </w:tcPr>
                <w:p>
                  <w:pPr>
                    <w:pStyle w:val="29"/>
                    <w:widowControl/>
                    <w:wordWrap w:val="0"/>
                    <w:spacing w:line="240" w:lineRule="auto"/>
                    <w:rPr>
                      <w:color w:val="auto"/>
                      <w:lang w:val="en-US"/>
                    </w:rPr>
                  </w:pPr>
                  <w:r>
                    <w:rPr>
                      <w:color w:val="auto"/>
                      <w:lang w:val="en-US"/>
                    </w:rPr>
                    <w:t>主体</w:t>
                  </w:r>
                  <w:r>
                    <w:rPr>
                      <w:color w:val="auto"/>
                    </w:rPr>
                    <w:t>工程</w:t>
                  </w:r>
                </w:p>
              </w:tc>
              <w:tc>
                <w:tcPr>
                  <w:tcW w:w="2665" w:type="dxa"/>
                  <w:gridSpan w:val="2"/>
                  <w:tcMar>
                    <w:left w:w="28" w:type="dxa"/>
                    <w:right w:w="28" w:type="dxa"/>
                  </w:tcMar>
                  <w:vAlign w:val="center"/>
                </w:tcPr>
                <w:p>
                  <w:pPr>
                    <w:jc w:val="center"/>
                    <w:rPr>
                      <w:color w:val="auto"/>
                      <w:szCs w:val="21"/>
                    </w:rPr>
                  </w:pPr>
                  <w:r>
                    <w:rPr>
                      <w:color w:val="auto"/>
                      <w:szCs w:val="21"/>
                    </w:rPr>
                    <w:t>车间一</w:t>
                  </w:r>
                </w:p>
              </w:tc>
              <w:tc>
                <w:tcPr>
                  <w:tcW w:w="1970" w:type="dxa"/>
                  <w:tcMar>
                    <w:left w:w="28" w:type="dxa"/>
                    <w:right w:w="28" w:type="dxa"/>
                  </w:tcMar>
                  <w:vAlign w:val="center"/>
                </w:tcPr>
                <w:p>
                  <w:pPr>
                    <w:jc w:val="center"/>
                    <w:rPr>
                      <w:color w:val="auto"/>
                      <w:szCs w:val="21"/>
                    </w:rPr>
                  </w:pPr>
                  <w:r>
                    <w:rPr>
                      <w:color w:val="auto"/>
                      <w:szCs w:val="21"/>
                    </w:rPr>
                    <w:t>用于下料、切割、组装、抛丸等工序</w:t>
                  </w:r>
                </w:p>
              </w:tc>
              <w:tc>
                <w:tcPr>
                  <w:tcW w:w="4040" w:type="dxa"/>
                  <w:tcMar>
                    <w:left w:w="28" w:type="dxa"/>
                    <w:right w:w="28" w:type="dxa"/>
                  </w:tcMar>
                  <w:vAlign w:val="center"/>
                </w:tcPr>
                <w:p>
                  <w:pPr>
                    <w:pStyle w:val="29"/>
                    <w:widowControl/>
                    <w:spacing w:line="240" w:lineRule="auto"/>
                    <w:rPr>
                      <w:rFonts w:hint="default" w:ascii="Times New Roman" w:hAnsi="Times New Roman" w:cs="Times New Roman"/>
                      <w:color w:val="auto"/>
                      <w:lang w:val="en-US"/>
                    </w:rPr>
                  </w:pPr>
                  <w:r>
                    <w:rPr>
                      <w:rFonts w:hint="default" w:ascii="Times New Roman" w:hAnsi="Times New Roman" w:cs="Times New Roman"/>
                      <w:color w:val="auto"/>
                      <w:lang w:val="en-US"/>
                    </w:rPr>
                    <w:t>新建厂房，占地面积为</w:t>
                  </w:r>
                  <w:r>
                    <w:rPr>
                      <w:rFonts w:hint="eastAsia" w:cs="Times New Roman"/>
                      <w:color w:val="auto"/>
                      <w:lang w:val="en-US" w:eastAsia="zh-CN"/>
                    </w:rPr>
                    <w:t>14500</w:t>
                  </w:r>
                  <w:r>
                    <w:rPr>
                      <w:rFonts w:hint="default" w:ascii="Times New Roman" w:hAnsi="Times New Roman" w:cs="Times New Roman"/>
                      <w:color w:val="auto"/>
                      <w:lang w:val="en-US"/>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32" w:hRule="atLeast"/>
                <w:jc w:val="center"/>
              </w:trPr>
              <w:tc>
                <w:tcPr>
                  <w:tcW w:w="0" w:type="auto"/>
                  <w:vMerge w:val="continue"/>
                  <w:tcMar>
                    <w:left w:w="28" w:type="dxa"/>
                    <w:right w:w="28" w:type="dxa"/>
                  </w:tcMar>
                  <w:vAlign w:val="center"/>
                </w:tcPr>
                <w:p>
                  <w:pPr>
                    <w:pStyle w:val="29"/>
                    <w:widowControl/>
                    <w:wordWrap w:val="0"/>
                    <w:spacing w:line="240" w:lineRule="auto"/>
                    <w:rPr>
                      <w:color w:val="auto"/>
                      <w:lang w:val="en-US"/>
                    </w:rPr>
                  </w:pPr>
                </w:p>
              </w:tc>
              <w:tc>
                <w:tcPr>
                  <w:tcW w:w="2665" w:type="dxa"/>
                  <w:gridSpan w:val="2"/>
                  <w:tcMar>
                    <w:left w:w="28" w:type="dxa"/>
                    <w:right w:w="28" w:type="dxa"/>
                  </w:tcMar>
                  <w:vAlign w:val="center"/>
                </w:tcPr>
                <w:p>
                  <w:pPr>
                    <w:jc w:val="center"/>
                    <w:rPr>
                      <w:color w:val="auto"/>
                      <w:szCs w:val="21"/>
                    </w:rPr>
                  </w:pPr>
                  <w:r>
                    <w:rPr>
                      <w:color w:val="auto"/>
                      <w:szCs w:val="21"/>
                    </w:rPr>
                    <w:t>车间二</w:t>
                  </w:r>
                </w:p>
              </w:tc>
              <w:tc>
                <w:tcPr>
                  <w:tcW w:w="1970" w:type="dxa"/>
                  <w:tcMar>
                    <w:left w:w="28" w:type="dxa"/>
                    <w:right w:w="28" w:type="dxa"/>
                  </w:tcMar>
                  <w:vAlign w:val="center"/>
                </w:tcPr>
                <w:p>
                  <w:pPr>
                    <w:jc w:val="center"/>
                    <w:rPr>
                      <w:color w:val="auto"/>
                      <w:szCs w:val="21"/>
                    </w:rPr>
                  </w:pPr>
                  <w:r>
                    <w:rPr>
                      <w:color w:val="auto"/>
                      <w:szCs w:val="21"/>
                    </w:rPr>
                    <w:t>用于涂装、晾干等工序</w:t>
                  </w:r>
                </w:p>
              </w:tc>
              <w:tc>
                <w:tcPr>
                  <w:tcW w:w="4040" w:type="dxa"/>
                  <w:tcMar>
                    <w:left w:w="28" w:type="dxa"/>
                    <w:right w:w="28" w:type="dxa"/>
                  </w:tcMar>
                  <w:vAlign w:val="center"/>
                </w:tcPr>
                <w:p>
                  <w:pPr>
                    <w:pStyle w:val="29"/>
                    <w:widowControl/>
                    <w:spacing w:line="240" w:lineRule="auto"/>
                    <w:rPr>
                      <w:rFonts w:hint="default" w:ascii="Times New Roman" w:hAnsi="Times New Roman" w:cs="Times New Roman"/>
                      <w:color w:val="auto"/>
                      <w:lang w:val="en-US"/>
                    </w:rPr>
                  </w:pPr>
                  <w:r>
                    <w:rPr>
                      <w:rFonts w:hint="default" w:ascii="Times New Roman" w:hAnsi="Times New Roman" w:cs="Times New Roman"/>
                      <w:color w:val="auto"/>
                      <w:lang w:val="en-US"/>
                    </w:rPr>
                    <w:t>新建厂房，占地面积为</w:t>
                  </w:r>
                  <w:r>
                    <w:rPr>
                      <w:rFonts w:hint="eastAsia" w:cs="Times New Roman"/>
                      <w:color w:val="auto"/>
                      <w:lang w:val="en-US" w:eastAsia="zh-CN"/>
                    </w:rPr>
                    <w:t>7100</w:t>
                  </w:r>
                  <w:r>
                    <w:rPr>
                      <w:rFonts w:hint="default" w:ascii="Times New Roman" w:hAnsi="Times New Roman" w:cs="Times New Roman"/>
                      <w:color w:val="auto"/>
                      <w:lang w:val="en-US"/>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45" w:hRule="atLeast"/>
                <w:jc w:val="center"/>
              </w:trPr>
              <w:tc>
                <w:tcPr>
                  <w:tcW w:w="0" w:type="auto"/>
                  <w:vMerge w:val="restart"/>
                  <w:tcMar>
                    <w:left w:w="28" w:type="dxa"/>
                    <w:right w:w="28" w:type="dxa"/>
                  </w:tcMar>
                  <w:vAlign w:val="center"/>
                </w:tcPr>
                <w:p>
                  <w:pPr>
                    <w:pStyle w:val="29"/>
                    <w:widowControl/>
                    <w:wordWrap w:val="0"/>
                    <w:spacing w:line="240" w:lineRule="auto"/>
                    <w:rPr>
                      <w:color w:val="auto"/>
                      <w:lang w:val="en-US"/>
                    </w:rPr>
                  </w:pPr>
                  <w:r>
                    <w:rPr>
                      <w:color w:val="auto"/>
                      <w:lang w:val="en-US"/>
                    </w:rPr>
                    <w:t>辅助工程</w:t>
                  </w:r>
                </w:p>
              </w:tc>
              <w:tc>
                <w:tcPr>
                  <w:tcW w:w="2665" w:type="dxa"/>
                  <w:gridSpan w:val="2"/>
                  <w:tcMar>
                    <w:left w:w="28" w:type="dxa"/>
                    <w:right w:w="28" w:type="dxa"/>
                  </w:tcMar>
                  <w:vAlign w:val="center"/>
                </w:tcPr>
                <w:p>
                  <w:pPr>
                    <w:pStyle w:val="29"/>
                    <w:widowControl/>
                    <w:wordWrap w:val="0"/>
                    <w:spacing w:line="240" w:lineRule="auto"/>
                    <w:rPr>
                      <w:color w:val="auto"/>
                    </w:rPr>
                  </w:pPr>
                  <w:r>
                    <w:rPr>
                      <w:color w:val="auto"/>
                      <w:lang w:val="en-US"/>
                    </w:rPr>
                    <w:t>门卫</w:t>
                  </w:r>
                </w:p>
              </w:tc>
              <w:tc>
                <w:tcPr>
                  <w:tcW w:w="1970" w:type="dxa"/>
                  <w:tcMar>
                    <w:left w:w="28" w:type="dxa"/>
                    <w:right w:w="28" w:type="dxa"/>
                  </w:tcMar>
                  <w:vAlign w:val="center"/>
                </w:tcPr>
                <w:p>
                  <w:pPr>
                    <w:pStyle w:val="29"/>
                    <w:widowControl/>
                    <w:wordWrap w:val="0"/>
                    <w:spacing w:line="240" w:lineRule="auto"/>
                    <w:rPr>
                      <w:color w:val="auto"/>
                    </w:rPr>
                  </w:pPr>
                  <w:r>
                    <w:rPr>
                      <w:color w:val="auto"/>
                      <w:lang w:val="en-US"/>
                    </w:rPr>
                    <w:t>/</w:t>
                  </w:r>
                </w:p>
              </w:tc>
              <w:tc>
                <w:tcPr>
                  <w:tcW w:w="4040" w:type="dxa"/>
                  <w:tcMar>
                    <w:left w:w="28" w:type="dxa"/>
                    <w:right w:w="28" w:type="dxa"/>
                  </w:tcMar>
                  <w:vAlign w:val="center"/>
                </w:tcPr>
                <w:p>
                  <w:pPr>
                    <w:pStyle w:val="29"/>
                    <w:widowControl/>
                    <w:wordWrap w:val="0"/>
                    <w:spacing w:line="240" w:lineRule="auto"/>
                    <w:rPr>
                      <w:rFonts w:hint="default" w:ascii="Times New Roman" w:hAnsi="Times New Roman" w:cs="Times New Roman"/>
                      <w:color w:val="auto"/>
                      <w:lang w:val="en-US"/>
                    </w:rPr>
                  </w:pPr>
                  <w:r>
                    <w:rPr>
                      <w:rFonts w:hint="default" w:ascii="Times New Roman" w:hAnsi="Times New Roman" w:cs="Times New Roman"/>
                      <w:color w:val="auto"/>
                      <w:lang w:val="en-US"/>
                    </w:rPr>
                    <w:t>新建厂房，占地面积为</w:t>
                  </w:r>
                  <w:r>
                    <w:rPr>
                      <w:rFonts w:hint="eastAsia" w:cs="Times New Roman"/>
                      <w:color w:val="auto"/>
                      <w:lang w:val="en-US" w:eastAsia="zh-CN"/>
                    </w:rPr>
                    <w:t>80</w:t>
                  </w:r>
                  <w:r>
                    <w:rPr>
                      <w:rFonts w:hint="default" w:ascii="Times New Roman" w:hAnsi="Times New Roman" w:cs="Times New Roman"/>
                      <w:color w:val="auto"/>
                      <w:lang w:val="en-US"/>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trPr>
              <w:tc>
                <w:tcPr>
                  <w:tcW w:w="0" w:type="auto"/>
                  <w:vMerge w:val="restart"/>
                  <w:tcMar>
                    <w:left w:w="28" w:type="dxa"/>
                    <w:right w:w="28" w:type="dxa"/>
                  </w:tcMar>
                  <w:vAlign w:val="center"/>
                </w:tcPr>
                <w:p>
                  <w:pPr>
                    <w:pStyle w:val="29"/>
                    <w:widowControl/>
                    <w:wordWrap w:val="0"/>
                    <w:spacing w:line="240" w:lineRule="auto"/>
                    <w:rPr>
                      <w:color w:val="auto"/>
                    </w:rPr>
                  </w:pPr>
                  <w:r>
                    <w:rPr>
                      <w:color w:val="auto"/>
                    </w:rPr>
                    <w:t>公用工程</w:t>
                  </w:r>
                </w:p>
              </w:tc>
              <w:tc>
                <w:tcPr>
                  <w:tcW w:w="2665" w:type="dxa"/>
                  <w:gridSpan w:val="2"/>
                  <w:tcMar>
                    <w:left w:w="28" w:type="dxa"/>
                    <w:right w:w="28" w:type="dxa"/>
                  </w:tcMar>
                  <w:vAlign w:val="center"/>
                </w:tcPr>
                <w:p>
                  <w:pPr>
                    <w:pStyle w:val="29"/>
                    <w:widowControl/>
                    <w:wordWrap w:val="0"/>
                    <w:spacing w:line="240" w:lineRule="auto"/>
                    <w:rPr>
                      <w:color w:val="auto"/>
                    </w:rPr>
                  </w:pPr>
                  <w:r>
                    <w:rPr>
                      <w:color w:val="auto"/>
                    </w:rPr>
                    <w:t>给水工程</w:t>
                  </w:r>
                </w:p>
              </w:tc>
              <w:tc>
                <w:tcPr>
                  <w:tcW w:w="1970" w:type="dxa"/>
                  <w:tcMar>
                    <w:left w:w="28" w:type="dxa"/>
                    <w:right w:w="28" w:type="dxa"/>
                  </w:tcMar>
                  <w:vAlign w:val="center"/>
                </w:tcPr>
                <w:p>
                  <w:pPr>
                    <w:pStyle w:val="29"/>
                    <w:widowControl/>
                    <w:wordWrap w:val="0"/>
                    <w:spacing w:line="240" w:lineRule="auto"/>
                    <w:rPr>
                      <w:color w:val="auto"/>
                      <w:lang w:val="en-US"/>
                    </w:rPr>
                  </w:pPr>
                  <w:r>
                    <w:rPr>
                      <w:rFonts w:hint="eastAsia"/>
                      <w:color w:val="auto"/>
                      <w:lang w:val="en-US" w:eastAsia="zh-CN"/>
                    </w:rPr>
                    <w:t>464</w:t>
                  </w:r>
                  <w:r>
                    <w:rPr>
                      <w:color w:val="auto"/>
                    </w:rPr>
                    <w:t>t/a</w:t>
                  </w:r>
                </w:p>
              </w:tc>
              <w:tc>
                <w:tcPr>
                  <w:tcW w:w="4040" w:type="dxa"/>
                  <w:tcMar>
                    <w:left w:w="28" w:type="dxa"/>
                    <w:right w:w="28" w:type="dxa"/>
                  </w:tcMar>
                  <w:vAlign w:val="center"/>
                </w:tcPr>
                <w:p>
                  <w:pPr>
                    <w:pStyle w:val="29"/>
                    <w:widowControl/>
                    <w:wordWrap w:val="0"/>
                    <w:spacing w:line="240" w:lineRule="auto"/>
                    <w:rPr>
                      <w:color w:val="auto"/>
                    </w:rPr>
                  </w:pPr>
                  <w:r>
                    <w:rPr>
                      <w:color w:val="auto"/>
                    </w:rPr>
                    <w:t>自来水管网，供全厂生活用水。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93" w:hRule="atLeast"/>
                <w:jc w:val="center"/>
              </w:trPr>
              <w:tc>
                <w:tcPr>
                  <w:tcW w:w="0" w:type="auto"/>
                  <w:vMerge w:val="continue"/>
                  <w:tcMar>
                    <w:left w:w="28" w:type="dxa"/>
                    <w:right w:w="28" w:type="dxa"/>
                  </w:tcMar>
                  <w:vAlign w:val="center"/>
                </w:tcPr>
                <w:p>
                  <w:pPr>
                    <w:pStyle w:val="29"/>
                    <w:widowControl/>
                    <w:wordWrap w:val="0"/>
                    <w:spacing w:line="240" w:lineRule="auto"/>
                    <w:rPr>
                      <w:color w:val="auto"/>
                    </w:rPr>
                  </w:pPr>
                </w:p>
              </w:tc>
              <w:tc>
                <w:tcPr>
                  <w:tcW w:w="2665" w:type="dxa"/>
                  <w:gridSpan w:val="2"/>
                  <w:tcMar>
                    <w:left w:w="28" w:type="dxa"/>
                    <w:right w:w="28" w:type="dxa"/>
                  </w:tcMar>
                  <w:vAlign w:val="center"/>
                </w:tcPr>
                <w:p>
                  <w:pPr>
                    <w:pStyle w:val="29"/>
                    <w:widowControl/>
                    <w:tabs>
                      <w:tab w:val="left" w:pos="202"/>
                    </w:tabs>
                    <w:spacing w:line="240" w:lineRule="auto"/>
                    <w:rPr>
                      <w:color w:val="auto"/>
                    </w:rPr>
                  </w:pPr>
                  <w:r>
                    <w:rPr>
                      <w:color w:val="auto"/>
                    </w:rPr>
                    <w:t>排水工程</w:t>
                  </w:r>
                </w:p>
              </w:tc>
              <w:tc>
                <w:tcPr>
                  <w:tcW w:w="1970" w:type="dxa"/>
                  <w:tcMar>
                    <w:left w:w="28" w:type="dxa"/>
                    <w:right w:w="28" w:type="dxa"/>
                  </w:tcMar>
                  <w:vAlign w:val="center"/>
                </w:tcPr>
                <w:p>
                  <w:pPr>
                    <w:pStyle w:val="29"/>
                    <w:widowControl/>
                    <w:wordWrap w:val="0"/>
                    <w:spacing w:line="240" w:lineRule="auto"/>
                    <w:rPr>
                      <w:color w:val="auto"/>
                      <w:lang w:val="en-US"/>
                    </w:rPr>
                  </w:pPr>
                  <w:r>
                    <w:rPr>
                      <w:color w:val="auto"/>
                      <w:lang w:val="en-US"/>
                    </w:rPr>
                    <w:t>360</w:t>
                  </w:r>
                  <w:r>
                    <w:rPr>
                      <w:color w:val="auto"/>
                    </w:rPr>
                    <w:t>t/a</w:t>
                  </w:r>
                </w:p>
              </w:tc>
              <w:tc>
                <w:tcPr>
                  <w:tcW w:w="4040" w:type="dxa"/>
                  <w:tcMar>
                    <w:left w:w="28" w:type="dxa"/>
                    <w:right w:w="28" w:type="dxa"/>
                  </w:tcMar>
                  <w:vAlign w:val="center"/>
                </w:tcPr>
                <w:p>
                  <w:pPr>
                    <w:pStyle w:val="29"/>
                    <w:widowControl/>
                    <w:wordWrap w:val="0"/>
                    <w:spacing w:line="240" w:lineRule="auto"/>
                    <w:jc w:val="both"/>
                    <w:rPr>
                      <w:color w:val="auto"/>
                      <w:lang w:val="en-US"/>
                    </w:rPr>
                  </w:pPr>
                  <w:r>
                    <w:rPr>
                      <w:color w:val="auto"/>
                      <w:lang w:val="en-US"/>
                    </w:rPr>
                    <w:t>建设项目生活废水化粪池处理后回用肥田</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104" w:hRule="atLeast"/>
                <w:jc w:val="center"/>
              </w:trPr>
              <w:tc>
                <w:tcPr>
                  <w:tcW w:w="0" w:type="auto"/>
                  <w:vMerge w:val="continue"/>
                  <w:tcMar>
                    <w:left w:w="28" w:type="dxa"/>
                    <w:right w:w="28" w:type="dxa"/>
                  </w:tcMar>
                  <w:vAlign w:val="center"/>
                </w:tcPr>
                <w:p>
                  <w:pPr>
                    <w:pStyle w:val="29"/>
                    <w:widowControl/>
                    <w:wordWrap w:val="0"/>
                    <w:spacing w:line="240" w:lineRule="auto"/>
                    <w:rPr>
                      <w:color w:val="auto"/>
                    </w:rPr>
                  </w:pPr>
                </w:p>
              </w:tc>
              <w:tc>
                <w:tcPr>
                  <w:tcW w:w="2665" w:type="dxa"/>
                  <w:gridSpan w:val="2"/>
                  <w:tcMar>
                    <w:left w:w="28" w:type="dxa"/>
                    <w:right w:w="28" w:type="dxa"/>
                  </w:tcMar>
                  <w:vAlign w:val="center"/>
                </w:tcPr>
                <w:p>
                  <w:pPr>
                    <w:pStyle w:val="29"/>
                    <w:widowControl/>
                    <w:wordWrap w:val="0"/>
                    <w:spacing w:line="240" w:lineRule="auto"/>
                    <w:rPr>
                      <w:color w:val="auto"/>
                    </w:rPr>
                  </w:pPr>
                  <w:r>
                    <w:rPr>
                      <w:color w:val="auto"/>
                    </w:rPr>
                    <w:t>供电工程</w:t>
                  </w:r>
                </w:p>
              </w:tc>
              <w:tc>
                <w:tcPr>
                  <w:tcW w:w="1970" w:type="dxa"/>
                  <w:tcMar>
                    <w:left w:w="28" w:type="dxa"/>
                    <w:right w:w="28" w:type="dxa"/>
                  </w:tcMar>
                  <w:vAlign w:val="center"/>
                </w:tcPr>
                <w:p>
                  <w:pPr>
                    <w:pStyle w:val="29"/>
                    <w:widowControl/>
                    <w:wordWrap w:val="0"/>
                    <w:spacing w:line="240" w:lineRule="auto"/>
                    <w:rPr>
                      <w:color w:val="auto"/>
                      <w:lang w:val="en-US"/>
                    </w:rPr>
                  </w:pPr>
                  <w:r>
                    <w:rPr>
                      <w:color w:val="auto"/>
                      <w:lang w:val="en-US"/>
                    </w:rPr>
                    <w:t>2</w:t>
                  </w:r>
                  <w:r>
                    <w:rPr>
                      <w:color w:val="auto"/>
                    </w:rPr>
                    <w:t>万千瓦时/年</w:t>
                  </w:r>
                </w:p>
              </w:tc>
              <w:tc>
                <w:tcPr>
                  <w:tcW w:w="4040" w:type="dxa"/>
                  <w:tcMar>
                    <w:left w:w="28" w:type="dxa"/>
                    <w:right w:w="28" w:type="dxa"/>
                  </w:tcMar>
                  <w:vAlign w:val="center"/>
                </w:tcPr>
                <w:p>
                  <w:pPr>
                    <w:pStyle w:val="29"/>
                    <w:widowControl/>
                    <w:wordWrap w:val="0"/>
                    <w:spacing w:line="240" w:lineRule="auto"/>
                    <w:rPr>
                      <w:color w:val="auto"/>
                      <w:lang w:val="en-US"/>
                    </w:rPr>
                  </w:pPr>
                  <w:r>
                    <w:rPr>
                      <w:color w:val="auto"/>
                      <w:lang w:val="en-US"/>
                    </w:rPr>
                    <w:t>区域电网</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104" w:hRule="atLeast"/>
                <w:jc w:val="center"/>
              </w:trPr>
              <w:tc>
                <w:tcPr>
                  <w:tcW w:w="0" w:type="auto"/>
                  <w:vMerge w:val="continue"/>
                  <w:tcMar>
                    <w:left w:w="28" w:type="dxa"/>
                    <w:right w:w="28" w:type="dxa"/>
                  </w:tcMar>
                  <w:vAlign w:val="center"/>
                </w:tcPr>
                <w:p>
                  <w:pPr>
                    <w:pStyle w:val="29"/>
                    <w:widowControl/>
                    <w:wordWrap w:val="0"/>
                    <w:spacing w:line="240" w:lineRule="auto"/>
                    <w:rPr>
                      <w:color w:val="auto"/>
                    </w:rPr>
                  </w:pPr>
                </w:p>
              </w:tc>
              <w:tc>
                <w:tcPr>
                  <w:tcW w:w="2665" w:type="dxa"/>
                  <w:gridSpan w:val="2"/>
                  <w:tcMar>
                    <w:left w:w="28" w:type="dxa"/>
                    <w:right w:w="28" w:type="dxa"/>
                  </w:tcMar>
                  <w:vAlign w:val="center"/>
                </w:tcPr>
                <w:p>
                  <w:pPr>
                    <w:pStyle w:val="29"/>
                    <w:widowControl/>
                    <w:wordWrap w:val="0"/>
                    <w:spacing w:line="240" w:lineRule="auto"/>
                    <w:rPr>
                      <w:color w:val="auto"/>
                    </w:rPr>
                  </w:pPr>
                  <w:r>
                    <w:rPr>
                      <w:color w:val="auto"/>
                    </w:rPr>
                    <w:t>压缩空气</w:t>
                  </w:r>
                </w:p>
              </w:tc>
              <w:tc>
                <w:tcPr>
                  <w:tcW w:w="6010" w:type="dxa"/>
                  <w:gridSpan w:val="2"/>
                  <w:tcMar>
                    <w:left w:w="28" w:type="dxa"/>
                    <w:right w:w="28" w:type="dxa"/>
                  </w:tcMar>
                  <w:vAlign w:val="center"/>
                </w:tcPr>
                <w:p>
                  <w:pPr>
                    <w:pStyle w:val="29"/>
                    <w:widowControl/>
                    <w:wordWrap w:val="0"/>
                    <w:spacing w:line="240" w:lineRule="auto"/>
                    <w:rPr>
                      <w:color w:val="auto"/>
                      <w:lang w:val="en-US"/>
                    </w:rPr>
                  </w:pPr>
                  <w:r>
                    <w:rPr>
                      <w:color w:val="auto"/>
                      <w:lang w:val="en-US"/>
                    </w:rPr>
                    <w:t>空压机1台，供气压为0.8MPa，设计负荷40m³/min</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879" w:hRule="atLeast"/>
                <w:jc w:val="center"/>
              </w:trPr>
              <w:tc>
                <w:tcPr>
                  <w:tcW w:w="0" w:type="auto"/>
                  <w:vMerge w:val="restart"/>
                  <w:tcMar>
                    <w:left w:w="28" w:type="dxa"/>
                    <w:right w:w="28" w:type="dxa"/>
                  </w:tcMar>
                  <w:vAlign w:val="center"/>
                </w:tcPr>
                <w:p>
                  <w:pPr>
                    <w:pStyle w:val="29"/>
                    <w:widowControl/>
                    <w:wordWrap w:val="0"/>
                    <w:spacing w:line="240" w:lineRule="auto"/>
                    <w:rPr>
                      <w:color w:val="auto"/>
                    </w:rPr>
                  </w:pPr>
                  <w:r>
                    <w:rPr>
                      <w:color w:val="auto"/>
                      <w:lang w:val="en-US"/>
                    </w:rPr>
                    <w:t>储运工程</w:t>
                  </w:r>
                </w:p>
              </w:tc>
              <w:tc>
                <w:tcPr>
                  <w:tcW w:w="2665" w:type="dxa"/>
                  <w:gridSpan w:val="2"/>
                  <w:vMerge w:val="restart"/>
                  <w:tcMar>
                    <w:left w:w="28" w:type="dxa"/>
                    <w:right w:w="28" w:type="dxa"/>
                  </w:tcMar>
                  <w:vAlign w:val="center"/>
                </w:tcPr>
                <w:p>
                  <w:pPr>
                    <w:pStyle w:val="29"/>
                    <w:widowControl/>
                    <w:wordWrap w:val="0"/>
                    <w:spacing w:line="240" w:lineRule="auto"/>
                    <w:rPr>
                      <w:rFonts w:hint="eastAsia" w:eastAsia="宋体"/>
                      <w:color w:val="auto"/>
                      <w:lang w:val="en-US" w:eastAsia="zh-CN"/>
                    </w:rPr>
                  </w:pPr>
                  <w:r>
                    <w:rPr>
                      <w:rFonts w:hint="eastAsia"/>
                      <w:color w:val="auto"/>
                      <w:lang w:val="en-US" w:eastAsia="zh-CN"/>
                    </w:rPr>
                    <w:t>成品仓库办公楼</w:t>
                  </w:r>
                </w:p>
              </w:tc>
              <w:tc>
                <w:tcPr>
                  <w:tcW w:w="1970" w:type="dxa"/>
                  <w:tcMar>
                    <w:left w:w="28" w:type="dxa"/>
                    <w:right w:w="28" w:type="dxa"/>
                  </w:tcMar>
                  <w:vAlign w:val="center"/>
                </w:tcPr>
                <w:p>
                  <w:pPr>
                    <w:pStyle w:val="29"/>
                    <w:spacing w:line="240" w:lineRule="auto"/>
                    <w:rPr>
                      <w:rFonts w:hint="eastAsia" w:eastAsia="宋体"/>
                      <w:color w:val="auto"/>
                      <w:lang w:val="en-US" w:eastAsia="zh-CN"/>
                    </w:rPr>
                  </w:pPr>
                  <w:r>
                    <w:rPr>
                      <w:color w:val="auto"/>
                    </w:rPr>
                    <w:t>1F，原材料仓库及半成品周转间</w:t>
                  </w:r>
                  <w:r>
                    <w:rPr>
                      <w:rFonts w:hint="eastAsia"/>
                      <w:color w:val="auto"/>
                      <w:lang w:eastAsia="zh-CN"/>
                    </w:rPr>
                    <w:t>、</w:t>
                  </w:r>
                  <w:r>
                    <w:rPr>
                      <w:color w:val="auto"/>
                    </w:rPr>
                    <w:t>成品仓库</w:t>
                  </w:r>
                </w:p>
              </w:tc>
              <w:tc>
                <w:tcPr>
                  <w:tcW w:w="4040" w:type="dxa"/>
                  <w:vMerge w:val="restart"/>
                  <w:tcMar>
                    <w:left w:w="28" w:type="dxa"/>
                    <w:right w:w="28" w:type="dxa"/>
                  </w:tcMar>
                  <w:vAlign w:val="center"/>
                </w:tcPr>
                <w:p>
                  <w:pPr>
                    <w:pStyle w:val="29"/>
                    <w:widowControl/>
                    <w:wordWrap w:val="0"/>
                    <w:spacing w:line="240" w:lineRule="auto"/>
                    <w:rPr>
                      <w:color w:val="auto"/>
                      <w:lang w:val="en-US"/>
                    </w:rPr>
                  </w:pPr>
                  <w:r>
                    <w:rPr>
                      <w:rFonts w:hint="eastAsia"/>
                      <w:color w:val="auto"/>
                      <w:lang w:val="en-US"/>
                    </w:rPr>
                    <w:t>新建厂房，占地面积为</w:t>
                  </w:r>
                  <w:r>
                    <w:rPr>
                      <w:rFonts w:hint="eastAsia"/>
                      <w:color w:val="auto"/>
                      <w:lang w:val="en-US" w:eastAsia="zh-CN"/>
                    </w:rPr>
                    <w:t>5000</w:t>
                  </w:r>
                  <w:r>
                    <w:rPr>
                      <w:color w:val="auto"/>
                      <w:lang w:val="en-US"/>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547" w:hRule="atLeast"/>
                <w:jc w:val="center"/>
              </w:trPr>
              <w:tc>
                <w:tcPr>
                  <w:tcW w:w="0" w:type="auto"/>
                  <w:vMerge w:val="continue"/>
                  <w:tcMar>
                    <w:left w:w="28" w:type="dxa"/>
                    <w:right w:w="28" w:type="dxa"/>
                  </w:tcMar>
                  <w:vAlign w:val="center"/>
                </w:tcPr>
                <w:p>
                  <w:pPr>
                    <w:pStyle w:val="29"/>
                    <w:widowControl/>
                    <w:wordWrap w:val="0"/>
                    <w:spacing w:line="240" w:lineRule="auto"/>
                    <w:rPr>
                      <w:color w:val="auto"/>
                      <w:lang w:val="en-US"/>
                    </w:rPr>
                  </w:pPr>
                </w:p>
              </w:tc>
              <w:tc>
                <w:tcPr>
                  <w:tcW w:w="2665" w:type="dxa"/>
                  <w:gridSpan w:val="2"/>
                  <w:vMerge w:val="continue"/>
                  <w:tcMar>
                    <w:left w:w="28" w:type="dxa"/>
                    <w:right w:w="28" w:type="dxa"/>
                  </w:tcMar>
                  <w:vAlign w:val="center"/>
                </w:tcPr>
                <w:p>
                  <w:pPr>
                    <w:pStyle w:val="29"/>
                    <w:widowControl/>
                    <w:wordWrap w:val="0"/>
                    <w:spacing w:line="240" w:lineRule="auto"/>
                    <w:rPr>
                      <w:color w:val="auto"/>
                      <w:lang w:val="en-US"/>
                    </w:rPr>
                  </w:pPr>
                </w:p>
              </w:tc>
              <w:tc>
                <w:tcPr>
                  <w:tcW w:w="1970" w:type="dxa"/>
                  <w:tcMar>
                    <w:left w:w="28" w:type="dxa"/>
                    <w:right w:w="28" w:type="dxa"/>
                  </w:tcMar>
                  <w:vAlign w:val="center"/>
                </w:tcPr>
                <w:p>
                  <w:pPr>
                    <w:pStyle w:val="29"/>
                    <w:spacing w:line="240" w:lineRule="auto"/>
                    <w:rPr>
                      <w:rFonts w:hint="eastAsia" w:eastAsia="宋体"/>
                      <w:color w:val="auto"/>
                      <w:lang w:eastAsia="zh-CN"/>
                    </w:rPr>
                  </w:pPr>
                  <w:r>
                    <w:rPr>
                      <w:color w:val="auto"/>
                    </w:rPr>
                    <w:t>2F</w:t>
                  </w:r>
                  <w:r>
                    <w:rPr>
                      <w:rFonts w:hint="eastAsia"/>
                      <w:color w:val="auto"/>
                      <w:lang w:val="en-US" w:eastAsia="zh-CN"/>
                    </w:rPr>
                    <w:t>-4F</w:t>
                  </w:r>
                  <w:r>
                    <w:rPr>
                      <w:color w:val="auto"/>
                    </w:rPr>
                    <w:t>，</w:t>
                  </w:r>
                  <w:r>
                    <w:rPr>
                      <w:rFonts w:hint="eastAsia"/>
                      <w:color w:val="auto"/>
                      <w:lang w:eastAsia="zh-CN"/>
                    </w:rPr>
                    <w:t>办公室</w:t>
                  </w:r>
                </w:p>
              </w:tc>
              <w:tc>
                <w:tcPr>
                  <w:tcW w:w="4040" w:type="dxa"/>
                  <w:vMerge w:val="continue"/>
                  <w:tcMar>
                    <w:left w:w="28" w:type="dxa"/>
                    <w:right w:w="28" w:type="dxa"/>
                  </w:tcMar>
                  <w:vAlign w:val="center"/>
                </w:tcPr>
                <w:p>
                  <w:pPr>
                    <w:pStyle w:val="29"/>
                    <w:widowControl/>
                    <w:wordWrap w:val="0"/>
                    <w:spacing w:line="240" w:lineRule="auto"/>
                    <w:rPr>
                      <w:color w:val="auto"/>
                      <w:lang w:val="en-US"/>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765" w:hRule="atLeast"/>
                <w:jc w:val="center"/>
              </w:trPr>
              <w:tc>
                <w:tcPr>
                  <w:tcW w:w="0" w:type="auto"/>
                  <w:vMerge w:val="restart"/>
                  <w:tcMar>
                    <w:left w:w="28" w:type="dxa"/>
                    <w:right w:w="28" w:type="dxa"/>
                  </w:tcMar>
                  <w:vAlign w:val="center"/>
                </w:tcPr>
                <w:p>
                  <w:pPr>
                    <w:pStyle w:val="29"/>
                    <w:widowControl/>
                    <w:wordWrap w:val="0"/>
                    <w:spacing w:line="240" w:lineRule="auto"/>
                    <w:rPr>
                      <w:color w:val="auto"/>
                    </w:rPr>
                  </w:pPr>
                  <w:r>
                    <w:rPr>
                      <w:color w:val="auto"/>
                    </w:rPr>
                    <w:t>环保</w:t>
                  </w:r>
                </w:p>
                <w:p>
                  <w:pPr>
                    <w:pStyle w:val="29"/>
                    <w:widowControl/>
                    <w:wordWrap w:val="0"/>
                    <w:spacing w:line="240" w:lineRule="auto"/>
                    <w:rPr>
                      <w:color w:val="auto"/>
                    </w:rPr>
                  </w:pPr>
                  <w:r>
                    <w:rPr>
                      <w:color w:val="auto"/>
                    </w:rPr>
                    <w:t>工程</w:t>
                  </w:r>
                </w:p>
              </w:tc>
              <w:tc>
                <w:tcPr>
                  <w:tcW w:w="285" w:type="dxa"/>
                  <w:vMerge w:val="restart"/>
                  <w:tcMar>
                    <w:left w:w="28" w:type="dxa"/>
                    <w:right w:w="28" w:type="dxa"/>
                  </w:tcMar>
                  <w:vAlign w:val="center"/>
                </w:tcPr>
                <w:p>
                  <w:pPr>
                    <w:pStyle w:val="29"/>
                    <w:widowControl/>
                    <w:wordWrap w:val="0"/>
                    <w:spacing w:line="240" w:lineRule="auto"/>
                    <w:rPr>
                      <w:color w:val="auto"/>
                    </w:rPr>
                  </w:pPr>
                  <w:r>
                    <w:rPr>
                      <w:color w:val="auto"/>
                    </w:rPr>
                    <w:t>废气</w:t>
                  </w:r>
                </w:p>
              </w:tc>
              <w:tc>
                <w:tcPr>
                  <w:tcW w:w="2380" w:type="dxa"/>
                  <w:tcMar>
                    <w:left w:w="28" w:type="dxa"/>
                    <w:right w:w="28" w:type="dxa"/>
                  </w:tcMar>
                  <w:vAlign w:val="center"/>
                </w:tcPr>
                <w:p>
                  <w:pPr>
                    <w:pStyle w:val="29"/>
                    <w:spacing w:line="240" w:lineRule="auto"/>
                    <w:rPr>
                      <w:color w:val="auto"/>
                      <w:lang w:val="en-US"/>
                    </w:rPr>
                  </w:pPr>
                  <w:r>
                    <w:rPr>
                      <w:color w:val="auto"/>
                      <w:lang w:val="en-US"/>
                    </w:rPr>
                    <w:t>切割、抛丸、打磨</w:t>
                  </w:r>
                  <w:r>
                    <w:rPr>
                      <w:rFonts w:hint="eastAsia"/>
                      <w:color w:val="auto"/>
                      <w:lang w:val="en-US" w:eastAsia="zh-CN"/>
                    </w:rPr>
                    <w:t>、焊接</w:t>
                  </w:r>
                  <w:r>
                    <w:rPr>
                      <w:color w:val="auto"/>
                      <w:lang w:val="en-US"/>
                    </w:rPr>
                    <w:t>工序</w:t>
                  </w:r>
                </w:p>
              </w:tc>
              <w:tc>
                <w:tcPr>
                  <w:tcW w:w="1970" w:type="dxa"/>
                  <w:tcMar>
                    <w:left w:w="28" w:type="dxa"/>
                    <w:right w:w="28" w:type="dxa"/>
                  </w:tcMar>
                  <w:vAlign w:val="center"/>
                </w:tcPr>
                <w:p>
                  <w:pPr>
                    <w:pStyle w:val="29"/>
                    <w:widowControl/>
                    <w:wordWrap w:val="0"/>
                    <w:spacing w:line="240" w:lineRule="auto"/>
                    <w:rPr>
                      <w:color w:val="auto"/>
                      <w:lang w:val="en-US"/>
                    </w:rPr>
                  </w:pPr>
                  <w:r>
                    <w:rPr>
                      <w:color w:val="auto"/>
                      <w:lang w:val="en-US"/>
                    </w:rPr>
                    <w:t>集气罩</w:t>
                  </w:r>
                  <w:r>
                    <w:rPr>
                      <w:rFonts w:hint="eastAsia"/>
                      <w:color w:val="auto"/>
                    </w:rPr>
                    <w:t>收集</w:t>
                  </w:r>
                </w:p>
              </w:tc>
              <w:tc>
                <w:tcPr>
                  <w:tcW w:w="4040" w:type="dxa"/>
                  <w:tcBorders>
                    <w:right w:val="nil"/>
                  </w:tcBorders>
                  <w:tcMar>
                    <w:left w:w="28" w:type="dxa"/>
                    <w:right w:w="28" w:type="dxa"/>
                  </w:tcMar>
                  <w:vAlign w:val="center"/>
                </w:tcPr>
                <w:p>
                  <w:pPr>
                    <w:widowControl/>
                    <w:wordWrap w:val="0"/>
                    <w:overflowPunct w:val="0"/>
                    <w:jc w:val="center"/>
                    <w:textAlignment w:val="baseline"/>
                    <w:rPr>
                      <w:rFonts w:hint="default" w:eastAsia="宋体"/>
                      <w:color w:val="auto"/>
                      <w:szCs w:val="21"/>
                      <w:lang w:val="en-US" w:eastAsia="zh-CN"/>
                    </w:rPr>
                  </w:pPr>
                  <w:r>
                    <w:rPr>
                      <w:color w:val="auto"/>
                    </w:rPr>
                    <w:t>布袋除尘器+15米高排气筒（DA00</w:t>
                  </w:r>
                  <w:r>
                    <w:rPr>
                      <w:rFonts w:hint="eastAsia"/>
                      <w:color w:val="auto"/>
                      <w:lang w:val="en-US" w:eastAsia="zh-CN"/>
                    </w:rPr>
                    <w:t>1</w:t>
                  </w:r>
                  <w:r>
                    <w:rPr>
                      <w:color w:val="auto"/>
                    </w:rPr>
                    <w:t>）排放</w:t>
                  </w:r>
                  <w:r>
                    <w:rPr>
                      <w:rFonts w:hint="eastAsia"/>
                      <w:color w:val="auto"/>
                    </w:rPr>
                    <w:t>，风机风量为15000</w:t>
                  </w:r>
                  <w:r>
                    <w:rPr>
                      <w:rFonts w:hint="eastAsia"/>
                      <w:color w:val="auto"/>
                      <w:lang w:val="en-US" w:eastAsia="zh-CN"/>
                    </w:rPr>
                    <w:t>m</w:t>
                  </w:r>
                  <w:r>
                    <w:rPr>
                      <w:rFonts w:hint="eastAsia"/>
                      <w:color w:val="auto"/>
                      <w:vertAlign w:val="superscript"/>
                      <w:lang w:val="en-US" w:eastAsia="zh-CN"/>
                    </w:rPr>
                    <w:t>3</w:t>
                  </w:r>
                  <w:r>
                    <w:rPr>
                      <w:rFonts w:hint="eastAsia"/>
                      <w:color w:val="auto"/>
                      <w:lang w:val="en-US" w:eastAsia="zh-CN"/>
                    </w:rPr>
                    <w:t>/h</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96" w:hRule="atLeast"/>
                <w:jc w:val="center"/>
              </w:trPr>
              <w:tc>
                <w:tcPr>
                  <w:tcW w:w="0" w:type="auto"/>
                  <w:vMerge w:val="continue"/>
                  <w:tcMar>
                    <w:left w:w="28" w:type="dxa"/>
                    <w:right w:w="28" w:type="dxa"/>
                  </w:tcMar>
                  <w:vAlign w:val="center"/>
                </w:tcPr>
                <w:p>
                  <w:pPr>
                    <w:pStyle w:val="29"/>
                    <w:widowControl/>
                    <w:wordWrap w:val="0"/>
                    <w:spacing w:line="240" w:lineRule="auto"/>
                    <w:rPr>
                      <w:color w:val="auto"/>
                    </w:rPr>
                  </w:pPr>
                </w:p>
                <w:p>
                  <w:pPr>
                    <w:pStyle w:val="29"/>
                    <w:widowControl/>
                    <w:wordWrap w:val="0"/>
                    <w:spacing w:line="240" w:lineRule="auto"/>
                    <w:rPr>
                      <w:color w:val="auto"/>
                    </w:rPr>
                  </w:pPr>
                </w:p>
              </w:tc>
              <w:tc>
                <w:tcPr>
                  <w:tcW w:w="285" w:type="dxa"/>
                  <w:vMerge w:val="continue"/>
                  <w:tcMar>
                    <w:left w:w="28" w:type="dxa"/>
                    <w:right w:w="28" w:type="dxa"/>
                  </w:tcMar>
                  <w:vAlign w:val="center"/>
                </w:tcPr>
                <w:p>
                  <w:pPr>
                    <w:pStyle w:val="29"/>
                    <w:widowControl/>
                    <w:wordWrap w:val="0"/>
                    <w:spacing w:line="240" w:lineRule="auto"/>
                    <w:jc w:val="both"/>
                    <w:rPr>
                      <w:color w:val="auto"/>
                    </w:rPr>
                  </w:pPr>
                </w:p>
              </w:tc>
              <w:tc>
                <w:tcPr>
                  <w:tcW w:w="2380" w:type="dxa"/>
                  <w:tcMar>
                    <w:left w:w="28" w:type="dxa"/>
                    <w:right w:w="28" w:type="dxa"/>
                  </w:tcMar>
                  <w:vAlign w:val="center"/>
                </w:tcPr>
                <w:p>
                  <w:pPr>
                    <w:pStyle w:val="29"/>
                    <w:widowControl/>
                    <w:wordWrap w:val="0"/>
                    <w:spacing w:line="240" w:lineRule="auto"/>
                    <w:rPr>
                      <w:color w:val="auto"/>
                      <w:lang w:val="en-US"/>
                    </w:rPr>
                  </w:pPr>
                  <w:r>
                    <w:rPr>
                      <w:color w:val="auto"/>
                      <w:lang w:val="en-US"/>
                    </w:rPr>
                    <w:t>喷漆废气（非甲烷总烃、颗粒物）</w:t>
                  </w:r>
                </w:p>
              </w:tc>
              <w:tc>
                <w:tcPr>
                  <w:tcW w:w="1970" w:type="dxa"/>
                  <w:vMerge w:val="restart"/>
                  <w:tcMar>
                    <w:left w:w="28" w:type="dxa"/>
                    <w:right w:w="28" w:type="dxa"/>
                  </w:tcMar>
                  <w:vAlign w:val="center"/>
                </w:tcPr>
                <w:p>
                  <w:pPr>
                    <w:pStyle w:val="29"/>
                    <w:widowControl/>
                    <w:wordWrap w:val="0"/>
                    <w:spacing w:line="240" w:lineRule="auto"/>
                    <w:rPr>
                      <w:color w:val="auto"/>
                      <w:lang w:val="en-US"/>
                    </w:rPr>
                  </w:pPr>
                  <w:r>
                    <w:rPr>
                      <w:rFonts w:hint="eastAsia"/>
                      <w:color w:val="auto"/>
                      <w:lang w:val="en-US" w:eastAsia="zh-CN"/>
                    </w:rPr>
                    <w:t>车间密闭</w:t>
                  </w:r>
                  <w:r>
                    <w:rPr>
                      <w:color w:val="auto"/>
                      <w:lang w:val="en-US"/>
                    </w:rPr>
                    <w:t>负压收集</w:t>
                  </w:r>
                </w:p>
              </w:tc>
              <w:tc>
                <w:tcPr>
                  <w:tcW w:w="4040" w:type="dxa"/>
                  <w:vMerge w:val="restart"/>
                  <w:vAlign w:val="center"/>
                </w:tcPr>
                <w:p>
                  <w:pPr>
                    <w:widowControl/>
                    <w:wordWrap w:val="0"/>
                    <w:overflowPunct w:val="0"/>
                    <w:jc w:val="center"/>
                    <w:textAlignment w:val="baseline"/>
                    <w:rPr>
                      <w:color w:val="auto"/>
                    </w:rPr>
                  </w:pPr>
                  <w:r>
                    <w:rPr>
                      <w:color w:val="auto"/>
                    </w:rPr>
                    <w:t>干式过滤棉+</w:t>
                  </w:r>
                  <w:r>
                    <w:rPr>
                      <w:rFonts w:hint="eastAsia"/>
                      <w:color w:val="auto"/>
                      <w:lang w:eastAsia="zh-CN"/>
                    </w:rPr>
                    <w:t>二</w:t>
                  </w:r>
                  <w:r>
                    <w:rPr>
                      <w:color w:val="auto"/>
                    </w:rPr>
                    <w:t>级活性炭吸附+15米排气筒（DA00</w:t>
                  </w:r>
                  <w:r>
                    <w:rPr>
                      <w:rFonts w:hint="eastAsia"/>
                      <w:color w:val="auto"/>
                      <w:lang w:val="en-US" w:eastAsia="zh-CN"/>
                    </w:rPr>
                    <w:t>2</w:t>
                  </w:r>
                  <w:r>
                    <w:rPr>
                      <w:color w:val="auto"/>
                    </w:rPr>
                    <w:t>）排放</w:t>
                  </w:r>
                  <w:r>
                    <w:rPr>
                      <w:rFonts w:hint="eastAsia"/>
                      <w:color w:val="auto"/>
                    </w:rPr>
                    <w:t>，风机风量为</w:t>
                  </w:r>
                  <w:r>
                    <w:rPr>
                      <w:rFonts w:hint="eastAsia"/>
                      <w:color w:val="auto"/>
                      <w:lang w:val="en-US" w:eastAsia="zh-CN"/>
                    </w:rPr>
                    <w:t>22000m</w:t>
                  </w:r>
                  <w:r>
                    <w:rPr>
                      <w:rFonts w:hint="eastAsia"/>
                      <w:color w:val="auto"/>
                      <w:vertAlign w:val="superscript"/>
                      <w:lang w:val="en-US" w:eastAsia="zh-CN"/>
                    </w:rPr>
                    <w:t>3</w:t>
                  </w:r>
                  <w:r>
                    <w:rPr>
                      <w:rFonts w:hint="eastAsia"/>
                      <w:color w:val="auto"/>
                      <w:lang w:val="en-US" w:eastAsia="zh-CN"/>
                    </w:rPr>
                    <w:t>/h</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96" w:hRule="atLeast"/>
                <w:jc w:val="center"/>
              </w:trPr>
              <w:tc>
                <w:tcPr>
                  <w:tcW w:w="0" w:type="auto"/>
                  <w:vMerge w:val="continue"/>
                  <w:tcMar>
                    <w:left w:w="28" w:type="dxa"/>
                    <w:right w:w="28" w:type="dxa"/>
                  </w:tcMar>
                  <w:vAlign w:val="center"/>
                </w:tcPr>
                <w:p>
                  <w:pPr>
                    <w:pStyle w:val="29"/>
                    <w:widowControl/>
                    <w:wordWrap w:val="0"/>
                    <w:spacing w:line="240" w:lineRule="auto"/>
                    <w:rPr>
                      <w:color w:val="auto"/>
                    </w:rPr>
                  </w:pPr>
                </w:p>
              </w:tc>
              <w:tc>
                <w:tcPr>
                  <w:tcW w:w="285" w:type="dxa"/>
                  <w:vMerge w:val="continue"/>
                  <w:tcMar>
                    <w:left w:w="28" w:type="dxa"/>
                    <w:right w:w="28" w:type="dxa"/>
                  </w:tcMar>
                  <w:vAlign w:val="center"/>
                </w:tcPr>
                <w:p>
                  <w:pPr>
                    <w:pStyle w:val="29"/>
                    <w:widowControl/>
                    <w:wordWrap w:val="0"/>
                    <w:spacing w:line="240" w:lineRule="auto"/>
                    <w:jc w:val="both"/>
                    <w:rPr>
                      <w:color w:val="auto"/>
                    </w:rPr>
                  </w:pPr>
                </w:p>
              </w:tc>
              <w:tc>
                <w:tcPr>
                  <w:tcW w:w="2380" w:type="dxa"/>
                  <w:tcMar>
                    <w:left w:w="28" w:type="dxa"/>
                    <w:right w:w="28" w:type="dxa"/>
                  </w:tcMar>
                  <w:vAlign w:val="center"/>
                </w:tcPr>
                <w:p>
                  <w:pPr>
                    <w:pStyle w:val="29"/>
                    <w:widowControl/>
                    <w:wordWrap w:val="0"/>
                    <w:spacing w:line="240" w:lineRule="auto"/>
                    <w:rPr>
                      <w:color w:val="auto"/>
                      <w:lang w:val="en-US"/>
                    </w:rPr>
                  </w:pPr>
                  <w:r>
                    <w:rPr>
                      <w:color w:val="auto"/>
                      <w:lang w:val="en-US"/>
                    </w:rPr>
                    <w:t>晾干废气（非甲烷总烃）</w:t>
                  </w:r>
                </w:p>
              </w:tc>
              <w:tc>
                <w:tcPr>
                  <w:tcW w:w="1970" w:type="dxa"/>
                  <w:vMerge w:val="continue"/>
                  <w:tcMar>
                    <w:left w:w="28" w:type="dxa"/>
                    <w:right w:w="28" w:type="dxa"/>
                  </w:tcMar>
                  <w:vAlign w:val="center"/>
                </w:tcPr>
                <w:p>
                  <w:pPr>
                    <w:pStyle w:val="29"/>
                    <w:widowControl/>
                    <w:wordWrap w:val="0"/>
                    <w:spacing w:line="240" w:lineRule="auto"/>
                    <w:rPr>
                      <w:color w:val="auto"/>
                      <w:lang w:val="en-US"/>
                    </w:rPr>
                  </w:pPr>
                </w:p>
              </w:tc>
              <w:tc>
                <w:tcPr>
                  <w:tcW w:w="4040" w:type="dxa"/>
                  <w:vMerge w:val="continue"/>
                  <w:vAlign w:val="center"/>
                </w:tcPr>
                <w:p>
                  <w:pPr>
                    <w:widowControl/>
                    <w:wordWrap w:val="0"/>
                    <w:overflowPunct w:val="0"/>
                    <w:jc w:val="center"/>
                    <w:textAlignment w:val="baseline"/>
                    <w:rPr>
                      <w:color w:val="auto"/>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96" w:hRule="atLeast"/>
                <w:jc w:val="center"/>
              </w:trPr>
              <w:tc>
                <w:tcPr>
                  <w:tcW w:w="0" w:type="auto"/>
                  <w:vMerge w:val="continue"/>
                  <w:tcMar>
                    <w:left w:w="28" w:type="dxa"/>
                    <w:right w:w="28" w:type="dxa"/>
                  </w:tcMar>
                  <w:vAlign w:val="center"/>
                </w:tcPr>
                <w:p>
                  <w:pPr>
                    <w:pStyle w:val="29"/>
                    <w:widowControl/>
                    <w:wordWrap w:val="0"/>
                    <w:spacing w:line="240" w:lineRule="auto"/>
                    <w:rPr>
                      <w:color w:val="auto"/>
                    </w:rPr>
                  </w:pPr>
                </w:p>
              </w:tc>
              <w:tc>
                <w:tcPr>
                  <w:tcW w:w="285" w:type="dxa"/>
                  <w:vMerge w:val="continue"/>
                  <w:tcMar>
                    <w:left w:w="28" w:type="dxa"/>
                    <w:right w:w="28" w:type="dxa"/>
                  </w:tcMar>
                  <w:vAlign w:val="center"/>
                </w:tcPr>
                <w:p>
                  <w:pPr>
                    <w:pStyle w:val="29"/>
                    <w:widowControl/>
                    <w:wordWrap w:val="0"/>
                    <w:spacing w:line="240" w:lineRule="auto"/>
                    <w:jc w:val="both"/>
                    <w:rPr>
                      <w:color w:val="auto"/>
                    </w:rPr>
                  </w:pPr>
                </w:p>
              </w:tc>
              <w:tc>
                <w:tcPr>
                  <w:tcW w:w="2380" w:type="dxa"/>
                  <w:tcMar>
                    <w:left w:w="28" w:type="dxa"/>
                    <w:right w:w="28" w:type="dxa"/>
                  </w:tcMar>
                  <w:vAlign w:val="center"/>
                </w:tcPr>
                <w:p>
                  <w:pPr>
                    <w:pStyle w:val="29"/>
                    <w:spacing w:line="240" w:lineRule="auto"/>
                    <w:rPr>
                      <w:color w:val="auto"/>
                      <w:lang w:val="en-US"/>
                    </w:rPr>
                  </w:pPr>
                  <w:r>
                    <w:rPr>
                      <w:rFonts w:hint="eastAsia"/>
                      <w:color w:val="auto"/>
                      <w:lang w:val="en-US" w:eastAsia="zh-CN"/>
                    </w:rPr>
                    <w:t>危废库废气（非甲烷总烃）</w:t>
                  </w:r>
                </w:p>
              </w:tc>
              <w:tc>
                <w:tcPr>
                  <w:tcW w:w="1970" w:type="dxa"/>
                  <w:vMerge w:val="continue"/>
                  <w:tcMar>
                    <w:left w:w="28" w:type="dxa"/>
                    <w:right w:w="28" w:type="dxa"/>
                  </w:tcMar>
                  <w:vAlign w:val="center"/>
                </w:tcPr>
                <w:p>
                  <w:pPr>
                    <w:pStyle w:val="29"/>
                    <w:widowControl/>
                    <w:wordWrap w:val="0"/>
                    <w:spacing w:line="240" w:lineRule="auto"/>
                    <w:rPr>
                      <w:color w:val="auto"/>
                      <w:lang w:val="en-US"/>
                    </w:rPr>
                  </w:pPr>
                </w:p>
              </w:tc>
              <w:tc>
                <w:tcPr>
                  <w:tcW w:w="4040" w:type="dxa"/>
                  <w:vMerge w:val="continue"/>
                  <w:vAlign w:val="center"/>
                </w:tcPr>
                <w:p>
                  <w:pPr>
                    <w:widowControl/>
                    <w:wordWrap w:val="0"/>
                    <w:overflowPunct w:val="0"/>
                    <w:jc w:val="center"/>
                    <w:textAlignment w:val="baseline"/>
                    <w:rPr>
                      <w:color w:val="auto"/>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158" w:hRule="atLeast"/>
                <w:jc w:val="center"/>
              </w:trPr>
              <w:tc>
                <w:tcPr>
                  <w:tcW w:w="0" w:type="auto"/>
                  <w:vMerge w:val="continue"/>
                  <w:tcMar>
                    <w:left w:w="28" w:type="dxa"/>
                    <w:right w:w="28" w:type="dxa"/>
                  </w:tcMar>
                  <w:vAlign w:val="center"/>
                </w:tcPr>
                <w:p>
                  <w:pPr>
                    <w:pStyle w:val="29"/>
                    <w:widowControl/>
                    <w:wordWrap w:val="0"/>
                    <w:spacing w:line="240" w:lineRule="auto"/>
                    <w:rPr>
                      <w:color w:val="auto"/>
                    </w:rPr>
                  </w:pPr>
                </w:p>
              </w:tc>
              <w:tc>
                <w:tcPr>
                  <w:tcW w:w="285" w:type="dxa"/>
                  <w:tcMar>
                    <w:left w:w="28" w:type="dxa"/>
                    <w:right w:w="28" w:type="dxa"/>
                  </w:tcMar>
                  <w:vAlign w:val="center"/>
                </w:tcPr>
                <w:p>
                  <w:pPr>
                    <w:pStyle w:val="29"/>
                    <w:widowControl/>
                    <w:wordWrap w:val="0"/>
                    <w:spacing w:line="240" w:lineRule="auto"/>
                    <w:rPr>
                      <w:color w:val="auto"/>
                    </w:rPr>
                  </w:pPr>
                  <w:r>
                    <w:rPr>
                      <w:color w:val="auto"/>
                    </w:rPr>
                    <w:t>废水</w:t>
                  </w:r>
                </w:p>
              </w:tc>
              <w:tc>
                <w:tcPr>
                  <w:tcW w:w="2380" w:type="dxa"/>
                  <w:tcMar>
                    <w:left w:w="28" w:type="dxa"/>
                    <w:right w:w="28" w:type="dxa"/>
                  </w:tcMar>
                  <w:vAlign w:val="center"/>
                </w:tcPr>
                <w:p>
                  <w:pPr>
                    <w:pStyle w:val="29"/>
                    <w:widowControl/>
                    <w:wordWrap w:val="0"/>
                    <w:spacing w:line="240" w:lineRule="auto"/>
                    <w:rPr>
                      <w:color w:val="auto"/>
                    </w:rPr>
                  </w:pPr>
                  <w:r>
                    <w:rPr>
                      <w:color w:val="auto"/>
                    </w:rPr>
                    <w:t>生活污水</w:t>
                  </w:r>
                </w:p>
              </w:tc>
              <w:tc>
                <w:tcPr>
                  <w:tcW w:w="1970" w:type="dxa"/>
                  <w:tcMar>
                    <w:left w:w="28" w:type="dxa"/>
                    <w:right w:w="28" w:type="dxa"/>
                  </w:tcMar>
                  <w:vAlign w:val="center"/>
                </w:tcPr>
                <w:p>
                  <w:pPr>
                    <w:pStyle w:val="29"/>
                    <w:widowControl/>
                    <w:wordWrap w:val="0"/>
                    <w:spacing w:line="240" w:lineRule="auto"/>
                    <w:rPr>
                      <w:color w:val="auto"/>
                      <w:lang w:val="en-US"/>
                    </w:rPr>
                  </w:pPr>
                  <w:r>
                    <w:rPr>
                      <w:color w:val="auto"/>
                      <w:lang w:val="en-US"/>
                    </w:rPr>
                    <w:t>化粪池</w:t>
                  </w:r>
                </w:p>
              </w:tc>
              <w:tc>
                <w:tcPr>
                  <w:tcW w:w="4040" w:type="dxa"/>
                  <w:tcMar>
                    <w:left w:w="28" w:type="dxa"/>
                    <w:right w:w="28" w:type="dxa"/>
                  </w:tcMar>
                  <w:vAlign w:val="center"/>
                </w:tcPr>
                <w:p>
                  <w:pPr>
                    <w:pStyle w:val="29"/>
                    <w:widowControl/>
                    <w:wordWrap w:val="0"/>
                    <w:spacing w:line="240" w:lineRule="auto"/>
                    <w:rPr>
                      <w:color w:val="auto"/>
                      <w:lang w:val="en-US"/>
                    </w:rPr>
                  </w:pPr>
                  <w:r>
                    <w:rPr>
                      <w:color w:val="auto"/>
                      <w:lang w:val="en-US"/>
                    </w:rPr>
                    <w:t>8</w:t>
                  </w:r>
                  <w:r>
                    <w:rPr>
                      <w:color w:val="auto"/>
                    </w:rPr>
                    <w:t>m</w:t>
                  </w:r>
                  <w:r>
                    <w:rPr>
                      <w:color w:val="auto"/>
                      <w:vertAlign w:val="superscript"/>
                    </w:rPr>
                    <w:t>3</w:t>
                  </w:r>
                  <w:r>
                    <w:rPr>
                      <w:color w:val="auto"/>
                    </w:rPr>
                    <w:t>（</w:t>
                  </w:r>
                  <w:r>
                    <w:rPr>
                      <w:color w:val="auto"/>
                      <w:lang w:val="en-US"/>
                    </w:rPr>
                    <w:t>化粪池</w:t>
                  </w:r>
                  <w:r>
                    <w:rPr>
                      <w:color w:val="auto"/>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173" w:hRule="atLeast"/>
                <w:jc w:val="center"/>
              </w:trPr>
              <w:tc>
                <w:tcPr>
                  <w:tcW w:w="0" w:type="auto"/>
                  <w:vMerge w:val="continue"/>
                  <w:tcMar>
                    <w:left w:w="28" w:type="dxa"/>
                    <w:right w:w="28" w:type="dxa"/>
                  </w:tcMar>
                  <w:vAlign w:val="center"/>
                </w:tcPr>
                <w:p>
                  <w:pPr>
                    <w:pStyle w:val="29"/>
                    <w:widowControl/>
                    <w:wordWrap w:val="0"/>
                    <w:spacing w:line="240" w:lineRule="auto"/>
                    <w:rPr>
                      <w:color w:val="auto"/>
                    </w:rPr>
                  </w:pPr>
                </w:p>
              </w:tc>
              <w:tc>
                <w:tcPr>
                  <w:tcW w:w="2665" w:type="dxa"/>
                  <w:gridSpan w:val="2"/>
                  <w:tcMar>
                    <w:left w:w="28" w:type="dxa"/>
                    <w:right w:w="28" w:type="dxa"/>
                  </w:tcMar>
                  <w:vAlign w:val="center"/>
                </w:tcPr>
                <w:p>
                  <w:pPr>
                    <w:pStyle w:val="29"/>
                    <w:widowControl/>
                    <w:wordWrap w:val="0"/>
                    <w:spacing w:line="240" w:lineRule="auto"/>
                    <w:rPr>
                      <w:color w:val="auto"/>
                      <w:lang w:val="en-US"/>
                    </w:rPr>
                  </w:pPr>
                  <w:r>
                    <w:rPr>
                      <w:color w:val="auto"/>
                      <w:lang w:val="en-US"/>
                    </w:rPr>
                    <w:t>噪声</w:t>
                  </w:r>
                </w:p>
              </w:tc>
              <w:tc>
                <w:tcPr>
                  <w:tcW w:w="6010" w:type="dxa"/>
                  <w:gridSpan w:val="2"/>
                  <w:tcMar>
                    <w:left w:w="28" w:type="dxa"/>
                    <w:right w:w="28" w:type="dxa"/>
                  </w:tcMar>
                  <w:vAlign w:val="center"/>
                </w:tcPr>
                <w:p>
                  <w:pPr>
                    <w:pStyle w:val="29"/>
                    <w:widowControl/>
                    <w:wordWrap w:val="0"/>
                    <w:spacing w:line="240" w:lineRule="auto"/>
                    <w:rPr>
                      <w:color w:val="auto"/>
                    </w:rPr>
                  </w:pPr>
                  <w:r>
                    <w:rPr>
                      <w:color w:val="auto"/>
                    </w:rPr>
                    <w:t>减震、厂房隔声</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196" w:hRule="atLeast"/>
                <w:jc w:val="center"/>
              </w:trPr>
              <w:tc>
                <w:tcPr>
                  <w:tcW w:w="0" w:type="auto"/>
                  <w:vMerge w:val="continue"/>
                  <w:tcMar>
                    <w:left w:w="28" w:type="dxa"/>
                    <w:right w:w="28" w:type="dxa"/>
                  </w:tcMar>
                  <w:vAlign w:val="center"/>
                </w:tcPr>
                <w:p>
                  <w:pPr>
                    <w:pStyle w:val="29"/>
                    <w:widowControl/>
                    <w:wordWrap w:val="0"/>
                    <w:spacing w:line="240" w:lineRule="auto"/>
                    <w:rPr>
                      <w:color w:val="auto"/>
                    </w:rPr>
                  </w:pPr>
                </w:p>
              </w:tc>
              <w:tc>
                <w:tcPr>
                  <w:tcW w:w="2665" w:type="dxa"/>
                  <w:gridSpan w:val="2"/>
                  <w:vMerge w:val="restart"/>
                  <w:tcMar>
                    <w:left w:w="28" w:type="dxa"/>
                    <w:right w:w="28" w:type="dxa"/>
                  </w:tcMar>
                  <w:vAlign w:val="center"/>
                </w:tcPr>
                <w:p>
                  <w:pPr>
                    <w:pStyle w:val="29"/>
                    <w:widowControl/>
                    <w:wordWrap w:val="0"/>
                    <w:spacing w:line="240" w:lineRule="auto"/>
                    <w:rPr>
                      <w:color w:val="auto"/>
                      <w:lang w:val="en-US"/>
                    </w:rPr>
                  </w:pPr>
                  <w:r>
                    <w:rPr>
                      <w:color w:val="auto"/>
                    </w:rPr>
                    <w:t>固废</w:t>
                  </w:r>
                </w:p>
              </w:tc>
              <w:tc>
                <w:tcPr>
                  <w:tcW w:w="1970" w:type="dxa"/>
                  <w:tcMar>
                    <w:left w:w="28" w:type="dxa"/>
                    <w:right w:w="28" w:type="dxa"/>
                  </w:tcMar>
                  <w:vAlign w:val="center"/>
                </w:tcPr>
                <w:p>
                  <w:pPr>
                    <w:pStyle w:val="29"/>
                    <w:widowControl/>
                    <w:wordWrap w:val="0"/>
                    <w:spacing w:line="240" w:lineRule="auto"/>
                    <w:rPr>
                      <w:color w:val="auto"/>
                    </w:rPr>
                  </w:pPr>
                  <w:r>
                    <w:rPr>
                      <w:color w:val="auto"/>
                      <w:lang w:val="en-US"/>
                    </w:rPr>
                    <w:t>1座</w:t>
                  </w:r>
                  <w:r>
                    <w:rPr>
                      <w:color w:val="auto"/>
                    </w:rPr>
                    <w:t>一般固废暂存库</w:t>
                  </w:r>
                </w:p>
              </w:tc>
              <w:tc>
                <w:tcPr>
                  <w:tcW w:w="4040" w:type="dxa"/>
                  <w:vMerge w:val="restart"/>
                  <w:tcMar>
                    <w:left w:w="28" w:type="dxa"/>
                    <w:right w:w="28" w:type="dxa"/>
                  </w:tcMar>
                  <w:vAlign w:val="center"/>
                </w:tcPr>
                <w:p>
                  <w:pPr>
                    <w:pStyle w:val="29"/>
                    <w:widowControl/>
                    <w:wordWrap w:val="0"/>
                    <w:spacing w:line="240" w:lineRule="auto"/>
                    <w:rPr>
                      <w:color w:val="auto"/>
                      <w:lang w:val="en-US"/>
                    </w:rPr>
                  </w:pPr>
                  <w:r>
                    <w:rPr>
                      <w:rFonts w:hint="eastAsia"/>
                      <w:color w:val="auto"/>
                      <w:lang w:val="en-US"/>
                    </w:rPr>
                    <w:t>一般固废库</w:t>
                  </w:r>
                  <w:r>
                    <w:rPr>
                      <w:color w:val="auto"/>
                      <w:lang w:val="en-US"/>
                    </w:rPr>
                    <w:t>50</w:t>
                  </w:r>
                  <w:r>
                    <w:rPr>
                      <w:color w:val="auto"/>
                    </w:rPr>
                    <w:t>m</w:t>
                  </w:r>
                  <w:r>
                    <w:rPr>
                      <w:color w:val="auto"/>
                      <w:vertAlign w:val="superscript"/>
                    </w:rPr>
                    <w:t>2</w:t>
                  </w:r>
                  <w:r>
                    <w:rPr>
                      <w:rFonts w:hint="eastAsia"/>
                      <w:color w:val="auto"/>
                    </w:rPr>
                    <w:t>，</w:t>
                  </w:r>
                  <w:r>
                    <w:rPr>
                      <w:rFonts w:hint="eastAsia"/>
                      <w:color w:val="auto"/>
                      <w:lang w:val="en-US"/>
                    </w:rPr>
                    <w:t>危废暂存库</w:t>
                  </w:r>
                  <w:r>
                    <w:rPr>
                      <w:rFonts w:hint="eastAsia"/>
                      <w:color w:val="auto"/>
                      <w:lang w:val="en-US" w:eastAsia="zh-CN"/>
                    </w:rPr>
                    <w:t>15</w:t>
                  </w:r>
                  <w:r>
                    <w:rPr>
                      <w:color w:val="auto"/>
                    </w:rPr>
                    <w:t>m</w:t>
                  </w:r>
                  <w:r>
                    <w:rPr>
                      <w:color w:val="auto"/>
                      <w:vertAlign w:val="superscript"/>
                    </w:rPr>
                    <w:t>2</w:t>
                  </w:r>
                </w:p>
                <w:p>
                  <w:pPr>
                    <w:pStyle w:val="29"/>
                    <w:widowControl/>
                    <w:wordWrap w:val="0"/>
                    <w:spacing w:line="240" w:lineRule="auto"/>
                    <w:rPr>
                      <w:rFonts w:hint="eastAsia" w:eastAsia="宋体"/>
                      <w:color w:val="auto"/>
                      <w:lang w:val="en-US" w:eastAsia="zh-CN"/>
                    </w:rPr>
                  </w:pPr>
                  <w:r>
                    <w:rPr>
                      <w:color w:val="auto"/>
                      <w:lang w:val="en-US"/>
                    </w:rPr>
                    <w:t>设置在</w:t>
                  </w:r>
                  <w:r>
                    <w:rPr>
                      <w:rFonts w:hint="eastAsia"/>
                      <w:color w:val="auto"/>
                      <w:lang w:val="en-US" w:eastAsia="zh-CN"/>
                    </w:rPr>
                    <w:t>成品仓库</w:t>
                  </w:r>
                  <w:r>
                    <w:rPr>
                      <w:color w:val="auto"/>
                      <w:lang w:val="en-US"/>
                    </w:rPr>
                    <w:t>厂房</w:t>
                  </w:r>
                  <w:r>
                    <w:rPr>
                      <w:rFonts w:hint="eastAsia"/>
                      <w:color w:val="auto"/>
                      <w:lang w:val="en-US" w:eastAsia="zh-CN"/>
                    </w:rPr>
                    <w:t>内</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trPr>
              <w:tc>
                <w:tcPr>
                  <w:tcW w:w="0" w:type="auto"/>
                  <w:vMerge w:val="continue"/>
                  <w:tcMar>
                    <w:left w:w="28" w:type="dxa"/>
                    <w:right w:w="28" w:type="dxa"/>
                  </w:tcMar>
                  <w:vAlign w:val="center"/>
                </w:tcPr>
                <w:p>
                  <w:pPr>
                    <w:pStyle w:val="29"/>
                    <w:widowControl/>
                    <w:wordWrap w:val="0"/>
                    <w:spacing w:line="240" w:lineRule="auto"/>
                    <w:rPr>
                      <w:color w:val="auto"/>
                    </w:rPr>
                  </w:pPr>
                </w:p>
              </w:tc>
              <w:tc>
                <w:tcPr>
                  <w:tcW w:w="2665" w:type="dxa"/>
                  <w:gridSpan w:val="2"/>
                  <w:vMerge w:val="continue"/>
                  <w:tcMar>
                    <w:left w:w="28" w:type="dxa"/>
                    <w:right w:w="28" w:type="dxa"/>
                  </w:tcMar>
                  <w:vAlign w:val="center"/>
                </w:tcPr>
                <w:p>
                  <w:pPr>
                    <w:pStyle w:val="29"/>
                    <w:widowControl/>
                    <w:wordWrap w:val="0"/>
                    <w:spacing w:line="240" w:lineRule="auto"/>
                    <w:rPr>
                      <w:color w:val="auto"/>
                    </w:rPr>
                  </w:pPr>
                </w:p>
              </w:tc>
              <w:tc>
                <w:tcPr>
                  <w:tcW w:w="1970" w:type="dxa"/>
                  <w:tcMar>
                    <w:left w:w="28" w:type="dxa"/>
                    <w:right w:w="28" w:type="dxa"/>
                  </w:tcMar>
                  <w:vAlign w:val="center"/>
                </w:tcPr>
                <w:p>
                  <w:pPr>
                    <w:pStyle w:val="29"/>
                    <w:widowControl/>
                    <w:wordWrap w:val="0"/>
                    <w:spacing w:line="240" w:lineRule="auto"/>
                    <w:rPr>
                      <w:color w:val="auto"/>
                    </w:rPr>
                  </w:pPr>
                  <w:r>
                    <w:rPr>
                      <w:color w:val="auto"/>
                      <w:lang w:val="en-US"/>
                    </w:rPr>
                    <w:t>1座</w:t>
                  </w:r>
                  <w:r>
                    <w:rPr>
                      <w:color w:val="auto"/>
                    </w:rPr>
                    <w:t>危废暂存库</w:t>
                  </w:r>
                </w:p>
              </w:tc>
              <w:tc>
                <w:tcPr>
                  <w:tcW w:w="4040" w:type="dxa"/>
                  <w:vMerge w:val="continue"/>
                  <w:tcMar>
                    <w:left w:w="28" w:type="dxa"/>
                    <w:right w:w="28" w:type="dxa"/>
                  </w:tcMar>
                  <w:vAlign w:val="center"/>
                </w:tcPr>
                <w:p>
                  <w:pPr>
                    <w:pStyle w:val="29"/>
                    <w:widowControl/>
                    <w:wordWrap w:val="0"/>
                    <w:spacing w:line="240" w:lineRule="auto"/>
                    <w:rPr>
                      <w:color w:val="auto"/>
                      <w:lang w:val="en-US"/>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14" w:hRule="atLeast"/>
                <w:jc w:val="center"/>
              </w:trPr>
              <w:tc>
                <w:tcPr>
                  <w:tcW w:w="0" w:type="auto"/>
                  <w:tcMar>
                    <w:left w:w="28" w:type="dxa"/>
                    <w:right w:w="28" w:type="dxa"/>
                  </w:tcMar>
                  <w:vAlign w:val="center"/>
                </w:tcPr>
                <w:p>
                  <w:pPr>
                    <w:pStyle w:val="29"/>
                    <w:spacing w:line="240" w:lineRule="auto"/>
                    <w:rPr>
                      <w:color w:val="auto"/>
                    </w:rPr>
                  </w:pPr>
                  <w:r>
                    <w:rPr>
                      <w:color w:val="auto"/>
                    </w:rPr>
                    <w:t>风险防范</w:t>
                  </w:r>
                </w:p>
              </w:tc>
              <w:tc>
                <w:tcPr>
                  <w:tcW w:w="2665" w:type="dxa"/>
                  <w:gridSpan w:val="2"/>
                  <w:tcMar>
                    <w:left w:w="28" w:type="dxa"/>
                    <w:right w:w="28" w:type="dxa"/>
                  </w:tcMar>
                  <w:vAlign w:val="center"/>
                </w:tcPr>
                <w:p>
                  <w:pPr>
                    <w:pStyle w:val="29"/>
                    <w:spacing w:line="240" w:lineRule="auto"/>
                    <w:rPr>
                      <w:color w:val="auto"/>
                    </w:rPr>
                  </w:pPr>
                  <w:r>
                    <w:rPr>
                      <w:color w:val="auto"/>
                    </w:rPr>
                    <w:t>事故应急池</w:t>
                  </w:r>
                </w:p>
              </w:tc>
              <w:tc>
                <w:tcPr>
                  <w:tcW w:w="1970" w:type="dxa"/>
                  <w:tcMar>
                    <w:left w:w="28" w:type="dxa"/>
                    <w:right w:w="28" w:type="dxa"/>
                  </w:tcMar>
                  <w:vAlign w:val="center"/>
                </w:tcPr>
                <w:p>
                  <w:pPr>
                    <w:pStyle w:val="29"/>
                    <w:widowControl/>
                    <w:wordWrap w:val="0"/>
                    <w:spacing w:line="240" w:lineRule="auto"/>
                    <w:rPr>
                      <w:color w:val="auto"/>
                      <w:lang w:val="en-US"/>
                    </w:rPr>
                  </w:pPr>
                  <w:r>
                    <w:rPr>
                      <w:color w:val="auto"/>
                      <w:lang w:val="en-US"/>
                    </w:rPr>
                    <w:t>/</w:t>
                  </w:r>
                </w:p>
              </w:tc>
              <w:tc>
                <w:tcPr>
                  <w:tcW w:w="4040" w:type="dxa"/>
                  <w:tcMar>
                    <w:left w:w="28" w:type="dxa"/>
                    <w:right w:w="28" w:type="dxa"/>
                  </w:tcMar>
                  <w:vAlign w:val="center"/>
                </w:tcPr>
                <w:p>
                  <w:pPr>
                    <w:pStyle w:val="29"/>
                    <w:widowControl/>
                    <w:wordWrap w:val="0"/>
                    <w:spacing w:line="240" w:lineRule="auto"/>
                    <w:rPr>
                      <w:color w:val="auto"/>
                      <w:lang w:val="en-US"/>
                    </w:rPr>
                  </w:pPr>
                  <w:r>
                    <w:rPr>
                      <w:rFonts w:hint="eastAsia"/>
                      <w:color w:val="auto"/>
                      <w:lang w:val="en-US"/>
                    </w:rPr>
                    <w:t>新建，事故池容积</w:t>
                  </w:r>
                  <w:r>
                    <w:rPr>
                      <w:rFonts w:hint="eastAsia"/>
                      <w:color w:val="auto"/>
                      <w:lang w:val="en-US" w:eastAsia="zh-CN"/>
                    </w:rPr>
                    <w:t>约80</w:t>
                  </w:r>
                  <w:r>
                    <w:rPr>
                      <w:color w:val="auto"/>
                    </w:rPr>
                    <w:t>m</w:t>
                  </w:r>
                  <w:r>
                    <w:rPr>
                      <w:color w:val="auto"/>
                      <w:vertAlign w:val="superscript"/>
                    </w:rPr>
                    <w:t>3</w:t>
                  </w:r>
                </w:p>
              </w:tc>
            </w:tr>
            <w:bookmarkEnd w:id="11"/>
          </w:tbl>
          <w:p>
            <w:pPr>
              <w:wordWrap w:val="0"/>
              <w:spacing w:line="360" w:lineRule="auto"/>
              <w:ind w:firstLine="482" w:firstLineChars="200"/>
              <w:rPr>
                <w:b/>
                <w:bCs/>
                <w:color w:val="auto"/>
                <w:sz w:val="24"/>
              </w:rPr>
            </w:pPr>
            <w:r>
              <w:rPr>
                <w:b/>
                <w:bCs/>
                <w:color w:val="auto"/>
                <w:sz w:val="24"/>
              </w:rPr>
              <w:t>5、主要原辅材料（包括名称、用量）</w:t>
            </w:r>
          </w:p>
          <w:p>
            <w:pPr>
              <w:wordWrap w:val="0"/>
              <w:spacing w:line="360" w:lineRule="auto"/>
              <w:ind w:firstLine="480" w:firstLineChars="200"/>
              <w:rPr>
                <w:color w:val="auto"/>
                <w:sz w:val="24"/>
              </w:rPr>
            </w:pPr>
            <w:r>
              <w:rPr>
                <w:color w:val="auto"/>
                <w:sz w:val="24"/>
              </w:rPr>
              <w:t>建设项目主要原辅料见表2.1-4，原料细化性质见表2.1-5。</w:t>
            </w:r>
            <w:bookmarkStart w:id="12" w:name="_Hlk58251661"/>
          </w:p>
          <w:p>
            <w:pPr>
              <w:adjustRightInd w:val="0"/>
              <w:snapToGrid w:val="0"/>
              <w:jc w:val="center"/>
              <w:rPr>
                <w:b/>
                <w:bCs/>
                <w:color w:val="auto"/>
                <w:szCs w:val="21"/>
              </w:rPr>
            </w:pPr>
            <w:r>
              <w:rPr>
                <w:b/>
                <w:bCs/>
                <w:color w:val="auto"/>
                <w:szCs w:val="21"/>
              </w:rPr>
              <w:t>表</w:t>
            </w:r>
            <w:r>
              <w:rPr>
                <w:rFonts w:hint="eastAsia"/>
                <w:b/>
                <w:bCs/>
                <w:color w:val="auto"/>
                <w:szCs w:val="21"/>
              </w:rPr>
              <w:t>2.1-4</w:t>
            </w:r>
            <w:r>
              <w:rPr>
                <w:b/>
                <w:bCs/>
                <w:color w:val="auto"/>
                <w:szCs w:val="21"/>
              </w:rPr>
              <w:t xml:space="preserve">  建设项目主要原辅材料</w:t>
            </w:r>
            <w:r>
              <w:rPr>
                <w:b/>
                <w:bCs/>
                <w:color w:val="auto"/>
                <w:kern w:val="0"/>
                <w:szCs w:val="21"/>
              </w:rPr>
              <w:t>（单位：t/a）</w:t>
            </w:r>
          </w:p>
          <w:tbl>
            <w:tblPr>
              <w:tblStyle w:val="20"/>
              <w:tblW w:w="4996"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46"/>
              <w:gridCol w:w="1210"/>
              <w:gridCol w:w="2083"/>
              <w:gridCol w:w="1778"/>
              <w:gridCol w:w="1671"/>
              <w:gridCol w:w="189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348" w:type="pct"/>
                  <w:vAlign w:val="center"/>
                </w:tcPr>
                <w:p>
                  <w:pPr>
                    <w:autoSpaceDE w:val="0"/>
                    <w:autoSpaceDN w:val="0"/>
                    <w:adjustRightInd w:val="0"/>
                    <w:snapToGrid w:val="0"/>
                    <w:jc w:val="center"/>
                    <w:rPr>
                      <w:b/>
                      <w:bCs/>
                      <w:color w:val="auto"/>
                      <w:kern w:val="0"/>
                      <w:szCs w:val="21"/>
                    </w:rPr>
                  </w:pPr>
                  <w:r>
                    <w:rPr>
                      <w:b/>
                      <w:bCs/>
                      <w:color w:val="auto"/>
                      <w:kern w:val="0"/>
                      <w:szCs w:val="21"/>
                    </w:rPr>
                    <w:t>序号</w:t>
                  </w:r>
                </w:p>
              </w:tc>
              <w:tc>
                <w:tcPr>
                  <w:tcW w:w="651" w:type="pct"/>
                  <w:vAlign w:val="center"/>
                </w:tcPr>
                <w:p>
                  <w:pPr>
                    <w:autoSpaceDE w:val="0"/>
                    <w:autoSpaceDN w:val="0"/>
                    <w:adjustRightInd w:val="0"/>
                    <w:snapToGrid w:val="0"/>
                    <w:jc w:val="center"/>
                    <w:rPr>
                      <w:b/>
                      <w:bCs/>
                      <w:color w:val="auto"/>
                      <w:kern w:val="0"/>
                      <w:szCs w:val="21"/>
                    </w:rPr>
                  </w:pPr>
                  <w:r>
                    <w:rPr>
                      <w:b/>
                      <w:bCs/>
                      <w:color w:val="auto"/>
                      <w:kern w:val="0"/>
                      <w:szCs w:val="21"/>
                    </w:rPr>
                    <w:t>原料名称</w:t>
                  </w:r>
                </w:p>
              </w:tc>
              <w:tc>
                <w:tcPr>
                  <w:tcW w:w="1121" w:type="pct"/>
                  <w:vAlign w:val="center"/>
                </w:tcPr>
                <w:p>
                  <w:pPr>
                    <w:autoSpaceDE w:val="0"/>
                    <w:autoSpaceDN w:val="0"/>
                    <w:adjustRightInd w:val="0"/>
                    <w:snapToGrid w:val="0"/>
                    <w:jc w:val="center"/>
                    <w:rPr>
                      <w:b/>
                      <w:bCs/>
                      <w:color w:val="auto"/>
                      <w:kern w:val="0"/>
                      <w:szCs w:val="21"/>
                    </w:rPr>
                  </w:pPr>
                  <w:r>
                    <w:rPr>
                      <w:b/>
                      <w:bCs/>
                      <w:color w:val="auto"/>
                      <w:kern w:val="0"/>
                      <w:szCs w:val="21"/>
                    </w:rPr>
                    <w:t>成分</w:t>
                  </w:r>
                </w:p>
              </w:tc>
              <w:tc>
                <w:tcPr>
                  <w:tcW w:w="957" w:type="pct"/>
                  <w:vAlign w:val="center"/>
                </w:tcPr>
                <w:p>
                  <w:pPr>
                    <w:autoSpaceDE w:val="0"/>
                    <w:autoSpaceDN w:val="0"/>
                    <w:adjustRightInd w:val="0"/>
                    <w:snapToGrid w:val="0"/>
                    <w:jc w:val="center"/>
                    <w:rPr>
                      <w:b/>
                      <w:bCs/>
                      <w:color w:val="auto"/>
                      <w:kern w:val="0"/>
                      <w:szCs w:val="21"/>
                    </w:rPr>
                  </w:pPr>
                  <w:r>
                    <w:rPr>
                      <w:b/>
                      <w:bCs/>
                      <w:color w:val="auto"/>
                      <w:kern w:val="0"/>
                      <w:szCs w:val="21"/>
                    </w:rPr>
                    <w:t>年耗量</w:t>
                  </w:r>
                </w:p>
              </w:tc>
              <w:tc>
                <w:tcPr>
                  <w:tcW w:w="899" w:type="pct"/>
                  <w:vAlign w:val="center"/>
                </w:tcPr>
                <w:p>
                  <w:pPr>
                    <w:autoSpaceDE w:val="0"/>
                    <w:autoSpaceDN w:val="0"/>
                    <w:adjustRightInd w:val="0"/>
                    <w:snapToGrid w:val="0"/>
                    <w:jc w:val="center"/>
                    <w:rPr>
                      <w:b/>
                      <w:bCs/>
                      <w:color w:val="auto"/>
                      <w:kern w:val="0"/>
                      <w:szCs w:val="21"/>
                    </w:rPr>
                  </w:pPr>
                  <w:r>
                    <w:rPr>
                      <w:b/>
                      <w:bCs/>
                      <w:color w:val="auto"/>
                      <w:kern w:val="0"/>
                      <w:szCs w:val="21"/>
                    </w:rPr>
                    <w:t>最大贮存量</w:t>
                  </w:r>
                </w:p>
              </w:tc>
              <w:tc>
                <w:tcPr>
                  <w:tcW w:w="1021" w:type="pct"/>
                  <w:vAlign w:val="center"/>
                </w:tcPr>
                <w:p>
                  <w:pPr>
                    <w:autoSpaceDE w:val="0"/>
                    <w:autoSpaceDN w:val="0"/>
                    <w:adjustRightInd w:val="0"/>
                    <w:snapToGrid w:val="0"/>
                    <w:jc w:val="center"/>
                    <w:rPr>
                      <w:b/>
                      <w:bCs/>
                      <w:color w:val="auto"/>
                      <w:kern w:val="0"/>
                      <w:szCs w:val="21"/>
                    </w:rPr>
                  </w:pPr>
                  <w:r>
                    <w:rPr>
                      <w:b/>
                      <w:bCs/>
                      <w:color w:val="auto"/>
                      <w:szCs w:val="21"/>
                    </w:rPr>
                    <w:t>来源及运输</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8" w:type="pct"/>
                  <w:vAlign w:val="center"/>
                </w:tcPr>
                <w:p>
                  <w:pPr>
                    <w:autoSpaceDE w:val="0"/>
                    <w:autoSpaceDN w:val="0"/>
                    <w:adjustRightInd w:val="0"/>
                    <w:snapToGrid w:val="0"/>
                    <w:jc w:val="center"/>
                    <w:rPr>
                      <w:color w:val="auto"/>
                      <w:kern w:val="0"/>
                      <w:szCs w:val="21"/>
                    </w:rPr>
                  </w:pPr>
                  <w:r>
                    <w:rPr>
                      <w:color w:val="auto"/>
                      <w:kern w:val="0"/>
                      <w:szCs w:val="21"/>
                    </w:rPr>
                    <w:t>1</w:t>
                  </w:r>
                </w:p>
              </w:tc>
              <w:tc>
                <w:tcPr>
                  <w:tcW w:w="651" w:type="pct"/>
                  <w:vAlign w:val="center"/>
                </w:tcPr>
                <w:p>
                  <w:pPr>
                    <w:pStyle w:val="13"/>
                    <w:tabs>
                      <w:tab w:val="left" w:pos="2830"/>
                    </w:tabs>
                    <w:jc w:val="center"/>
                    <w:rPr>
                      <w:rFonts w:ascii="Times New Roman" w:hAnsi="Times New Roman"/>
                      <w:color w:val="auto"/>
                      <w:szCs w:val="21"/>
                    </w:rPr>
                  </w:pPr>
                  <w:r>
                    <w:rPr>
                      <w:rFonts w:ascii="Times New Roman" w:hAnsi="Times New Roman"/>
                      <w:color w:val="auto"/>
                      <w:sz w:val="21"/>
                      <w:szCs w:val="21"/>
                    </w:rPr>
                    <w:t>钢板</w:t>
                  </w:r>
                </w:p>
              </w:tc>
              <w:tc>
                <w:tcPr>
                  <w:tcW w:w="1121" w:type="pct"/>
                  <w:vAlign w:val="center"/>
                </w:tcPr>
                <w:p>
                  <w:pPr>
                    <w:pStyle w:val="13"/>
                    <w:tabs>
                      <w:tab w:val="left" w:pos="2830"/>
                    </w:tabs>
                    <w:jc w:val="center"/>
                    <w:rPr>
                      <w:rFonts w:ascii="Times New Roman" w:hAnsi="Times New Roman"/>
                      <w:color w:val="auto"/>
                      <w:szCs w:val="21"/>
                    </w:rPr>
                  </w:pPr>
                  <w:r>
                    <w:rPr>
                      <w:rFonts w:ascii="Times New Roman" w:hAnsi="Times New Roman"/>
                      <w:color w:val="auto"/>
                      <w:sz w:val="21"/>
                      <w:szCs w:val="21"/>
                    </w:rPr>
                    <w:t>/</w:t>
                  </w:r>
                </w:p>
              </w:tc>
              <w:tc>
                <w:tcPr>
                  <w:tcW w:w="957" w:type="pct"/>
                  <w:vAlign w:val="center"/>
                </w:tcPr>
                <w:p>
                  <w:pPr>
                    <w:widowControl/>
                    <w:adjustRightInd w:val="0"/>
                    <w:snapToGrid w:val="0"/>
                    <w:spacing w:line="240" w:lineRule="exact"/>
                    <w:jc w:val="center"/>
                    <w:rPr>
                      <w:color w:val="auto"/>
                      <w:kern w:val="0"/>
                      <w:szCs w:val="21"/>
                    </w:rPr>
                  </w:pPr>
                  <w:r>
                    <w:rPr>
                      <w:color w:val="auto"/>
                      <w:kern w:val="0"/>
                      <w:szCs w:val="21"/>
                    </w:rPr>
                    <w:t>20300</w:t>
                  </w:r>
                </w:p>
              </w:tc>
              <w:tc>
                <w:tcPr>
                  <w:tcW w:w="899" w:type="pct"/>
                  <w:vAlign w:val="center"/>
                </w:tcPr>
                <w:p>
                  <w:pPr>
                    <w:widowControl/>
                    <w:adjustRightInd w:val="0"/>
                    <w:snapToGrid w:val="0"/>
                    <w:spacing w:line="240" w:lineRule="exact"/>
                    <w:jc w:val="center"/>
                    <w:rPr>
                      <w:color w:val="auto"/>
                      <w:kern w:val="0"/>
                      <w:szCs w:val="21"/>
                    </w:rPr>
                  </w:pPr>
                  <w:r>
                    <w:rPr>
                      <w:color w:val="auto"/>
                      <w:kern w:val="0"/>
                      <w:szCs w:val="21"/>
                    </w:rPr>
                    <w:t>1000</w:t>
                  </w:r>
                </w:p>
              </w:tc>
              <w:tc>
                <w:tcPr>
                  <w:tcW w:w="1021" w:type="pct"/>
                  <w:vAlign w:val="center"/>
                </w:tcPr>
                <w:p>
                  <w:pPr>
                    <w:pStyle w:val="13"/>
                    <w:tabs>
                      <w:tab w:val="left" w:pos="2830"/>
                    </w:tabs>
                    <w:jc w:val="center"/>
                    <w:rPr>
                      <w:rFonts w:ascii="Times New Roman" w:hAnsi="Times New Roman"/>
                      <w:color w:val="auto"/>
                      <w:szCs w:val="21"/>
                    </w:rPr>
                  </w:pPr>
                  <w:r>
                    <w:rPr>
                      <w:rFonts w:ascii="Times New Roman" w:hAnsi="Times New Roman"/>
                      <w:color w:val="auto"/>
                      <w:sz w:val="21"/>
                      <w:szCs w:val="21"/>
                    </w:rPr>
                    <w:t>汽运外购</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8" w:type="pct"/>
                  <w:vAlign w:val="center"/>
                </w:tcPr>
                <w:p>
                  <w:pPr>
                    <w:autoSpaceDE w:val="0"/>
                    <w:autoSpaceDN w:val="0"/>
                    <w:adjustRightInd w:val="0"/>
                    <w:snapToGrid w:val="0"/>
                    <w:jc w:val="center"/>
                    <w:rPr>
                      <w:color w:val="auto"/>
                      <w:kern w:val="0"/>
                      <w:szCs w:val="21"/>
                    </w:rPr>
                  </w:pPr>
                  <w:r>
                    <w:rPr>
                      <w:color w:val="auto"/>
                      <w:kern w:val="0"/>
                      <w:szCs w:val="21"/>
                    </w:rPr>
                    <w:t>2</w:t>
                  </w:r>
                </w:p>
              </w:tc>
              <w:tc>
                <w:tcPr>
                  <w:tcW w:w="651" w:type="pct"/>
                  <w:vAlign w:val="center"/>
                </w:tcPr>
                <w:p>
                  <w:pPr>
                    <w:pStyle w:val="13"/>
                    <w:tabs>
                      <w:tab w:val="left" w:pos="2830"/>
                    </w:tabs>
                    <w:jc w:val="center"/>
                    <w:rPr>
                      <w:rFonts w:ascii="Times New Roman" w:hAnsi="Times New Roman"/>
                      <w:color w:val="auto"/>
                      <w:szCs w:val="21"/>
                    </w:rPr>
                  </w:pPr>
                  <w:r>
                    <w:rPr>
                      <w:rFonts w:ascii="Times New Roman" w:hAnsi="Times New Roman"/>
                      <w:color w:val="auto"/>
                      <w:sz w:val="21"/>
                      <w:szCs w:val="21"/>
                    </w:rPr>
                    <w:t>钛钙型焊条</w:t>
                  </w:r>
                </w:p>
              </w:tc>
              <w:tc>
                <w:tcPr>
                  <w:tcW w:w="1121" w:type="pct"/>
                  <w:vAlign w:val="center"/>
                </w:tcPr>
                <w:p>
                  <w:pPr>
                    <w:pStyle w:val="13"/>
                    <w:tabs>
                      <w:tab w:val="left" w:pos="2830"/>
                    </w:tabs>
                    <w:jc w:val="center"/>
                    <w:rPr>
                      <w:rFonts w:ascii="Times New Roman" w:hAnsi="Times New Roman"/>
                      <w:color w:val="auto"/>
                      <w:szCs w:val="21"/>
                    </w:rPr>
                  </w:pPr>
                  <w:r>
                    <w:rPr>
                      <w:rFonts w:ascii="Times New Roman" w:hAnsi="Times New Roman"/>
                      <w:color w:val="auto"/>
                      <w:sz w:val="21"/>
                      <w:szCs w:val="21"/>
                    </w:rPr>
                    <w:t>/</w:t>
                  </w:r>
                </w:p>
              </w:tc>
              <w:tc>
                <w:tcPr>
                  <w:tcW w:w="957" w:type="pct"/>
                  <w:vAlign w:val="center"/>
                </w:tcPr>
                <w:p>
                  <w:pPr>
                    <w:widowControl/>
                    <w:adjustRightInd w:val="0"/>
                    <w:snapToGrid w:val="0"/>
                    <w:spacing w:line="240" w:lineRule="exact"/>
                    <w:jc w:val="center"/>
                    <w:rPr>
                      <w:color w:val="auto"/>
                      <w:kern w:val="0"/>
                      <w:szCs w:val="21"/>
                    </w:rPr>
                  </w:pPr>
                  <w:r>
                    <w:rPr>
                      <w:color w:val="auto"/>
                      <w:kern w:val="0"/>
                      <w:szCs w:val="21"/>
                    </w:rPr>
                    <w:t>0.5</w:t>
                  </w:r>
                </w:p>
              </w:tc>
              <w:tc>
                <w:tcPr>
                  <w:tcW w:w="899" w:type="pct"/>
                  <w:vAlign w:val="center"/>
                </w:tcPr>
                <w:p>
                  <w:pPr>
                    <w:widowControl/>
                    <w:adjustRightInd w:val="0"/>
                    <w:snapToGrid w:val="0"/>
                    <w:spacing w:line="240" w:lineRule="exact"/>
                    <w:jc w:val="center"/>
                    <w:rPr>
                      <w:color w:val="auto"/>
                      <w:kern w:val="0"/>
                      <w:szCs w:val="21"/>
                    </w:rPr>
                  </w:pPr>
                  <w:r>
                    <w:rPr>
                      <w:color w:val="auto"/>
                      <w:kern w:val="0"/>
                      <w:szCs w:val="21"/>
                    </w:rPr>
                    <w:t>0.1</w:t>
                  </w:r>
                </w:p>
              </w:tc>
              <w:tc>
                <w:tcPr>
                  <w:tcW w:w="1021" w:type="pct"/>
                  <w:vAlign w:val="center"/>
                </w:tcPr>
                <w:p>
                  <w:pPr>
                    <w:jc w:val="center"/>
                    <w:rPr>
                      <w:color w:val="auto"/>
                      <w:kern w:val="0"/>
                      <w:szCs w:val="21"/>
                    </w:rPr>
                  </w:pPr>
                  <w:r>
                    <w:rPr>
                      <w:color w:val="auto"/>
                      <w:szCs w:val="21"/>
                    </w:rPr>
                    <w:t>汽运外购</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8" w:type="pct"/>
                  <w:vAlign w:val="center"/>
                </w:tcPr>
                <w:p>
                  <w:pPr>
                    <w:autoSpaceDE w:val="0"/>
                    <w:autoSpaceDN w:val="0"/>
                    <w:adjustRightInd w:val="0"/>
                    <w:snapToGrid w:val="0"/>
                    <w:jc w:val="center"/>
                    <w:rPr>
                      <w:color w:val="auto"/>
                      <w:kern w:val="0"/>
                      <w:szCs w:val="21"/>
                    </w:rPr>
                  </w:pPr>
                  <w:r>
                    <w:rPr>
                      <w:color w:val="auto"/>
                      <w:kern w:val="0"/>
                      <w:szCs w:val="21"/>
                    </w:rPr>
                    <w:t>3</w:t>
                  </w:r>
                </w:p>
              </w:tc>
              <w:tc>
                <w:tcPr>
                  <w:tcW w:w="651" w:type="pct"/>
                  <w:vAlign w:val="center"/>
                </w:tcPr>
                <w:p>
                  <w:pPr>
                    <w:pStyle w:val="13"/>
                    <w:tabs>
                      <w:tab w:val="left" w:pos="2830"/>
                    </w:tabs>
                    <w:jc w:val="center"/>
                    <w:rPr>
                      <w:rFonts w:ascii="Times New Roman" w:hAnsi="Times New Roman"/>
                      <w:color w:val="auto"/>
                      <w:szCs w:val="21"/>
                    </w:rPr>
                  </w:pPr>
                  <w:r>
                    <w:rPr>
                      <w:rFonts w:ascii="Times New Roman" w:hAnsi="Times New Roman"/>
                      <w:color w:val="auto"/>
                      <w:sz w:val="21"/>
                      <w:szCs w:val="21"/>
                    </w:rPr>
                    <w:t>药芯焊丝</w:t>
                  </w:r>
                </w:p>
              </w:tc>
              <w:tc>
                <w:tcPr>
                  <w:tcW w:w="1121" w:type="pct"/>
                  <w:vAlign w:val="center"/>
                </w:tcPr>
                <w:p>
                  <w:pPr>
                    <w:pStyle w:val="13"/>
                    <w:tabs>
                      <w:tab w:val="left" w:pos="2830"/>
                    </w:tabs>
                    <w:jc w:val="center"/>
                    <w:rPr>
                      <w:rFonts w:ascii="Times New Roman" w:hAnsi="Times New Roman"/>
                      <w:color w:val="auto"/>
                      <w:szCs w:val="21"/>
                    </w:rPr>
                  </w:pPr>
                  <w:r>
                    <w:rPr>
                      <w:rFonts w:ascii="Times New Roman" w:hAnsi="Times New Roman"/>
                      <w:color w:val="auto"/>
                      <w:sz w:val="21"/>
                      <w:szCs w:val="21"/>
                    </w:rPr>
                    <w:t>/</w:t>
                  </w:r>
                </w:p>
              </w:tc>
              <w:tc>
                <w:tcPr>
                  <w:tcW w:w="957" w:type="pct"/>
                  <w:vAlign w:val="center"/>
                </w:tcPr>
                <w:p>
                  <w:pPr>
                    <w:widowControl/>
                    <w:adjustRightInd w:val="0"/>
                    <w:snapToGrid w:val="0"/>
                    <w:spacing w:line="240" w:lineRule="exact"/>
                    <w:jc w:val="center"/>
                    <w:rPr>
                      <w:color w:val="auto"/>
                      <w:kern w:val="0"/>
                      <w:szCs w:val="21"/>
                    </w:rPr>
                  </w:pPr>
                  <w:r>
                    <w:rPr>
                      <w:color w:val="auto"/>
                      <w:kern w:val="0"/>
                      <w:szCs w:val="21"/>
                    </w:rPr>
                    <w:t>2</w:t>
                  </w:r>
                </w:p>
              </w:tc>
              <w:tc>
                <w:tcPr>
                  <w:tcW w:w="899" w:type="pct"/>
                  <w:vAlign w:val="center"/>
                </w:tcPr>
                <w:p>
                  <w:pPr>
                    <w:widowControl/>
                    <w:adjustRightInd w:val="0"/>
                    <w:snapToGrid w:val="0"/>
                    <w:spacing w:line="240" w:lineRule="exact"/>
                    <w:jc w:val="center"/>
                    <w:rPr>
                      <w:color w:val="auto"/>
                      <w:kern w:val="0"/>
                      <w:szCs w:val="21"/>
                    </w:rPr>
                  </w:pPr>
                  <w:r>
                    <w:rPr>
                      <w:color w:val="auto"/>
                      <w:kern w:val="0"/>
                      <w:szCs w:val="21"/>
                    </w:rPr>
                    <w:t>0.4</w:t>
                  </w:r>
                </w:p>
              </w:tc>
              <w:tc>
                <w:tcPr>
                  <w:tcW w:w="1021" w:type="pct"/>
                  <w:vAlign w:val="center"/>
                </w:tcPr>
                <w:p>
                  <w:pPr>
                    <w:jc w:val="center"/>
                    <w:rPr>
                      <w:color w:val="auto"/>
                      <w:kern w:val="0"/>
                      <w:szCs w:val="21"/>
                    </w:rPr>
                  </w:pPr>
                  <w:r>
                    <w:rPr>
                      <w:color w:val="auto"/>
                      <w:szCs w:val="21"/>
                    </w:rPr>
                    <w:t>汽运外购</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8" w:type="pct"/>
                  <w:vAlign w:val="center"/>
                </w:tcPr>
                <w:p>
                  <w:pPr>
                    <w:autoSpaceDE w:val="0"/>
                    <w:autoSpaceDN w:val="0"/>
                    <w:adjustRightInd w:val="0"/>
                    <w:snapToGrid w:val="0"/>
                    <w:jc w:val="center"/>
                    <w:rPr>
                      <w:color w:val="auto"/>
                      <w:kern w:val="0"/>
                      <w:szCs w:val="21"/>
                    </w:rPr>
                  </w:pPr>
                  <w:r>
                    <w:rPr>
                      <w:color w:val="auto"/>
                      <w:kern w:val="0"/>
                      <w:szCs w:val="21"/>
                    </w:rPr>
                    <w:t>4</w:t>
                  </w:r>
                </w:p>
              </w:tc>
              <w:tc>
                <w:tcPr>
                  <w:tcW w:w="651" w:type="pct"/>
                  <w:vAlign w:val="center"/>
                </w:tcPr>
                <w:p>
                  <w:pPr>
                    <w:pStyle w:val="13"/>
                    <w:tabs>
                      <w:tab w:val="left" w:pos="2830"/>
                    </w:tabs>
                    <w:jc w:val="center"/>
                    <w:rPr>
                      <w:rFonts w:ascii="Times New Roman" w:hAnsi="Times New Roman"/>
                      <w:color w:val="auto"/>
                      <w:szCs w:val="21"/>
                    </w:rPr>
                  </w:pPr>
                  <w:r>
                    <w:rPr>
                      <w:rFonts w:ascii="Times New Roman" w:hAnsi="Times New Roman"/>
                      <w:color w:val="auto"/>
                      <w:sz w:val="21"/>
                      <w:szCs w:val="21"/>
                    </w:rPr>
                    <w:t>埋弧焊实芯焊丝</w:t>
                  </w:r>
                </w:p>
              </w:tc>
              <w:tc>
                <w:tcPr>
                  <w:tcW w:w="1121" w:type="pct"/>
                  <w:vAlign w:val="center"/>
                </w:tcPr>
                <w:p>
                  <w:pPr>
                    <w:pStyle w:val="13"/>
                    <w:tabs>
                      <w:tab w:val="left" w:pos="2830"/>
                    </w:tabs>
                    <w:jc w:val="center"/>
                    <w:rPr>
                      <w:rFonts w:ascii="Times New Roman" w:hAnsi="Times New Roman"/>
                      <w:color w:val="auto"/>
                      <w:szCs w:val="21"/>
                    </w:rPr>
                  </w:pPr>
                  <w:r>
                    <w:rPr>
                      <w:rFonts w:ascii="Times New Roman" w:hAnsi="Times New Roman"/>
                      <w:color w:val="auto"/>
                      <w:sz w:val="21"/>
                      <w:szCs w:val="21"/>
                    </w:rPr>
                    <w:t>/</w:t>
                  </w:r>
                </w:p>
              </w:tc>
              <w:tc>
                <w:tcPr>
                  <w:tcW w:w="957" w:type="pct"/>
                  <w:vAlign w:val="center"/>
                </w:tcPr>
                <w:p>
                  <w:pPr>
                    <w:widowControl/>
                    <w:adjustRightInd w:val="0"/>
                    <w:snapToGrid w:val="0"/>
                    <w:spacing w:line="240" w:lineRule="exact"/>
                    <w:jc w:val="center"/>
                    <w:rPr>
                      <w:color w:val="auto"/>
                      <w:kern w:val="0"/>
                      <w:szCs w:val="21"/>
                    </w:rPr>
                  </w:pPr>
                  <w:r>
                    <w:rPr>
                      <w:color w:val="auto"/>
                      <w:kern w:val="0"/>
                      <w:szCs w:val="21"/>
                    </w:rPr>
                    <w:t>2.5</w:t>
                  </w:r>
                </w:p>
              </w:tc>
              <w:tc>
                <w:tcPr>
                  <w:tcW w:w="899" w:type="pct"/>
                  <w:vAlign w:val="center"/>
                </w:tcPr>
                <w:p>
                  <w:pPr>
                    <w:widowControl/>
                    <w:adjustRightInd w:val="0"/>
                    <w:snapToGrid w:val="0"/>
                    <w:spacing w:line="240" w:lineRule="exact"/>
                    <w:jc w:val="center"/>
                    <w:rPr>
                      <w:color w:val="auto"/>
                      <w:kern w:val="0"/>
                      <w:szCs w:val="21"/>
                    </w:rPr>
                  </w:pPr>
                  <w:r>
                    <w:rPr>
                      <w:color w:val="auto"/>
                      <w:kern w:val="0"/>
                      <w:szCs w:val="21"/>
                    </w:rPr>
                    <w:t>0.5</w:t>
                  </w:r>
                </w:p>
              </w:tc>
              <w:tc>
                <w:tcPr>
                  <w:tcW w:w="1021" w:type="pct"/>
                  <w:vAlign w:val="center"/>
                </w:tcPr>
                <w:p>
                  <w:pPr>
                    <w:jc w:val="center"/>
                    <w:rPr>
                      <w:color w:val="auto"/>
                      <w:kern w:val="0"/>
                      <w:szCs w:val="21"/>
                    </w:rPr>
                  </w:pPr>
                  <w:r>
                    <w:rPr>
                      <w:color w:val="auto"/>
                      <w:szCs w:val="21"/>
                    </w:rPr>
                    <w:t>汽运外购</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55" w:hRule="atLeast"/>
              </w:trPr>
              <w:tc>
                <w:tcPr>
                  <w:tcW w:w="348" w:type="pct"/>
                  <w:vAlign w:val="center"/>
                </w:tcPr>
                <w:p>
                  <w:pPr>
                    <w:autoSpaceDE w:val="0"/>
                    <w:autoSpaceDN w:val="0"/>
                    <w:adjustRightInd w:val="0"/>
                    <w:snapToGrid w:val="0"/>
                    <w:jc w:val="center"/>
                    <w:rPr>
                      <w:color w:val="auto"/>
                      <w:kern w:val="0"/>
                      <w:szCs w:val="21"/>
                    </w:rPr>
                  </w:pPr>
                  <w:r>
                    <w:rPr>
                      <w:color w:val="auto"/>
                      <w:kern w:val="0"/>
                      <w:szCs w:val="21"/>
                    </w:rPr>
                    <w:t>5</w:t>
                  </w:r>
                </w:p>
              </w:tc>
              <w:tc>
                <w:tcPr>
                  <w:tcW w:w="651" w:type="pct"/>
                  <w:vAlign w:val="center"/>
                </w:tcPr>
                <w:p>
                  <w:pPr>
                    <w:pStyle w:val="13"/>
                    <w:tabs>
                      <w:tab w:val="left" w:pos="2830"/>
                    </w:tabs>
                    <w:jc w:val="center"/>
                    <w:rPr>
                      <w:rFonts w:ascii="Times New Roman" w:hAnsi="Times New Roman"/>
                      <w:color w:val="auto"/>
                      <w:szCs w:val="21"/>
                    </w:rPr>
                  </w:pPr>
                  <w:r>
                    <w:rPr>
                      <w:rFonts w:ascii="Times New Roman" w:hAnsi="Times New Roman"/>
                      <w:color w:val="auto"/>
                      <w:sz w:val="21"/>
                      <w:szCs w:val="21"/>
                    </w:rPr>
                    <w:t>水性丙烯酸树脂类漆</w:t>
                  </w:r>
                </w:p>
              </w:tc>
              <w:tc>
                <w:tcPr>
                  <w:tcW w:w="1121" w:type="pct"/>
                  <w:vAlign w:val="center"/>
                </w:tcPr>
                <w:p>
                  <w:pPr>
                    <w:pStyle w:val="13"/>
                    <w:tabs>
                      <w:tab w:val="left" w:pos="2830"/>
                    </w:tabs>
                    <w:jc w:val="center"/>
                    <w:rPr>
                      <w:rFonts w:ascii="Times New Roman" w:hAnsi="Times New Roman"/>
                      <w:color w:val="auto"/>
                      <w:szCs w:val="21"/>
                    </w:rPr>
                  </w:pPr>
                  <w:r>
                    <w:rPr>
                      <w:rFonts w:ascii="Times New Roman" w:hAnsi="Times New Roman"/>
                      <w:color w:val="auto"/>
                      <w:sz w:val="21"/>
                      <w:szCs w:val="21"/>
                    </w:rPr>
                    <w:t>水性树脂25~30%，颜料10%，填料4</w:t>
                  </w:r>
                  <w:r>
                    <w:rPr>
                      <w:rFonts w:hint="eastAsia" w:ascii="Times New Roman" w:hAnsi="Times New Roman"/>
                      <w:color w:val="auto"/>
                      <w:sz w:val="21"/>
                      <w:szCs w:val="21"/>
                    </w:rPr>
                    <w:t>0</w:t>
                  </w:r>
                  <w:r>
                    <w:rPr>
                      <w:rFonts w:ascii="Times New Roman" w:hAnsi="Times New Roman"/>
                      <w:color w:val="auto"/>
                      <w:sz w:val="21"/>
                      <w:szCs w:val="21"/>
                    </w:rPr>
                    <w:t>%，去离子水20%，助剂2-3%</w:t>
                  </w:r>
                  <w:r>
                    <w:rPr>
                      <w:rFonts w:ascii="Times New Roman" w:hAnsi="Times New Roman"/>
                      <w:color w:val="auto"/>
                    </w:rPr>
                    <w:t>等</w:t>
                  </w:r>
                </w:p>
              </w:tc>
              <w:tc>
                <w:tcPr>
                  <w:tcW w:w="957" w:type="pct"/>
                  <w:vAlign w:val="center"/>
                </w:tcPr>
                <w:p>
                  <w:pPr>
                    <w:widowControl/>
                    <w:adjustRightInd w:val="0"/>
                    <w:snapToGrid w:val="0"/>
                    <w:spacing w:line="240" w:lineRule="exact"/>
                    <w:jc w:val="center"/>
                    <w:rPr>
                      <w:rFonts w:hint="default" w:eastAsia="宋体"/>
                      <w:color w:val="auto"/>
                      <w:kern w:val="0"/>
                      <w:szCs w:val="21"/>
                      <w:lang w:val="en-US" w:eastAsia="zh-CN"/>
                    </w:rPr>
                  </w:pPr>
                  <w:r>
                    <w:rPr>
                      <w:rFonts w:hint="eastAsia"/>
                      <w:color w:val="auto"/>
                      <w:kern w:val="0"/>
                      <w:szCs w:val="21"/>
                      <w:lang w:val="en-US" w:eastAsia="zh-CN"/>
                    </w:rPr>
                    <w:t>40</w:t>
                  </w:r>
                </w:p>
              </w:tc>
              <w:tc>
                <w:tcPr>
                  <w:tcW w:w="899" w:type="pct"/>
                  <w:vAlign w:val="center"/>
                </w:tcPr>
                <w:p>
                  <w:pPr>
                    <w:widowControl/>
                    <w:adjustRightInd w:val="0"/>
                    <w:snapToGrid w:val="0"/>
                    <w:spacing w:line="240" w:lineRule="exact"/>
                    <w:jc w:val="center"/>
                    <w:rPr>
                      <w:color w:val="auto"/>
                      <w:kern w:val="0"/>
                      <w:szCs w:val="21"/>
                    </w:rPr>
                  </w:pPr>
                  <w:r>
                    <w:rPr>
                      <w:color w:val="auto"/>
                      <w:kern w:val="0"/>
                      <w:szCs w:val="21"/>
                    </w:rPr>
                    <w:t>1</w:t>
                  </w:r>
                  <w:r>
                    <w:rPr>
                      <w:rFonts w:hint="eastAsia"/>
                      <w:color w:val="auto"/>
                      <w:kern w:val="0"/>
                      <w:szCs w:val="21"/>
                    </w:rPr>
                    <w:t>0</w:t>
                  </w:r>
                </w:p>
              </w:tc>
              <w:tc>
                <w:tcPr>
                  <w:tcW w:w="1021" w:type="pct"/>
                  <w:vAlign w:val="center"/>
                </w:tcPr>
                <w:p>
                  <w:pPr>
                    <w:jc w:val="center"/>
                    <w:rPr>
                      <w:color w:val="auto"/>
                      <w:kern w:val="0"/>
                      <w:szCs w:val="21"/>
                    </w:rPr>
                  </w:pPr>
                  <w:r>
                    <w:rPr>
                      <w:color w:val="auto"/>
                      <w:szCs w:val="21"/>
                    </w:rPr>
                    <w:t>汽运外购</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8" w:type="pct"/>
                  <w:vAlign w:val="center"/>
                </w:tcPr>
                <w:p>
                  <w:pPr>
                    <w:autoSpaceDE w:val="0"/>
                    <w:autoSpaceDN w:val="0"/>
                    <w:adjustRightInd w:val="0"/>
                    <w:snapToGrid w:val="0"/>
                    <w:jc w:val="center"/>
                    <w:rPr>
                      <w:color w:val="auto"/>
                      <w:kern w:val="0"/>
                      <w:szCs w:val="21"/>
                    </w:rPr>
                  </w:pPr>
                  <w:r>
                    <w:rPr>
                      <w:color w:val="auto"/>
                      <w:kern w:val="0"/>
                      <w:szCs w:val="21"/>
                    </w:rPr>
                    <w:t>6</w:t>
                  </w:r>
                </w:p>
              </w:tc>
              <w:tc>
                <w:tcPr>
                  <w:tcW w:w="651" w:type="pct"/>
                  <w:vAlign w:val="center"/>
                </w:tcPr>
                <w:p>
                  <w:pPr>
                    <w:pStyle w:val="13"/>
                    <w:tabs>
                      <w:tab w:val="left" w:pos="2830"/>
                    </w:tabs>
                    <w:jc w:val="center"/>
                    <w:rPr>
                      <w:rFonts w:ascii="Times New Roman" w:hAnsi="Times New Roman"/>
                      <w:color w:val="auto"/>
                      <w:szCs w:val="21"/>
                    </w:rPr>
                  </w:pPr>
                  <w:r>
                    <w:rPr>
                      <w:rFonts w:ascii="Times New Roman" w:hAnsi="Times New Roman"/>
                      <w:color w:val="auto"/>
                      <w:sz w:val="21"/>
                      <w:szCs w:val="21"/>
                    </w:rPr>
                    <w:t>钢丸</w:t>
                  </w:r>
                </w:p>
              </w:tc>
              <w:tc>
                <w:tcPr>
                  <w:tcW w:w="1121" w:type="pct"/>
                  <w:vAlign w:val="center"/>
                </w:tcPr>
                <w:p>
                  <w:pPr>
                    <w:pStyle w:val="13"/>
                    <w:tabs>
                      <w:tab w:val="left" w:pos="2830"/>
                    </w:tabs>
                    <w:jc w:val="center"/>
                    <w:rPr>
                      <w:rFonts w:ascii="Times New Roman" w:hAnsi="Times New Roman"/>
                      <w:color w:val="auto"/>
                      <w:szCs w:val="21"/>
                    </w:rPr>
                  </w:pPr>
                  <w:r>
                    <w:rPr>
                      <w:rFonts w:ascii="Times New Roman" w:hAnsi="Times New Roman"/>
                      <w:color w:val="auto"/>
                      <w:sz w:val="21"/>
                      <w:szCs w:val="21"/>
                    </w:rPr>
                    <w:t>/</w:t>
                  </w:r>
                </w:p>
              </w:tc>
              <w:tc>
                <w:tcPr>
                  <w:tcW w:w="957" w:type="pct"/>
                  <w:vAlign w:val="center"/>
                </w:tcPr>
                <w:p>
                  <w:pPr>
                    <w:widowControl/>
                    <w:adjustRightInd w:val="0"/>
                    <w:snapToGrid w:val="0"/>
                    <w:spacing w:line="240" w:lineRule="exact"/>
                    <w:jc w:val="center"/>
                    <w:rPr>
                      <w:color w:val="auto"/>
                      <w:kern w:val="0"/>
                      <w:szCs w:val="21"/>
                    </w:rPr>
                  </w:pPr>
                  <w:r>
                    <w:rPr>
                      <w:color w:val="auto"/>
                      <w:kern w:val="0"/>
                      <w:szCs w:val="21"/>
                    </w:rPr>
                    <w:t>3</w:t>
                  </w:r>
                </w:p>
              </w:tc>
              <w:tc>
                <w:tcPr>
                  <w:tcW w:w="899" w:type="pct"/>
                  <w:vAlign w:val="center"/>
                </w:tcPr>
                <w:p>
                  <w:pPr>
                    <w:widowControl/>
                    <w:adjustRightInd w:val="0"/>
                    <w:snapToGrid w:val="0"/>
                    <w:spacing w:line="240" w:lineRule="exact"/>
                    <w:jc w:val="center"/>
                    <w:rPr>
                      <w:color w:val="auto"/>
                      <w:kern w:val="0"/>
                      <w:szCs w:val="21"/>
                    </w:rPr>
                  </w:pPr>
                  <w:r>
                    <w:rPr>
                      <w:color w:val="auto"/>
                      <w:kern w:val="0"/>
                      <w:szCs w:val="21"/>
                    </w:rPr>
                    <w:t>1</w:t>
                  </w:r>
                </w:p>
              </w:tc>
              <w:tc>
                <w:tcPr>
                  <w:tcW w:w="1021" w:type="pct"/>
                  <w:vAlign w:val="center"/>
                </w:tcPr>
                <w:p>
                  <w:pPr>
                    <w:jc w:val="center"/>
                    <w:rPr>
                      <w:color w:val="auto"/>
                      <w:kern w:val="0"/>
                      <w:szCs w:val="21"/>
                    </w:rPr>
                  </w:pPr>
                  <w:r>
                    <w:rPr>
                      <w:color w:val="auto"/>
                      <w:szCs w:val="21"/>
                    </w:rPr>
                    <w:t>汽运外购</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8" w:type="pct"/>
                  <w:vAlign w:val="center"/>
                </w:tcPr>
                <w:p>
                  <w:pPr>
                    <w:autoSpaceDE w:val="0"/>
                    <w:autoSpaceDN w:val="0"/>
                    <w:adjustRightInd w:val="0"/>
                    <w:snapToGrid w:val="0"/>
                    <w:jc w:val="center"/>
                    <w:rPr>
                      <w:color w:val="auto"/>
                      <w:kern w:val="0"/>
                      <w:szCs w:val="21"/>
                    </w:rPr>
                  </w:pPr>
                  <w:r>
                    <w:rPr>
                      <w:color w:val="auto"/>
                      <w:kern w:val="0"/>
                      <w:szCs w:val="21"/>
                    </w:rPr>
                    <w:t>7</w:t>
                  </w:r>
                </w:p>
              </w:tc>
              <w:tc>
                <w:tcPr>
                  <w:tcW w:w="651" w:type="pct"/>
                  <w:vAlign w:val="center"/>
                </w:tcPr>
                <w:p>
                  <w:pPr>
                    <w:pStyle w:val="13"/>
                    <w:tabs>
                      <w:tab w:val="left" w:pos="2830"/>
                    </w:tabs>
                    <w:jc w:val="center"/>
                    <w:rPr>
                      <w:rFonts w:ascii="Times New Roman" w:hAnsi="Times New Roman"/>
                      <w:color w:val="auto"/>
                      <w:szCs w:val="21"/>
                    </w:rPr>
                  </w:pPr>
                  <w:r>
                    <w:rPr>
                      <w:rFonts w:ascii="Times New Roman" w:hAnsi="Times New Roman"/>
                      <w:color w:val="auto"/>
                      <w:sz w:val="21"/>
                      <w:szCs w:val="21"/>
                    </w:rPr>
                    <w:t>焊剂（固态）</w:t>
                  </w:r>
                </w:p>
              </w:tc>
              <w:tc>
                <w:tcPr>
                  <w:tcW w:w="1121" w:type="pct"/>
                  <w:vAlign w:val="center"/>
                </w:tcPr>
                <w:p>
                  <w:pPr>
                    <w:pStyle w:val="13"/>
                    <w:tabs>
                      <w:tab w:val="left" w:pos="2830"/>
                    </w:tabs>
                    <w:jc w:val="center"/>
                    <w:rPr>
                      <w:rFonts w:ascii="Times New Roman" w:hAnsi="Times New Roman"/>
                      <w:color w:val="auto"/>
                      <w:szCs w:val="21"/>
                    </w:rPr>
                  </w:pPr>
                  <w:r>
                    <w:rPr>
                      <w:rFonts w:ascii="Times New Roman" w:hAnsi="Times New Roman"/>
                      <w:color w:val="auto"/>
                      <w:sz w:val="21"/>
                      <w:szCs w:val="21"/>
                    </w:rPr>
                    <w:t>由大理石、石英萤石等矿石和钛白粉、纤维素等化学物质组成</w:t>
                  </w:r>
                </w:p>
              </w:tc>
              <w:tc>
                <w:tcPr>
                  <w:tcW w:w="957" w:type="pct"/>
                  <w:vAlign w:val="center"/>
                </w:tcPr>
                <w:p>
                  <w:pPr>
                    <w:widowControl/>
                    <w:adjustRightInd w:val="0"/>
                    <w:snapToGrid w:val="0"/>
                    <w:spacing w:line="240" w:lineRule="exact"/>
                    <w:jc w:val="center"/>
                    <w:rPr>
                      <w:color w:val="auto"/>
                      <w:kern w:val="0"/>
                      <w:szCs w:val="21"/>
                    </w:rPr>
                  </w:pPr>
                  <w:r>
                    <w:rPr>
                      <w:color w:val="auto"/>
                      <w:kern w:val="0"/>
                      <w:szCs w:val="21"/>
                    </w:rPr>
                    <w:t>0.04</w:t>
                  </w:r>
                </w:p>
              </w:tc>
              <w:tc>
                <w:tcPr>
                  <w:tcW w:w="899" w:type="pct"/>
                  <w:vAlign w:val="center"/>
                </w:tcPr>
                <w:p>
                  <w:pPr>
                    <w:widowControl/>
                    <w:adjustRightInd w:val="0"/>
                    <w:snapToGrid w:val="0"/>
                    <w:spacing w:line="240" w:lineRule="exact"/>
                    <w:jc w:val="center"/>
                    <w:rPr>
                      <w:color w:val="auto"/>
                      <w:kern w:val="0"/>
                      <w:szCs w:val="21"/>
                    </w:rPr>
                  </w:pPr>
                  <w:r>
                    <w:rPr>
                      <w:color w:val="auto"/>
                      <w:kern w:val="0"/>
                      <w:szCs w:val="21"/>
                    </w:rPr>
                    <w:t>0.01</w:t>
                  </w:r>
                </w:p>
              </w:tc>
              <w:tc>
                <w:tcPr>
                  <w:tcW w:w="1021" w:type="pct"/>
                  <w:vAlign w:val="center"/>
                </w:tcPr>
                <w:p>
                  <w:pPr>
                    <w:jc w:val="center"/>
                    <w:rPr>
                      <w:color w:val="auto"/>
                      <w:kern w:val="0"/>
                      <w:szCs w:val="21"/>
                    </w:rPr>
                  </w:pPr>
                  <w:r>
                    <w:rPr>
                      <w:color w:val="auto"/>
                      <w:szCs w:val="21"/>
                    </w:rPr>
                    <w:t>汽运外购</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8" w:type="pct"/>
                  <w:vAlign w:val="center"/>
                </w:tcPr>
                <w:p>
                  <w:pPr>
                    <w:autoSpaceDE w:val="0"/>
                    <w:autoSpaceDN w:val="0"/>
                    <w:adjustRightInd w:val="0"/>
                    <w:snapToGrid w:val="0"/>
                    <w:jc w:val="center"/>
                    <w:rPr>
                      <w:color w:val="auto"/>
                      <w:kern w:val="0"/>
                      <w:szCs w:val="21"/>
                    </w:rPr>
                  </w:pPr>
                  <w:r>
                    <w:rPr>
                      <w:color w:val="auto"/>
                      <w:kern w:val="0"/>
                      <w:szCs w:val="21"/>
                    </w:rPr>
                    <w:t>8</w:t>
                  </w:r>
                </w:p>
              </w:tc>
              <w:tc>
                <w:tcPr>
                  <w:tcW w:w="651" w:type="pct"/>
                  <w:vAlign w:val="center"/>
                </w:tcPr>
                <w:p>
                  <w:pPr>
                    <w:pStyle w:val="13"/>
                    <w:tabs>
                      <w:tab w:val="left" w:pos="2830"/>
                    </w:tabs>
                    <w:jc w:val="center"/>
                    <w:rPr>
                      <w:rFonts w:ascii="Times New Roman" w:hAnsi="Times New Roman"/>
                      <w:color w:val="auto"/>
                      <w:szCs w:val="21"/>
                    </w:rPr>
                  </w:pPr>
                  <w:r>
                    <w:rPr>
                      <w:rFonts w:ascii="Times New Roman" w:hAnsi="Times New Roman"/>
                      <w:color w:val="auto"/>
                      <w:sz w:val="21"/>
                      <w:szCs w:val="21"/>
                    </w:rPr>
                    <w:t>CO</w:t>
                  </w:r>
                  <w:r>
                    <w:rPr>
                      <w:rFonts w:ascii="Times New Roman" w:hAnsi="Times New Roman"/>
                      <w:color w:val="auto"/>
                      <w:sz w:val="21"/>
                      <w:szCs w:val="21"/>
                      <w:vertAlign w:val="subscript"/>
                    </w:rPr>
                    <w:t>2</w:t>
                  </w:r>
                </w:p>
              </w:tc>
              <w:tc>
                <w:tcPr>
                  <w:tcW w:w="1121" w:type="pct"/>
                  <w:vAlign w:val="center"/>
                </w:tcPr>
                <w:p>
                  <w:pPr>
                    <w:pStyle w:val="13"/>
                    <w:tabs>
                      <w:tab w:val="left" w:pos="2830"/>
                    </w:tabs>
                    <w:jc w:val="center"/>
                    <w:rPr>
                      <w:rFonts w:ascii="Times New Roman" w:hAnsi="Times New Roman"/>
                      <w:color w:val="auto"/>
                      <w:szCs w:val="21"/>
                    </w:rPr>
                  </w:pPr>
                  <w:r>
                    <w:rPr>
                      <w:rFonts w:ascii="Times New Roman" w:hAnsi="Times New Roman"/>
                      <w:color w:val="auto"/>
                      <w:sz w:val="21"/>
                      <w:szCs w:val="21"/>
                    </w:rPr>
                    <w:t>钢瓶</w:t>
                  </w:r>
                </w:p>
              </w:tc>
              <w:tc>
                <w:tcPr>
                  <w:tcW w:w="957" w:type="pct"/>
                  <w:vAlign w:val="center"/>
                </w:tcPr>
                <w:p>
                  <w:pPr>
                    <w:widowControl/>
                    <w:adjustRightInd w:val="0"/>
                    <w:snapToGrid w:val="0"/>
                    <w:spacing w:line="240" w:lineRule="exact"/>
                    <w:jc w:val="center"/>
                    <w:rPr>
                      <w:color w:val="auto"/>
                      <w:kern w:val="0"/>
                      <w:szCs w:val="21"/>
                    </w:rPr>
                  </w:pPr>
                  <w:r>
                    <w:rPr>
                      <w:color w:val="auto"/>
                      <w:kern w:val="0"/>
                      <w:szCs w:val="21"/>
                    </w:rPr>
                    <w:t>2</w:t>
                  </w:r>
                </w:p>
              </w:tc>
              <w:tc>
                <w:tcPr>
                  <w:tcW w:w="899" w:type="pct"/>
                  <w:vAlign w:val="center"/>
                </w:tcPr>
                <w:p>
                  <w:pPr>
                    <w:widowControl/>
                    <w:adjustRightInd w:val="0"/>
                    <w:snapToGrid w:val="0"/>
                    <w:spacing w:line="240" w:lineRule="exact"/>
                    <w:jc w:val="center"/>
                    <w:rPr>
                      <w:color w:val="auto"/>
                      <w:kern w:val="0"/>
                      <w:szCs w:val="21"/>
                    </w:rPr>
                  </w:pPr>
                  <w:r>
                    <w:rPr>
                      <w:color w:val="auto"/>
                      <w:kern w:val="0"/>
                      <w:szCs w:val="21"/>
                    </w:rPr>
                    <w:t>0.05</w:t>
                  </w:r>
                </w:p>
              </w:tc>
              <w:tc>
                <w:tcPr>
                  <w:tcW w:w="1021" w:type="pct"/>
                  <w:vAlign w:val="center"/>
                </w:tcPr>
                <w:p>
                  <w:pPr>
                    <w:jc w:val="center"/>
                    <w:rPr>
                      <w:color w:val="auto"/>
                      <w:kern w:val="0"/>
                      <w:szCs w:val="21"/>
                    </w:rPr>
                  </w:pPr>
                  <w:r>
                    <w:rPr>
                      <w:color w:val="auto"/>
                      <w:szCs w:val="21"/>
                    </w:rPr>
                    <w:t>汽运外购</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8" w:type="pct"/>
                  <w:vAlign w:val="center"/>
                </w:tcPr>
                <w:p>
                  <w:pPr>
                    <w:autoSpaceDE w:val="0"/>
                    <w:autoSpaceDN w:val="0"/>
                    <w:adjustRightInd w:val="0"/>
                    <w:snapToGrid w:val="0"/>
                    <w:jc w:val="center"/>
                    <w:rPr>
                      <w:color w:val="auto"/>
                      <w:kern w:val="0"/>
                      <w:szCs w:val="21"/>
                    </w:rPr>
                  </w:pPr>
                  <w:r>
                    <w:rPr>
                      <w:color w:val="auto"/>
                      <w:kern w:val="0"/>
                      <w:szCs w:val="21"/>
                    </w:rPr>
                    <w:t>9</w:t>
                  </w:r>
                </w:p>
              </w:tc>
              <w:tc>
                <w:tcPr>
                  <w:tcW w:w="651" w:type="pct"/>
                  <w:vAlign w:val="center"/>
                </w:tcPr>
                <w:p>
                  <w:pPr>
                    <w:pStyle w:val="13"/>
                    <w:tabs>
                      <w:tab w:val="left" w:pos="2830"/>
                    </w:tabs>
                    <w:jc w:val="center"/>
                    <w:rPr>
                      <w:rFonts w:ascii="Times New Roman" w:hAnsi="Times New Roman"/>
                      <w:color w:val="auto"/>
                      <w:szCs w:val="21"/>
                    </w:rPr>
                  </w:pPr>
                  <w:r>
                    <w:rPr>
                      <w:rFonts w:ascii="Times New Roman" w:hAnsi="Times New Roman"/>
                      <w:color w:val="auto"/>
                      <w:sz w:val="21"/>
                      <w:szCs w:val="21"/>
                    </w:rPr>
                    <w:t>自来水</w:t>
                  </w:r>
                </w:p>
              </w:tc>
              <w:tc>
                <w:tcPr>
                  <w:tcW w:w="1121" w:type="pct"/>
                  <w:vAlign w:val="center"/>
                </w:tcPr>
                <w:p>
                  <w:pPr>
                    <w:pStyle w:val="13"/>
                    <w:tabs>
                      <w:tab w:val="left" w:pos="2830"/>
                    </w:tabs>
                    <w:jc w:val="center"/>
                    <w:rPr>
                      <w:rFonts w:ascii="Times New Roman" w:hAnsi="Times New Roman"/>
                      <w:color w:val="auto"/>
                      <w:szCs w:val="21"/>
                    </w:rPr>
                  </w:pPr>
                  <w:r>
                    <w:rPr>
                      <w:rFonts w:ascii="Times New Roman" w:hAnsi="Times New Roman"/>
                      <w:color w:val="auto"/>
                      <w:sz w:val="21"/>
                      <w:szCs w:val="21"/>
                    </w:rPr>
                    <w:t>/</w:t>
                  </w:r>
                </w:p>
              </w:tc>
              <w:tc>
                <w:tcPr>
                  <w:tcW w:w="957" w:type="pct"/>
                  <w:vAlign w:val="center"/>
                </w:tcPr>
                <w:p>
                  <w:pPr>
                    <w:widowControl/>
                    <w:adjustRightInd w:val="0"/>
                    <w:snapToGrid w:val="0"/>
                    <w:spacing w:line="240" w:lineRule="exact"/>
                    <w:jc w:val="center"/>
                    <w:rPr>
                      <w:color w:val="auto"/>
                      <w:kern w:val="0"/>
                      <w:szCs w:val="21"/>
                    </w:rPr>
                  </w:pPr>
                  <w:r>
                    <w:rPr>
                      <w:rFonts w:hint="eastAsia"/>
                      <w:color w:val="auto"/>
                      <w:kern w:val="0"/>
                      <w:szCs w:val="21"/>
                      <w:lang w:val="en-US" w:eastAsia="zh-CN"/>
                    </w:rPr>
                    <w:t>464</w:t>
                  </w:r>
                  <w:r>
                    <w:rPr>
                      <w:color w:val="auto"/>
                      <w:kern w:val="0"/>
                      <w:szCs w:val="21"/>
                    </w:rPr>
                    <w:t>t/a</w:t>
                  </w:r>
                </w:p>
              </w:tc>
              <w:tc>
                <w:tcPr>
                  <w:tcW w:w="899" w:type="pct"/>
                  <w:vAlign w:val="center"/>
                </w:tcPr>
                <w:p>
                  <w:pPr>
                    <w:widowControl/>
                    <w:adjustRightInd w:val="0"/>
                    <w:snapToGrid w:val="0"/>
                    <w:spacing w:line="240" w:lineRule="exact"/>
                    <w:jc w:val="center"/>
                    <w:rPr>
                      <w:color w:val="auto"/>
                      <w:kern w:val="0"/>
                      <w:szCs w:val="21"/>
                    </w:rPr>
                  </w:pPr>
                  <w:r>
                    <w:rPr>
                      <w:color w:val="auto"/>
                      <w:kern w:val="0"/>
                      <w:szCs w:val="21"/>
                    </w:rPr>
                    <w:t>/</w:t>
                  </w:r>
                </w:p>
              </w:tc>
              <w:tc>
                <w:tcPr>
                  <w:tcW w:w="1021" w:type="pct"/>
                  <w:vAlign w:val="center"/>
                </w:tcPr>
                <w:p>
                  <w:pPr>
                    <w:pStyle w:val="13"/>
                    <w:tabs>
                      <w:tab w:val="left" w:pos="2830"/>
                    </w:tabs>
                    <w:jc w:val="center"/>
                    <w:rPr>
                      <w:rFonts w:ascii="Times New Roman" w:hAnsi="Times New Roman"/>
                      <w:color w:val="auto"/>
                      <w:szCs w:val="21"/>
                    </w:rPr>
                  </w:pPr>
                  <w:r>
                    <w:rPr>
                      <w:rFonts w:ascii="Times New Roman" w:hAnsi="Times New Roman"/>
                      <w:color w:val="auto"/>
                      <w:sz w:val="21"/>
                      <w:szCs w:val="21"/>
                    </w:rPr>
                    <w:t>市政自来水管网供给</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8" w:type="pct"/>
                  <w:vAlign w:val="center"/>
                </w:tcPr>
                <w:p>
                  <w:pPr>
                    <w:autoSpaceDE w:val="0"/>
                    <w:autoSpaceDN w:val="0"/>
                    <w:adjustRightInd w:val="0"/>
                    <w:snapToGrid w:val="0"/>
                    <w:jc w:val="center"/>
                    <w:rPr>
                      <w:color w:val="auto"/>
                      <w:kern w:val="0"/>
                      <w:szCs w:val="21"/>
                    </w:rPr>
                  </w:pPr>
                  <w:r>
                    <w:rPr>
                      <w:color w:val="auto"/>
                      <w:kern w:val="0"/>
                      <w:szCs w:val="21"/>
                    </w:rPr>
                    <w:t>10</w:t>
                  </w:r>
                </w:p>
              </w:tc>
              <w:tc>
                <w:tcPr>
                  <w:tcW w:w="651" w:type="pct"/>
                  <w:vAlign w:val="center"/>
                </w:tcPr>
                <w:p>
                  <w:pPr>
                    <w:pStyle w:val="13"/>
                    <w:tabs>
                      <w:tab w:val="left" w:pos="2830"/>
                    </w:tabs>
                    <w:jc w:val="center"/>
                    <w:rPr>
                      <w:rFonts w:ascii="Times New Roman" w:hAnsi="Times New Roman"/>
                      <w:color w:val="auto"/>
                      <w:szCs w:val="21"/>
                    </w:rPr>
                  </w:pPr>
                  <w:r>
                    <w:rPr>
                      <w:rFonts w:ascii="Times New Roman" w:hAnsi="Times New Roman"/>
                      <w:color w:val="auto"/>
                      <w:sz w:val="21"/>
                      <w:szCs w:val="21"/>
                    </w:rPr>
                    <w:t>电</w:t>
                  </w:r>
                </w:p>
              </w:tc>
              <w:tc>
                <w:tcPr>
                  <w:tcW w:w="1121" w:type="pct"/>
                  <w:vAlign w:val="center"/>
                </w:tcPr>
                <w:p>
                  <w:pPr>
                    <w:pStyle w:val="13"/>
                    <w:tabs>
                      <w:tab w:val="left" w:pos="2830"/>
                    </w:tabs>
                    <w:jc w:val="center"/>
                    <w:rPr>
                      <w:rFonts w:ascii="Times New Roman" w:hAnsi="Times New Roman"/>
                      <w:color w:val="auto"/>
                      <w:szCs w:val="21"/>
                    </w:rPr>
                  </w:pPr>
                  <w:r>
                    <w:rPr>
                      <w:rFonts w:ascii="Times New Roman" w:hAnsi="Times New Roman"/>
                      <w:color w:val="auto"/>
                      <w:sz w:val="21"/>
                      <w:szCs w:val="21"/>
                    </w:rPr>
                    <w:t>/</w:t>
                  </w:r>
                </w:p>
              </w:tc>
              <w:tc>
                <w:tcPr>
                  <w:tcW w:w="957" w:type="pct"/>
                  <w:vAlign w:val="center"/>
                </w:tcPr>
                <w:p>
                  <w:pPr>
                    <w:widowControl/>
                    <w:adjustRightInd w:val="0"/>
                    <w:snapToGrid w:val="0"/>
                    <w:spacing w:line="240" w:lineRule="exact"/>
                    <w:jc w:val="center"/>
                    <w:rPr>
                      <w:color w:val="auto"/>
                      <w:kern w:val="0"/>
                      <w:szCs w:val="21"/>
                    </w:rPr>
                  </w:pPr>
                  <w:r>
                    <w:rPr>
                      <w:color w:val="auto"/>
                      <w:kern w:val="0"/>
                      <w:szCs w:val="21"/>
                    </w:rPr>
                    <w:t>2万kWh/a</w:t>
                  </w:r>
                </w:p>
              </w:tc>
              <w:tc>
                <w:tcPr>
                  <w:tcW w:w="899" w:type="pct"/>
                  <w:vAlign w:val="center"/>
                </w:tcPr>
                <w:p>
                  <w:pPr>
                    <w:widowControl/>
                    <w:adjustRightInd w:val="0"/>
                    <w:snapToGrid w:val="0"/>
                    <w:spacing w:line="240" w:lineRule="exact"/>
                    <w:jc w:val="center"/>
                    <w:rPr>
                      <w:color w:val="auto"/>
                      <w:kern w:val="0"/>
                      <w:szCs w:val="21"/>
                    </w:rPr>
                  </w:pPr>
                  <w:r>
                    <w:rPr>
                      <w:color w:val="auto"/>
                      <w:kern w:val="0"/>
                      <w:szCs w:val="21"/>
                    </w:rPr>
                    <w:t>/</w:t>
                  </w:r>
                </w:p>
              </w:tc>
              <w:tc>
                <w:tcPr>
                  <w:tcW w:w="1021" w:type="pct"/>
                  <w:vAlign w:val="center"/>
                </w:tcPr>
                <w:p>
                  <w:pPr>
                    <w:pStyle w:val="13"/>
                    <w:tabs>
                      <w:tab w:val="left" w:pos="2830"/>
                    </w:tabs>
                    <w:jc w:val="center"/>
                    <w:rPr>
                      <w:rFonts w:ascii="Times New Roman" w:hAnsi="Times New Roman"/>
                      <w:color w:val="auto"/>
                      <w:szCs w:val="21"/>
                    </w:rPr>
                  </w:pPr>
                  <w:r>
                    <w:rPr>
                      <w:rFonts w:ascii="Times New Roman" w:hAnsi="Times New Roman"/>
                      <w:color w:val="auto"/>
                      <w:sz w:val="21"/>
                      <w:szCs w:val="21"/>
                    </w:rPr>
                    <w:t>市政电网供给</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8" w:type="pct"/>
                  <w:vAlign w:val="center"/>
                </w:tcPr>
                <w:p>
                  <w:pPr>
                    <w:autoSpaceDE w:val="0"/>
                    <w:autoSpaceDN w:val="0"/>
                    <w:adjustRightInd w:val="0"/>
                    <w:snapToGrid w:val="0"/>
                    <w:jc w:val="center"/>
                    <w:rPr>
                      <w:color w:val="auto"/>
                      <w:kern w:val="0"/>
                      <w:szCs w:val="21"/>
                    </w:rPr>
                  </w:pPr>
                  <w:bookmarkStart w:id="13" w:name="_Hlk58251737"/>
                  <w:r>
                    <w:rPr>
                      <w:rFonts w:hint="eastAsia"/>
                      <w:color w:val="auto"/>
                      <w:kern w:val="0"/>
                      <w:szCs w:val="21"/>
                    </w:rPr>
                    <w:t>11</w:t>
                  </w:r>
                </w:p>
              </w:tc>
              <w:tc>
                <w:tcPr>
                  <w:tcW w:w="651" w:type="pct"/>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润滑油</w:t>
                  </w:r>
                </w:p>
              </w:tc>
              <w:tc>
                <w:tcPr>
                  <w:tcW w:w="1121" w:type="pct"/>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矿物油</w:t>
                  </w:r>
                </w:p>
              </w:tc>
              <w:tc>
                <w:tcPr>
                  <w:tcW w:w="957" w:type="pct"/>
                  <w:vAlign w:val="center"/>
                </w:tcPr>
                <w:p>
                  <w:pPr>
                    <w:widowControl/>
                    <w:adjustRightInd w:val="0"/>
                    <w:snapToGrid w:val="0"/>
                    <w:spacing w:line="240" w:lineRule="exact"/>
                    <w:jc w:val="center"/>
                    <w:rPr>
                      <w:color w:val="auto"/>
                      <w:kern w:val="0"/>
                      <w:szCs w:val="21"/>
                    </w:rPr>
                  </w:pPr>
                  <w:r>
                    <w:rPr>
                      <w:rFonts w:hint="eastAsia"/>
                      <w:color w:val="auto"/>
                      <w:kern w:val="0"/>
                      <w:szCs w:val="21"/>
                    </w:rPr>
                    <w:t>0.05</w:t>
                  </w:r>
                </w:p>
              </w:tc>
              <w:tc>
                <w:tcPr>
                  <w:tcW w:w="899" w:type="pct"/>
                  <w:vAlign w:val="center"/>
                </w:tcPr>
                <w:p>
                  <w:pPr>
                    <w:widowControl/>
                    <w:adjustRightInd w:val="0"/>
                    <w:snapToGrid w:val="0"/>
                    <w:spacing w:line="240" w:lineRule="exact"/>
                    <w:jc w:val="center"/>
                    <w:rPr>
                      <w:color w:val="auto"/>
                      <w:kern w:val="0"/>
                      <w:szCs w:val="21"/>
                    </w:rPr>
                  </w:pPr>
                  <w:r>
                    <w:rPr>
                      <w:rFonts w:hint="eastAsia"/>
                      <w:color w:val="auto"/>
                      <w:kern w:val="0"/>
                      <w:szCs w:val="21"/>
                    </w:rPr>
                    <w:t>0.05</w:t>
                  </w:r>
                </w:p>
              </w:tc>
              <w:tc>
                <w:tcPr>
                  <w:tcW w:w="1021" w:type="pct"/>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汽运外购</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8" w:type="pct"/>
                  <w:vAlign w:val="center"/>
                </w:tcPr>
                <w:p>
                  <w:pPr>
                    <w:autoSpaceDE w:val="0"/>
                    <w:autoSpaceDN w:val="0"/>
                    <w:adjustRightInd w:val="0"/>
                    <w:snapToGrid w:val="0"/>
                    <w:jc w:val="center"/>
                    <w:rPr>
                      <w:color w:val="auto"/>
                      <w:kern w:val="0"/>
                      <w:szCs w:val="21"/>
                    </w:rPr>
                  </w:pPr>
                  <w:r>
                    <w:rPr>
                      <w:rFonts w:hint="eastAsia"/>
                      <w:color w:val="auto"/>
                      <w:kern w:val="0"/>
                      <w:szCs w:val="21"/>
                    </w:rPr>
                    <w:t>12</w:t>
                  </w:r>
                </w:p>
              </w:tc>
              <w:tc>
                <w:tcPr>
                  <w:tcW w:w="651" w:type="pct"/>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砂轮片</w:t>
                  </w:r>
                </w:p>
              </w:tc>
              <w:tc>
                <w:tcPr>
                  <w:tcW w:w="1121" w:type="pct"/>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w:t>
                  </w:r>
                </w:p>
              </w:tc>
              <w:tc>
                <w:tcPr>
                  <w:tcW w:w="957" w:type="pct"/>
                  <w:vAlign w:val="center"/>
                </w:tcPr>
                <w:p>
                  <w:pPr>
                    <w:widowControl/>
                    <w:adjustRightInd w:val="0"/>
                    <w:snapToGrid w:val="0"/>
                    <w:spacing w:line="240" w:lineRule="exact"/>
                    <w:jc w:val="center"/>
                    <w:rPr>
                      <w:color w:val="auto"/>
                      <w:kern w:val="0"/>
                      <w:szCs w:val="21"/>
                    </w:rPr>
                  </w:pPr>
                  <w:r>
                    <w:rPr>
                      <w:rFonts w:hint="eastAsia"/>
                      <w:color w:val="auto"/>
                      <w:kern w:val="0"/>
                      <w:szCs w:val="21"/>
                    </w:rPr>
                    <w:t>1000张</w:t>
                  </w:r>
                </w:p>
              </w:tc>
              <w:tc>
                <w:tcPr>
                  <w:tcW w:w="899" w:type="pct"/>
                  <w:vAlign w:val="center"/>
                </w:tcPr>
                <w:p>
                  <w:pPr>
                    <w:widowControl/>
                    <w:adjustRightInd w:val="0"/>
                    <w:snapToGrid w:val="0"/>
                    <w:spacing w:line="240" w:lineRule="exact"/>
                    <w:jc w:val="center"/>
                    <w:rPr>
                      <w:color w:val="auto"/>
                      <w:kern w:val="0"/>
                      <w:szCs w:val="21"/>
                    </w:rPr>
                  </w:pPr>
                  <w:r>
                    <w:rPr>
                      <w:rFonts w:hint="eastAsia"/>
                      <w:color w:val="auto"/>
                      <w:kern w:val="0"/>
                      <w:szCs w:val="21"/>
                    </w:rPr>
                    <w:t>1000张</w:t>
                  </w:r>
                </w:p>
              </w:tc>
              <w:tc>
                <w:tcPr>
                  <w:tcW w:w="1021" w:type="pct"/>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汽运外购</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8" w:type="pct"/>
                  <w:vAlign w:val="center"/>
                </w:tcPr>
                <w:p>
                  <w:pPr>
                    <w:autoSpaceDE w:val="0"/>
                    <w:autoSpaceDN w:val="0"/>
                    <w:adjustRightInd w:val="0"/>
                    <w:snapToGrid w:val="0"/>
                    <w:jc w:val="center"/>
                    <w:rPr>
                      <w:color w:val="auto"/>
                      <w:kern w:val="0"/>
                      <w:szCs w:val="21"/>
                    </w:rPr>
                  </w:pPr>
                  <w:r>
                    <w:rPr>
                      <w:rFonts w:hint="eastAsia"/>
                      <w:color w:val="auto"/>
                      <w:kern w:val="0"/>
                      <w:szCs w:val="21"/>
                    </w:rPr>
                    <w:t>13</w:t>
                  </w:r>
                </w:p>
              </w:tc>
              <w:tc>
                <w:tcPr>
                  <w:tcW w:w="651" w:type="pct"/>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过滤棉</w:t>
                  </w:r>
                </w:p>
              </w:tc>
              <w:tc>
                <w:tcPr>
                  <w:tcW w:w="1121" w:type="pct"/>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w:t>
                  </w:r>
                </w:p>
              </w:tc>
              <w:tc>
                <w:tcPr>
                  <w:tcW w:w="957" w:type="pct"/>
                  <w:vAlign w:val="center"/>
                </w:tcPr>
                <w:p>
                  <w:pPr>
                    <w:widowControl/>
                    <w:adjustRightInd w:val="0"/>
                    <w:snapToGrid w:val="0"/>
                    <w:spacing w:line="240" w:lineRule="exact"/>
                    <w:jc w:val="center"/>
                    <w:rPr>
                      <w:color w:val="auto"/>
                      <w:kern w:val="0"/>
                      <w:szCs w:val="21"/>
                    </w:rPr>
                  </w:pPr>
                  <w:r>
                    <w:rPr>
                      <w:rFonts w:hint="eastAsia"/>
                      <w:color w:val="auto"/>
                      <w:kern w:val="0"/>
                      <w:szCs w:val="21"/>
                    </w:rPr>
                    <w:t>0.54</w:t>
                  </w:r>
                </w:p>
              </w:tc>
              <w:tc>
                <w:tcPr>
                  <w:tcW w:w="899" w:type="pct"/>
                  <w:vAlign w:val="center"/>
                </w:tcPr>
                <w:p>
                  <w:pPr>
                    <w:widowControl/>
                    <w:adjustRightInd w:val="0"/>
                    <w:snapToGrid w:val="0"/>
                    <w:spacing w:line="240" w:lineRule="exact"/>
                    <w:jc w:val="center"/>
                    <w:rPr>
                      <w:color w:val="auto"/>
                      <w:kern w:val="0"/>
                      <w:szCs w:val="21"/>
                    </w:rPr>
                  </w:pPr>
                  <w:r>
                    <w:rPr>
                      <w:rFonts w:hint="eastAsia"/>
                      <w:color w:val="auto"/>
                      <w:kern w:val="0"/>
                      <w:szCs w:val="21"/>
                    </w:rPr>
                    <w:t>0.54</w:t>
                  </w:r>
                </w:p>
              </w:tc>
              <w:tc>
                <w:tcPr>
                  <w:tcW w:w="1021" w:type="pct"/>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汽运外购</w:t>
                  </w:r>
                </w:p>
              </w:tc>
            </w:tr>
            <w:bookmarkEnd w:id="12"/>
          </w:tbl>
          <w:p>
            <w:pPr>
              <w:wordWrap w:val="0"/>
              <w:spacing w:before="120" w:beforeLines="50" w:line="360" w:lineRule="auto"/>
              <w:jc w:val="center"/>
              <w:rPr>
                <w:b/>
                <w:bCs/>
                <w:color w:val="auto"/>
                <w:kern w:val="44"/>
                <w:szCs w:val="21"/>
                <w:lang w:val="zh-CN"/>
              </w:rPr>
            </w:pPr>
            <w:r>
              <w:rPr>
                <w:b/>
                <w:bCs/>
                <w:color w:val="auto"/>
                <w:kern w:val="44"/>
                <w:szCs w:val="21"/>
                <w:lang w:val="zh-CN"/>
              </w:rPr>
              <w:t>表2</w:t>
            </w:r>
            <w:r>
              <w:rPr>
                <w:rFonts w:hint="eastAsia"/>
                <w:b/>
                <w:bCs/>
                <w:color w:val="auto"/>
                <w:kern w:val="44"/>
                <w:szCs w:val="21"/>
              </w:rPr>
              <w:t>.1</w:t>
            </w:r>
            <w:r>
              <w:rPr>
                <w:b/>
                <w:bCs/>
                <w:color w:val="auto"/>
                <w:kern w:val="44"/>
                <w:szCs w:val="21"/>
              </w:rPr>
              <w:t xml:space="preserve">-5 </w:t>
            </w:r>
            <w:r>
              <w:rPr>
                <w:b/>
                <w:bCs/>
                <w:color w:val="auto"/>
                <w:kern w:val="44"/>
                <w:szCs w:val="21"/>
                <w:lang w:val="zh-CN"/>
              </w:rPr>
              <w:t>本项目主要原辅料理化性质一览表</w:t>
            </w:r>
          </w:p>
          <w:tbl>
            <w:tblPr>
              <w:tblStyle w:val="20"/>
              <w:tblW w:w="4996"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64"/>
              <w:gridCol w:w="4997"/>
              <w:gridCol w:w="1724"/>
              <w:gridCol w:w="110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89" w:hRule="atLeast"/>
                <w:tblHeader/>
                <w:jc w:val="center"/>
              </w:trPr>
              <w:tc>
                <w:tcPr>
                  <w:tcW w:w="788" w:type="pct"/>
                  <w:tcBorders>
                    <w:top w:val="single" w:color="auto" w:sz="12" w:space="0"/>
                    <w:bottom w:val="single" w:color="auto" w:sz="12" w:space="0"/>
                  </w:tcBorders>
                  <w:vAlign w:val="center"/>
                </w:tcPr>
                <w:p>
                  <w:pPr>
                    <w:pStyle w:val="29"/>
                    <w:spacing w:line="240" w:lineRule="auto"/>
                    <w:rPr>
                      <w:b/>
                      <w:color w:val="auto"/>
                    </w:rPr>
                  </w:pPr>
                  <w:r>
                    <w:rPr>
                      <w:b/>
                      <w:color w:val="auto"/>
                    </w:rPr>
                    <w:t>名称</w:t>
                  </w:r>
                </w:p>
              </w:tc>
              <w:tc>
                <w:tcPr>
                  <w:tcW w:w="2689" w:type="pct"/>
                  <w:tcBorders>
                    <w:top w:val="single" w:color="auto" w:sz="12" w:space="0"/>
                    <w:bottom w:val="single" w:color="auto" w:sz="12" w:space="0"/>
                  </w:tcBorders>
                  <w:vAlign w:val="center"/>
                </w:tcPr>
                <w:p>
                  <w:pPr>
                    <w:pStyle w:val="29"/>
                    <w:spacing w:line="240" w:lineRule="auto"/>
                    <w:rPr>
                      <w:b/>
                      <w:color w:val="auto"/>
                    </w:rPr>
                  </w:pPr>
                  <w:r>
                    <w:rPr>
                      <w:b/>
                      <w:color w:val="auto"/>
                    </w:rPr>
                    <w:t>理化特性</w:t>
                  </w:r>
                </w:p>
              </w:tc>
              <w:tc>
                <w:tcPr>
                  <w:tcW w:w="928" w:type="pct"/>
                  <w:tcBorders>
                    <w:top w:val="single" w:color="auto" w:sz="12" w:space="0"/>
                    <w:bottom w:val="single" w:color="auto" w:sz="12" w:space="0"/>
                  </w:tcBorders>
                  <w:vAlign w:val="center"/>
                </w:tcPr>
                <w:p>
                  <w:pPr>
                    <w:pStyle w:val="29"/>
                    <w:spacing w:line="240" w:lineRule="auto"/>
                    <w:rPr>
                      <w:b/>
                      <w:color w:val="auto"/>
                    </w:rPr>
                  </w:pPr>
                  <w:r>
                    <w:rPr>
                      <w:b/>
                      <w:color w:val="auto"/>
                    </w:rPr>
                    <w:t>燃烧爆炸性</w:t>
                  </w:r>
                </w:p>
              </w:tc>
              <w:tc>
                <w:tcPr>
                  <w:tcW w:w="592" w:type="pct"/>
                  <w:tcBorders>
                    <w:top w:val="single" w:color="auto" w:sz="12" w:space="0"/>
                    <w:bottom w:val="single" w:color="auto" w:sz="12" w:space="0"/>
                  </w:tcBorders>
                  <w:vAlign w:val="center"/>
                </w:tcPr>
                <w:p>
                  <w:pPr>
                    <w:pStyle w:val="29"/>
                    <w:spacing w:line="240" w:lineRule="auto"/>
                    <w:rPr>
                      <w:b/>
                      <w:color w:val="auto"/>
                    </w:rPr>
                  </w:pPr>
                  <w:r>
                    <w:rPr>
                      <w:b/>
                      <w:color w:val="auto"/>
                    </w:rPr>
                    <w:t>毒性毒理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67" w:hRule="atLeast"/>
                <w:jc w:val="center"/>
              </w:trPr>
              <w:tc>
                <w:tcPr>
                  <w:tcW w:w="788" w:type="pct"/>
                  <w:vAlign w:val="center"/>
                </w:tcPr>
                <w:p>
                  <w:pPr>
                    <w:pStyle w:val="13"/>
                    <w:tabs>
                      <w:tab w:val="left" w:pos="2830"/>
                    </w:tabs>
                    <w:jc w:val="center"/>
                    <w:rPr>
                      <w:rFonts w:ascii="Times New Roman" w:hAnsi="Times New Roman"/>
                      <w:color w:val="auto"/>
                    </w:rPr>
                  </w:pPr>
                  <w:r>
                    <w:rPr>
                      <w:rFonts w:ascii="Times New Roman" w:hAnsi="Times New Roman"/>
                      <w:color w:val="auto"/>
                      <w:sz w:val="21"/>
                      <w:szCs w:val="21"/>
                    </w:rPr>
                    <w:t>焊剂</w:t>
                  </w:r>
                </w:p>
              </w:tc>
              <w:tc>
                <w:tcPr>
                  <w:tcW w:w="2689" w:type="pct"/>
                  <w:vAlign w:val="center"/>
                </w:tcPr>
                <w:p>
                  <w:pPr>
                    <w:pStyle w:val="13"/>
                    <w:tabs>
                      <w:tab w:val="left" w:pos="2830"/>
                    </w:tabs>
                    <w:jc w:val="center"/>
                    <w:rPr>
                      <w:rFonts w:ascii="Times New Roman" w:hAnsi="Times New Roman"/>
                      <w:color w:val="auto"/>
                      <w:szCs w:val="21"/>
                      <w:lang w:bidi="ar"/>
                    </w:rPr>
                  </w:pPr>
                  <w:r>
                    <w:rPr>
                      <w:rFonts w:ascii="Times New Roman" w:hAnsi="Times New Roman"/>
                      <w:color w:val="auto"/>
                      <w:sz w:val="21"/>
                      <w:szCs w:val="21"/>
                    </w:rPr>
                    <w:t>焊剂由大理石、石英、萤石等矿石和钛白粉、纤维素等化学物质组成。焊剂主要用于埋弧焊和电渣焊。用以焊接各种钢材和有色金属时，必须与相应的焊丝合理配合使用，才能得到满意的焊缝。焊接时，能够熔化形成熔渣和气体，对熔化金属起保护和冶金处理作用的一种物质。用于埋弧焊的为埋弧焊剂。</w:t>
                  </w:r>
                </w:p>
              </w:tc>
              <w:tc>
                <w:tcPr>
                  <w:tcW w:w="928" w:type="pct"/>
                  <w:vAlign w:val="center"/>
                </w:tcPr>
                <w:p>
                  <w:pPr>
                    <w:pStyle w:val="13"/>
                    <w:tabs>
                      <w:tab w:val="left" w:pos="2830"/>
                    </w:tabs>
                    <w:jc w:val="center"/>
                    <w:rPr>
                      <w:rFonts w:ascii="Times New Roman" w:hAnsi="Times New Roman"/>
                      <w:color w:val="auto"/>
                    </w:rPr>
                  </w:pPr>
                  <w:r>
                    <w:rPr>
                      <w:rFonts w:ascii="Times New Roman" w:hAnsi="Times New Roman"/>
                      <w:color w:val="auto"/>
                      <w:sz w:val="21"/>
                      <w:szCs w:val="21"/>
                    </w:rPr>
                    <w:t>不燃</w:t>
                  </w:r>
                </w:p>
              </w:tc>
              <w:tc>
                <w:tcPr>
                  <w:tcW w:w="592" w:type="pct"/>
                  <w:vAlign w:val="center"/>
                </w:tcPr>
                <w:p>
                  <w:pPr>
                    <w:pStyle w:val="13"/>
                    <w:tabs>
                      <w:tab w:val="left" w:pos="2830"/>
                    </w:tabs>
                    <w:jc w:val="center"/>
                    <w:rPr>
                      <w:rFonts w:ascii="Times New Roman" w:hAnsi="Times New Roman"/>
                      <w:color w:val="auto"/>
                    </w:rPr>
                  </w:pPr>
                  <w:r>
                    <w:rPr>
                      <w:rFonts w:ascii="Times New Roman" w:hAnsi="Times New Roman"/>
                      <w:color w:val="auto"/>
                      <w:sz w:val="21"/>
                      <w:szCs w:val="21"/>
                    </w:rPr>
                    <w:t>/有毒</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788" w:type="pct"/>
                  <w:vAlign w:val="center"/>
                </w:tcPr>
                <w:p>
                  <w:pPr>
                    <w:pStyle w:val="13"/>
                    <w:tabs>
                      <w:tab w:val="left" w:pos="2830"/>
                    </w:tabs>
                    <w:jc w:val="center"/>
                    <w:rPr>
                      <w:rFonts w:ascii="Times New Roman" w:hAnsi="Times New Roman"/>
                      <w:color w:val="auto"/>
                    </w:rPr>
                  </w:pPr>
                  <w:r>
                    <w:rPr>
                      <w:rFonts w:ascii="Times New Roman" w:hAnsi="Times New Roman"/>
                      <w:color w:val="auto"/>
                      <w:sz w:val="21"/>
                      <w:szCs w:val="21"/>
                    </w:rPr>
                    <w:t>丙烯酸树脂</w:t>
                  </w:r>
                </w:p>
              </w:tc>
              <w:tc>
                <w:tcPr>
                  <w:tcW w:w="2689" w:type="pct"/>
                  <w:vAlign w:val="center"/>
                </w:tcPr>
                <w:p>
                  <w:pPr>
                    <w:pStyle w:val="13"/>
                    <w:tabs>
                      <w:tab w:val="left" w:pos="2830"/>
                    </w:tabs>
                    <w:jc w:val="center"/>
                    <w:rPr>
                      <w:rFonts w:ascii="Times New Roman" w:hAnsi="Times New Roman"/>
                      <w:color w:val="auto"/>
                      <w:szCs w:val="21"/>
                      <w:lang w:bidi="ar"/>
                    </w:rPr>
                  </w:pPr>
                  <w:r>
                    <w:rPr>
                      <w:rFonts w:ascii="Times New Roman" w:hAnsi="Times New Roman"/>
                      <w:color w:val="auto"/>
                      <w:kern w:val="2"/>
                      <w:sz w:val="21"/>
                      <w:szCs w:val="21"/>
                      <w:lang w:bidi="ar"/>
                    </w:rPr>
                    <w:t>化学式为</w:t>
                  </w:r>
                  <w:r>
                    <w:rPr>
                      <w:rFonts w:ascii="Times New Roman" w:hAnsi="Times New Roman"/>
                      <w:color w:val="auto"/>
                      <w:kern w:val="2"/>
                      <w:sz w:val="21"/>
                      <w:szCs w:val="21"/>
                      <w:shd w:val="clear" w:color="auto" w:fill="FFFFFF"/>
                      <w:lang w:bidi="ar"/>
                    </w:rPr>
                    <w:t>(C</w:t>
                  </w:r>
                  <w:r>
                    <w:rPr>
                      <w:rFonts w:ascii="Times New Roman" w:hAnsi="Times New Roman"/>
                      <w:color w:val="auto"/>
                      <w:kern w:val="2"/>
                      <w:sz w:val="21"/>
                      <w:szCs w:val="21"/>
                      <w:shd w:val="clear" w:color="auto" w:fill="FFFFFF"/>
                      <w:vertAlign w:val="subscript"/>
                      <w:lang w:bidi="ar"/>
                    </w:rPr>
                    <w:t>3</w:t>
                  </w:r>
                  <w:r>
                    <w:rPr>
                      <w:rFonts w:ascii="Times New Roman" w:hAnsi="Times New Roman"/>
                      <w:color w:val="auto"/>
                      <w:kern w:val="2"/>
                      <w:sz w:val="21"/>
                      <w:szCs w:val="21"/>
                      <w:shd w:val="clear" w:color="auto" w:fill="FFFFFF"/>
                      <w:lang w:bidi="ar"/>
                    </w:rPr>
                    <w:t>H</w:t>
                  </w:r>
                  <w:r>
                    <w:rPr>
                      <w:rFonts w:ascii="Times New Roman" w:hAnsi="Times New Roman"/>
                      <w:color w:val="auto"/>
                      <w:kern w:val="2"/>
                      <w:sz w:val="21"/>
                      <w:szCs w:val="21"/>
                      <w:shd w:val="clear" w:color="auto" w:fill="FFFFFF"/>
                      <w:vertAlign w:val="subscript"/>
                      <w:lang w:bidi="ar"/>
                    </w:rPr>
                    <w:t>4</w:t>
                  </w:r>
                  <w:r>
                    <w:rPr>
                      <w:rFonts w:ascii="Times New Roman" w:hAnsi="Times New Roman"/>
                      <w:color w:val="auto"/>
                      <w:kern w:val="2"/>
                      <w:sz w:val="21"/>
                      <w:szCs w:val="21"/>
                      <w:shd w:val="clear" w:color="auto" w:fill="FFFFFF"/>
                      <w:lang w:bidi="ar"/>
                    </w:rPr>
                    <w:t>O</w:t>
                  </w:r>
                  <w:r>
                    <w:rPr>
                      <w:rFonts w:ascii="Times New Roman" w:hAnsi="Times New Roman"/>
                      <w:color w:val="auto"/>
                      <w:kern w:val="2"/>
                      <w:sz w:val="21"/>
                      <w:szCs w:val="21"/>
                      <w:shd w:val="clear" w:color="auto" w:fill="FFFFFF"/>
                      <w:vertAlign w:val="subscript"/>
                      <w:lang w:bidi="ar"/>
                    </w:rPr>
                    <w:t>2</w:t>
                  </w:r>
                  <w:r>
                    <w:rPr>
                      <w:rFonts w:ascii="Times New Roman" w:hAnsi="Times New Roman"/>
                      <w:color w:val="auto"/>
                      <w:kern w:val="2"/>
                      <w:sz w:val="21"/>
                      <w:szCs w:val="21"/>
                      <w:shd w:val="clear" w:color="auto" w:fill="FFFFFF"/>
                      <w:lang w:bidi="ar"/>
                    </w:rPr>
                    <w:t>)</w:t>
                  </w:r>
                  <w:r>
                    <w:rPr>
                      <w:rFonts w:ascii="Times New Roman" w:hAnsi="Times New Roman"/>
                      <w:i/>
                      <w:iCs/>
                      <w:color w:val="auto"/>
                      <w:kern w:val="2"/>
                      <w:sz w:val="21"/>
                      <w:szCs w:val="21"/>
                      <w:shd w:val="clear" w:color="auto" w:fill="FFFFFF"/>
                      <w:vertAlign w:val="subscript"/>
                      <w:lang w:bidi="ar"/>
                    </w:rPr>
                    <w:t>n</w:t>
                  </w:r>
                  <w:r>
                    <w:rPr>
                      <w:rFonts w:ascii="Times New Roman" w:hAnsi="Times New Roman"/>
                      <w:iCs/>
                      <w:color w:val="auto"/>
                      <w:kern w:val="2"/>
                      <w:sz w:val="21"/>
                      <w:szCs w:val="21"/>
                      <w:shd w:val="clear" w:color="auto" w:fill="FFFFFF"/>
                      <w:lang w:bidi="ar"/>
                    </w:rPr>
                    <w:t>，无色或淡黄色黏性液体，密度为1.09g/cm</w:t>
                  </w:r>
                  <w:r>
                    <w:rPr>
                      <w:rFonts w:ascii="Times New Roman" w:hAnsi="Times New Roman"/>
                      <w:iCs/>
                      <w:color w:val="auto"/>
                      <w:kern w:val="2"/>
                      <w:sz w:val="21"/>
                      <w:szCs w:val="21"/>
                      <w:shd w:val="clear" w:color="auto" w:fill="FFFFFF"/>
                      <w:vertAlign w:val="superscript"/>
                      <w:lang w:bidi="ar"/>
                    </w:rPr>
                    <w:t>3</w:t>
                  </w:r>
                  <w:r>
                    <w:rPr>
                      <w:rFonts w:ascii="Times New Roman" w:hAnsi="Times New Roman"/>
                      <w:iCs/>
                      <w:color w:val="auto"/>
                      <w:kern w:val="2"/>
                      <w:sz w:val="21"/>
                      <w:szCs w:val="21"/>
                      <w:shd w:val="clear" w:color="auto" w:fill="FFFFFF"/>
                      <w:lang w:bidi="ar"/>
                    </w:rPr>
                    <w:t>，是</w:t>
                  </w:r>
                  <w:r>
                    <w:rPr>
                      <w:rFonts w:ascii="Times New Roman" w:hAnsi="Times New Roman"/>
                      <w:iCs/>
                      <w:color w:val="auto"/>
                      <w:kern w:val="2"/>
                      <w:sz w:val="21"/>
                      <w:szCs w:val="21"/>
                      <w:shd w:val="clear" w:color="auto" w:fill="FFFFFF"/>
                      <w:lang w:bidi="ar"/>
                    </w:rPr>
                    <w:fldChar w:fldCharType="begin"/>
                  </w:r>
                  <w:r>
                    <w:rPr>
                      <w:rFonts w:ascii="Times New Roman" w:hAnsi="Times New Roman"/>
                      <w:iCs/>
                      <w:color w:val="auto"/>
                      <w:kern w:val="2"/>
                      <w:sz w:val="21"/>
                      <w:szCs w:val="21"/>
                      <w:shd w:val="clear" w:color="auto" w:fill="FFFFFF"/>
                      <w:lang w:bidi="ar"/>
                    </w:rPr>
                    <w:instrText xml:space="preserve"> HYPERLINK "https://baike.baidu.com/item/%E4%B8%99%E7%83%AF%E9%85%B8/2442750" \t "C:/Users/Administrator.DESKTOP-9B09A7P/Documents/WeChat%20Files/wxid_n3awqpwb0tja22/FileStorage/File/2024-06/_blank" </w:instrText>
                  </w:r>
                  <w:r>
                    <w:rPr>
                      <w:rFonts w:ascii="Times New Roman" w:hAnsi="Times New Roman"/>
                      <w:iCs/>
                      <w:color w:val="auto"/>
                      <w:kern w:val="2"/>
                      <w:sz w:val="21"/>
                      <w:szCs w:val="21"/>
                      <w:shd w:val="clear" w:color="auto" w:fill="FFFFFF"/>
                      <w:lang w:bidi="ar"/>
                    </w:rPr>
                    <w:fldChar w:fldCharType="separate"/>
                  </w:r>
                  <w:r>
                    <w:rPr>
                      <w:rStyle w:val="23"/>
                      <w:rFonts w:ascii="Times New Roman" w:hAnsi="Times New Roman"/>
                      <w:iCs/>
                      <w:color w:val="auto"/>
                      <w:kern w:val="2"/>
                      <w:sz w:val="21"/>
                      <w:szCs w:val="21"/>
                      <w:shd w:val="clear" w:color="auto" w:fill="FFFFFF"/>
                      <w:lang w:bidi="ar"/>
                    </w:rPr>
                    <w:t>丙烯酸</w:t>
                  </w:r>
                  <w:r>
                    <w:rPr>
                      <w:rFonts w:ascii="Times New Roman" w:hAnsi="Times New Roman"/>
                      <w:iCs/>
                      <w:color w:val="auto"/>
                      <w:kern w:val="2"/>
                      <w:sz w:val="21"/>
                      <w:szCs w:val="21"/>
                      <w:shd w:val="clear" w:color="auto" w:fill="FFFFFF"/>
                      <w:lang w:bidi="ar"/>
                    </w:rPr>
                    <w:fldChar w:fldCharType="end"/>
                  </w:r>
                  <w:r>
                    <w:rPr>
                      <w:rFonts w:ascii="Times New Roman" w:hAnsi="Times New Roman"/>
                      <w:iCs/>
                      <w:color w:val="auto"/>
                      <w:kern w:val="2"/>
                      <w:sz w:val="21"/>
                      <w:szCs w:val="21"/>
                      <w:shd w:val="clear" w:color="auto" w:fill="FFFFFF"/>
                      <w:lang w:bidi="ar"/>
                    </w:rPr>
                    <w:t>、</w:t>
                  </w:r>
                  <w:r>
                    <w:rPr>
                      <w:color w:val="auto"/>
                    </w:rPr>
                    <w:fldChar w:fldCharType="begin"/>
                  </w:r>
                  <w:r>
                    <w:rPr>
                      <w:color w:val="auto"/>
                    </w:rPr>
                    <w:instrText xml:space="preserve"> HYPERLINK "https://baike.baidu.com/item/%E7%94%B2%E5%9F%BA%E4%B8%99%E7%83%AF%E9%85%B8/8854619" \t "C:/Users/Administrator.DESKTOP-9B09A7P/Documents/WeChat%20Files/wxid_n3awqpwb0tja22/FileStorage/File/2024-06/_blank" </w:instrText>
                  </w:r>
                  <w:r>
                    <w:rPr>
                      <w:color w:val="auto"/>
                    </w:rPr>
                    <w:fldChar w:fldCharType="separate"/>
                  </w:r>
                  <w:r>
                    <w:rPr>
                      <w:rStyle w:val="23"/>
                      <w:rFonts w:ascii="Times New Roman" w:hAnsi="Times New Roman"/>
                      <w:iCs/>
                      <w:color w:val="auto"/>
                      <w:kern w:val="2"/>
                      <w:sz w:val="21"/>
                      <w:szCs w:val="21"/>
                      <w:shd w:val="clear" w:color="auto" w:fill="FFFFFF"/>
                      <w:lang w:bidi="ar"/>
                    </w:rPr>
                    <w:t>甲基丙烯酸</w:t>
                  </w:r>
                  <w:r>
                    <w:rPr>
                      <w:rStyle w:val="23"/>
                      <w:rFonts w:ascii="Times New Roman" w:hAnsi="Times New Roman"/>
                      <w:iCs/>
                      <w:color w:val="auto"/>
                      <w:kern w:val="2"/>
                      <w:sz w:val="21"/>
                      <w:szCs w:val="21"/>
                      <w:shd w:val="clear" w:color="auto" w:fill="FFFFFF"/>
                      <w:lang w:bidi="ar"/>
                    </w:rPr>
                    <w:fldChar w:fldCharType="end"/>
                  </w:r>
                  <w:r>
                    <w:rPr>
                      <w:rFonts w:ascii="Times New Roman" w:hAnsi="Times New Roman"/>
                      <w:iCs/>
                      <w:color w:val="auto"/>
                      <w:kern w:val="2"/>
                      <w:sz w:val="21"/>
                      <w:szCs w:val="21"/>
                      <w:shd w:val="clear" w:color="auto" w:fill="FFFFFF"/>
                      <w:lang w:bidi="ar"/>
                    </w:rPr>
                    <w:t>及其衍生物聚合物的总称，相对分子量较大，具有良好的保光保色性、耐水耐化学性、干燥快、施工方便。</w:t>
                  </w:r>
                </w:p>
              </w:tc>
              <w:tc>
                <w:tcPr>
                  <w:tcW w:w="928" w:type="pct"/>
                  <w:vAlign w:val="center"/>
                </w:tcPr>
                <w:p>
                  <w:pPr>
                    <w:pStyle w:val="13"/>
                    <w:tabs>
                      <w:tab w:val="left" w:pos="2830"/>
                    </w:tabs>
                    <w:jc w:val="center"/>
                    <w:rPr>
                      <w:rFonts w:ascii="Times New Roman" w:hAnsi="Times New Roman"/>
                      <w:color w:val="auto"/>
                    </w:rPr>
                  </w:pPr>
                  <w:r>
                    <w:rPr>
                      <w:rFonts w:ascii="Times New Roman" w:hAnsi="Times New Roman"/>
                      <w:color w:val="auto"/>
                      <w:sz w:val="21"/>
                      <w:szCs w:val="21"/>
                    </w:rPr>
                    <w:t>不易燃</w:t>
                  </w:r>
                </w:p>
              </w:tc>
              <w:tc>
                <w:tcPr>
                  <w:tcW w:w="592" w:type="pct"/>
                  <w:vAlign w:val="center"/>
                </w:tcPr>
                <w:p>
                  <w:pPr>
                    <w:pStyle w:val="13"/>
                    <w:tabs>
                      <w:tab w:val="left" w:pos="2830"/>
                    </w:tabs>
                    <w:jc w:val="center"/>
                    <w:rPr>
                      <w:rFonts w:ascii="Times New Roman" w:hAnsi="Times New Roman"/>
                      <w:color w:val="auto"/>
                    </w:rPr>
                  </w:pPr>
                  <w:r>
                    <w:rPr>
                      <w:rFonts w:ascii="Times New Roman" w:hAnsi="Times New Roman"/>
                      <w:color w:val="auto"/>
                      <w:sz w:val="21"/>
                      <w:szCs w:val="21"/>
                    </w:rPr>
                    <w:t>有毒</w:t>
                  </w:r>
                </w:p>
              </w:tc>
            </w:tr>
          </w:tbl>
          <w:p>
            <w:pPr>
              <w:widowControl/>
              <w:adjustRightInd w:val="0"/>
              <w:snapToGrid w:val="0"/>
              <w:spacing w:line="360" w:lineRule="auto"/>
              <w:ind w:firstLine="480" w:firstLineChars="200"/>
              <w:rPr>
                <w:color w:val="auto"/>
                <w:sz w:val="24"/>
                <w:lang w:bidi="ar"/>
              </w:rPr>
            </w:pPr>
          </w:p>
          <w:p>
            <w:pPr>
              <w:pStyle w:val="2"/>
              <w:rPr>
                <w:color w:val="auto"/>
              </w:rPr>
            </w:pPr>
          </w:p>
          <w:p>
            <w:pPr>
              <w:widowControl/>
              <w:adjustRightInd w:val="0"/>
              <w:snapToGrid w:val="0"/>
              <w:spacing w:line="360" w:lineRule="auto"/>
              <w:ind w:firstLine="480" w:firstLineChars="200"/>
              <w:rPr>
                <w:color w:val="auto"/>
                <w:sz w:val="24"/>
              </w:rPr>
            </w:pPr>
            <w:r>
              <w:rPr>
                <w:color w:val="auto"/>
                <w:sz w:val="24"/>
                <w:lang w:bidi="ar"/>
              </w:rPr>
              <w:t>（2）水性漆中VOC含量的限值核算</w:t>
            </w:r>
          </w:p>
          <w:p>
            <w:pPr>
              <w:widowControl/>
              <w:adjustRightInd w:val="0"/>
              <w:snapToGrid w:val="0"/>
              <w:spacing w:line="360" w:lineRule="auto"/>
              <w:ind w:firstLine="480" w:firstLineChars="200"/>
              <w:rPr>
                <w:color w:val="auto"/>
                <w:sz w:val="24"/>
              </w:rPr>
            </w:pPr>
            <w:r>
              <w:rPr>
                <w:color w:val="auto"/>
                <w:sz w:val="24"/>
                <w:lang w:bidi="ar"/>
              </w:rPr>
              <w:t>项目使用水性漆进行喷漆，项目水性漆与《低挥发性有机化合物含量涂料产品技术要求》（GB/T38597-2020）相关VOCs限值相符性分析见表</w:t>
            </w:r>
            <w:r>
              <w:rPr>
                <w:rFonts w:hint="eastAsia"/>
                <w:color w:val="auto"/>
                <w:sz w:val="24"/>
                <w:lang w:bidi="ar"/>
              </w:rPr>
              <w:t>2.1-6</w:t>
            </w:r>
            <w:r>
              <w:rPr>
                <w:color w:val="auto"/>
                <w:sz w:val="24"/>
                <w:lang w:bidi="ar"/>
              </w:rPr>
              <w:t>。</w:t>
            </w:r>
          </w:p>
          <w:p>
            <w:pPr>
              <w:widowControl/>
              <w:autoSpaceDE w:val="0"/>
              <w:autoSpaceDN w:val="0"/>
              <w:adjustRightInd w:val="0"/>
              <w:snapToGrid w:val="0"/>
              <w:jc w:val="center"/>
              <w:rPr>
                <w:b/>
                <w:color w:val="auto"/>
                <w:kern w:val="0"/>
                <w:sz w:val="24"/>
              </w:rPr>
            </w:pPr>
            <w:r>
              <w:rPr>
                <w:b/>
                <w:color w:val="auto"/>
                <w:kern w:val="0"/>
                <w:sz w:val="24"/>
                <w:lang w:bidi="ar"/>
              </w:rPr>
              <w:t>表</w:t>
            </w:r>
            <w:r>
              <w:rPr>
                <w:rFonts w:hint="eastAsia"/>
                <w:b/>
                <w:color w:val="auto"/>
                <w:kern w:val="0"/>
                <w:sz w:val="24"/>
                <w:lang w:bidi="ar"/>
              </w:rPr>
              <w:t xml:space="preserve">2.1-6 </w:t>
            </w:r>
            <w:r>
              <w:rPr>
                <w:b/>
                <w:color w:val="auto"/>
                <w:kern w:val="0"/>
                <w:sz w:val="24"/>
                <w:lang w:bidi="ar"/>
              </w:rPr>
              <w:t>建设项目水性漆中VOC</w:t>
            </w:r>
            <w:r>
              <w:rPr>
                <w:b/>
                <w:color w:val="auto"/>
                <w:kern w:val="0"/>
                <w:sz w:val="24"/>
                <w:vertAlign w:val="subscript"/>
                <w:lang w:bidi="ar"/>
              </w:rPr>
              <w:t>S</w:t>
            </w:r>
            <w:r>
              <w:rPr>
                <w:b/>
                <w:color w:val="auto"/>
                <w:kern w:val="0"/>
                <w:sz w:val="24"/>
                <w:lang w:bidi="ar"/>
              </w:rPr>
              <w:t xml:space="preserve">含量的限值相符性分析 </w:t>
            </w:r>
          </w:p>
          <w:tbl>
            <w:tblPr>
              <w:tblStyle w:val="20"/>
              <w:tblW w:w="5000" w:type="pct"/>
              <w:tblInd w:w="0" w:type="dxa"/>
              <w:tblBorders>
                <w:top w:val="single" w:color="auto" w:sz="12" w:space="0"/>
                <w:left w:val="none" w:color="auto" w:sz="6" w:space="0"/>
                <w:bottom w:val="single" w:color="auto" w:sz="12" w:space="0"/>
                <w:right w:val="none" w:color="auto" w:sz="6" w:space="0"/>
                <w:insideH w:val="single" w:color="auto" w:sz="4" w:space="0"/>
                <w:insideV w:val="single" w:color="auto" w:sz="4" w:space="0"/>
              </w:tblBorders>
              <w:tblLayout w:type="autofit"/>
              <w:tblCellMar>
                <w:top w:w="0" w:type="dxa"/>
                <w:left w:w="28" w:type="dxa"/>
                <w:bottom w:w="0" w:type="dxa"/>
                <w:right w:w="28" w:type="dxa"/>
              </w:tblCellMar>
            </w:tblPr>
            <w:tblGrid>
              <w:gridCol w:w="2008"/>
              <w:gridCol w:w="1002"/>
              <w:gridCol w:w="924"/>
              <w:gridCol w:w="957"/>
              <w:gridCol w:w="3616"/>
              <w:gridCol w:w="785"/>
            </w:tblGrid>
            <w:tr>
              <w:tblPrEx>
                <w:tblBorders>
                  <w:top w:val="single" w:color="auto" w:sz="12" w:space="0"/>
                  <w:left w:val="none" w:color="auto" w:sz="6" w:space="0"/>
                  <w:bottom w:val="single" w:color="auto" w:sz="12" w:space="0"/>
                  <w:right w:val="none" w:color="auto" w:sz="6" w:space="0"/>
                  <w:insideH w:val="single" w:color="auto" w:sz="4" w:space="0"/>
                  <w:insideV w:val="single" w:color="auto" w:sz="4" w:space="0"/>
                </w:tblBorders>
                <w:tblCellMar>
                  <w:top w:w="0" w:type="dxa"/>
                  <w:left w:w="28" w:type="dxa"/>
                  <w:bottom w:w="0" w:type="dxa"/>
                  <w:right w:w="28" w:type="dxa"/>
                </w:tblCellMar>
              </w:tblPrEx>
              <w:trPr>
                <w:trHeight w:val="340" w:hRule="atLeast"/>
              </w:trPr>
              <w:tc>
                <w:tcPr>
                  <w:tcW w:w="1080" w:type="pct"/>
                  <w:tcBorders>
                    <w:top w:val="single" w:color="auto" w:sz="12" w:space="0"/>
                    <w:left w:val="nil"/>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b/>
                      <w:bCs/>
                      <w:color w:val="auto"/>
                      <w:sz w:val="21"/>
                      <w:szCs w:val="21"/>
                    </w:rPr>
                  </w:pPr>
                  <w:r>
                    <w:rPr>
                      <w:rFonts w:ascii="Times New Roman" w:hAnsi="Times New Roman"/>
                      <w:b/>
                      <w:bCs/>
                      <w:color w:val="auto"/>
                      <w:sz w:val="21"/>
                      <w:szCs w:val="21"/>
                    </w:rPr>
                    <w:t>文件</w:t>
                  </w:r>
                </w:p>
              </w:tc>
              <w:tc>
                <w:tcPr>
                  <w:tcW w:w="539" w:type="pct"/>
                  <w:tcBorders>
                    <w:top w:val="single" w:color="auto" w:sz="12"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b/>
                      <w:bCs/>
                      <w:color w:val="auto"/>
                      <w:sz w:val="21"/>
                      <w:szCs w:val="21"/>
                    </w:rPr>
                  </w:pPr>
                  <w:r>
                    <w:rPr>
                      <w:rFonts w:ascii="Times New Roman" w:hAnsi="Times New Roman"/>
                      <w:b/>
                      <w:bCs/>
                      <w:color w:val="auto"/>
                      <w:sz w:val="21"/>
                      <w:szCs w:val="21"/>
                    </w:rPr>
                    <w:t>产品类别</w:t>
                  </w:r>
                </w:p>
              </w:tc>
              <w:tc>
                <w:tcPr>
                  <w:tcW w:w="497" w:type="pct"/>
                  <w:tcBorders>
                    <w:top w:val="single" w:color="auto" w:sz="12"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b/>
                      <w:bCs/>
                      <w:color w:val="auto"/>
                      <w:sz w:val="21"/>
                      <w:szCs w:val="21"/>
                    </w:rPr>
                  </w:pPr>
                  <w:r>
                    <w:rPr>
                      <w:rFonts w:ascii="Times New Roman" w:hAnsi="Times New Roman"/>
                      <w:b/>
                      <w:bCs/>
                      <w:color w:val="auto"/>
                      <w:sz w:val="21"/>
                      <w:szCs w:val="21"/>
                    </w:rPr>
                    <w:t>产品类型</w:t>
                  </w:r>
                </w:p>
              </w:tc>
              <w:tc>
                <w:tcPr>
                  <w:tcW w:w="515" w:type="pct"/>
                  <w:tcBorders>
                    <w:top w:val="single" w:color="auto" w:sz="12"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b/>
                      <w:bCs/>
                      <w:color w:val="auto"/>
                      <w:sz w:val="21"/>
                      <w:szCs w:val="21"/>
                    </w:rPr>
                  </w:pPr>
                  <w:r>
                    <w:rPr>
                      <w:rFonts w:ascii="Times New Roman" w:hAnsi="Times New Roman"/>
                      <w:b/>
                      <w:bCs/>
                      <w:color w:val="auto"/>
                      <w:sz w:val="21"/>
                      <w:szCs w:val="21"/>
                    </w:rPr>
                    <w:t>限量值/（g/L）</w:t>
                  </w:r>
                </w:p>
              </w:tc>
              <w:tc>
                <w:tcPr>
                  <w:tcW w:w="1945" w:type="pct"/>
                  <w:tcBorders>
                    <w:top w:val="single" w:color="auto" w:sz="12"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b/>
                      <w:bCs/>
                      <w:color w:val="auto"/>
                      <w:sz w:val="21"/>
                      <w:szCs w:val="21"/>
                    </w:rPr>
                  </w:pPr>
                  <w:r>
                    <w:rPr>
                      <w:rFonts w:ascii="Times New Roman" w:hAnsi="Times New Roman"/>
                      <w:b/>
                      <w:bCs/>
                      <w:color w:val="auto"/>
                      <w:sz w:val="21"/>
                      <w:szCs w:val="21"/>
                    </w:rPr>
                    <w:t>建设项目VOC含量</w:t>
                  </w:r>
                </w:p>
              </w:tc>
              <w:tc>
                <w:tcPr>
                  <w:tcW w:w="422" w:type="pct"/>
                  <w:tcBorders>
                    <w:top w:val="single" w:color="auto" w:sz="12" w:space="0"/>
                    <w:left w:val="single" w:color="auto" w:sz="4" w:space="0"/>
                    <w:bottom w:val="single" w:color="auto" w:sz="4" w:space="0"/>
                    <w:right w:val="nil"/>
                  </w:tcBorders>
                  <w:shd w:val="clear" w:color="auto" w:fill="auto"/>
                  <w:vAlign w:val="center"/>
                </w:tcPr>
                <w:p>
                  <w:pPr>
                    <w:pStyle w:val="13"/>
                    <w:tabs>
                      <w:tab w:val="left" w:pos="2830"/>
                    </w:tabs>
                    <w:jc w:val="center"/>
                    <w:rPr>
                      <w:rFonts w:ascii="Times New Roman" w:hAnsi="Times New Roman"/>
                      <w:b/>
                      <w:bCs/>
                      <w:color w:val="auto"/>
                      <w:sz w:val="21"/>
                      <w:szCs w:val="21"/>
                    </w:rPr>
                  </w:pPr>
                  <w:r>
                    <w:rPr>
                      <w:rFonts w:ascii="Times New Roman" w:hAnsi="Times New Roman"/>
                      <w:b/>
                      <w:bCs/>
                      <w:color w:val="auto"/>
                      <w:sz w:val="21"/>
                      <w:szCs w:val="21"/>
                    </w:rPr>
                    <w:t>相符性判定</w:t>
                  </w:r>
                </w:p>
              </w:tc>
            </w:tr>
            <w:tr>
              <w:tblPrEx>
                <w:tblBorders>
                  <w:top w:val="single" w:color="auto" w:sz="12" w:space="0"/>
                  <w:left w:val="none" w:color="auto" w:sz="6" w:space="0"/>
                  <w:bottom w:val="single" w:color="auto" w:sz="12" w:space="0"/>
                  <w:right w:val="none" w:color="auto" w:sz="6" w:space="0"/>
                  <w:insideH w:val="single" w:color="auto" w:sz="4" w:space="0"/>
                  <w:insideV w:val="single" w:color="auto" w:sz="4" w:space="0"/>
                </w:tblBorders>
                <w:tblCellMar>
                  <w:top w:w="0" w:type="dxa"/>
                  <w:left w:w="28" w:type="dxa"/>
                  <w:bottom w:w="0" w:type="dxa"/>
                  <w:right w:w="28" w:type="dxa"/>
                </w:tblCellMar>
              </w:tblPrEx>
              <w:trPr>
                <w:trHeight w:val="1415" w:hRule="atLeast"/>
              </w:trPr>
              <w:tc>
                <w:tcPr>
                  <w:tcW w:w="1080" w:type="pct"/>
                  <w:vMerge w:val="restart"/>
                  <w:tcBorders>
                    <w:top w:val="single" w:color="auto" w:sz="4" w:space="0"/>
                    <w:left w:val="nil"/>
                    <w:bottom w:val="single" w:color="auto" w:sz="12"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《低挥发性有机化合物含量涂料产品技术要求》（GB/T38597-2020）</w:t>
                  </w:r>
                </w:p>
              </w:tc>
              <w:tc>
                <w:tcPr>
                  <w:tcW w:w="539" w:type="pct"/>
                  <w:vMerge w:val="restart"/>
                  <w:tcBorders>
                    <w:top w:val="single" w:color="auto" w:sz="4" w:space="0"/>
                    <w:left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水性涂料</w:t>
                  </w:r>
                  <w:r>
                    <w:rPr>
                      <w:rFonts w:hint="eastAsia" w:ascii="Times New Roman" w:hAnsi="Times New Roman"/>
                      <w:color w:val="auto"/>
                      <w:sz w:val="21"/>
                      <w:szCs w:val="21"/>
                    </w:rPr>
                    <w:t>（底面混合漆）</w:t>
                  </w:r>
                </w:p>
              </w:tc>
              <w:tc>
                <w:tcPr>
                  <w:tcW w:w="49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底漆</w:t>
                  </w:r>
                </w:p>
              </w:tc>
              <w:tc>
                <w:tcPr>
                  <w:tcW w:w="51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lang w:bidi="ar"/>
                    </w:rPr>
                    <w:t>≤2</w:t>
                  </w:r>
                  <w:r>
                    <w:rPr>
                      <w:rFonts w:hint="eastAsia" w:ascii="Times New Roman" w:hAnsi="Times New Roman"/>
                      <w:color w:val="auto"/>
                      <w:sz w:val="21"/>
                      <w:szCs w:val="21"/>
                      <w:lang w:val="en-US" w:eastAsia="zh-CN" w:bidi="ar"/>
                    </w:rPr>
                    <w:t>0</w:t>
                  </w:r>
                  <w:r>
                    <w:rPr>
                      <w:rFonts w:ascii="Times New Roman" w:hAnsi="Times New Roman"/>
                      <w:color w:val="auto"/>
                      <w:sz w:val="21"/>
                      <w:szCs w:val="21"/>
                      <w:lang w:bidi="ar"/>
                    </w:rPr>
                    <w:t>0g/L</w:t>
                  </w:r>
                </w:p>
              </w:tc>
              <w:tc>
                <w:tcPr>
                  <w:tcW w:w="194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lang w:bidi="ar"/>
                    </w:rPr>
                    <w:t>根据本项目使用的水性漆VOC检测报告</w:t>
                  </w:r>
                  <w:r>
                    <w:rPr>
                      <w:rFonts w:ascii="Times New Roman" w:hAnsi="Times New Roman"/>
                      <w:color w:val="auto"/>
                      <w:sz w:val="21"/>
                      <w:lang w:bidi="ar"/>
                    </w:rPr>
                    <w:t>（附件</w:t>
                  </w:r>
                  <w:r>
                    <w:rPr>
                      <w:rFonts w:hint="eastAsia" w:ascii="Times New Roman" w:hAnsi="Times New Roman"/>
                      <w:color w:val="auto"/>
                      <w:sz w:val="21"/>
                      <w:lang w:val="en-US" w:eastAsia="zh-CN" w:bidi="ar"/>
                    </w:rPr>
                    <w:t>7</w:t>
                  </w:r>
                  <w:r>
                    <w:rPr>
                      <w:rFonts w:ascii="Times New Roman" w:hAnsi="Times New Roman"/>
                      <w:color w:val="auto"/>
                      <w:sz w:val="21"/>
                      <w:lang w:bidi="ar"/>
                    </w:rPr>
                    <w:t>）</w:t>
                  </w:r>
                  <w:r>
                    <w:rPr>
                      <w:rFonts w:ascii="Times New Roman" w:hAnsi="Times New Roman"/>
                      <w:color w:val="auto"/>
                      <w:sz w:val="21"/>
                      <w:szCs w:val="21"/>
                      <w:lang w:bidi="ar"/>
                    </w:rPr>
                    <w:t>，VOC含量为63g/L</w:t>
                  </w:r>
                </w:p>
              </w:tc>
              <w:tc>
                <w:tcPr>
                  <w:tcW w:w="422" w:type="pct"/>
                  <w:tcBorders>
                    <w:top w:val="single" w:color="auto" w:sz="4" w:space="0"/>
                    <w:left w:val="single" w:color="auto" w:sz="4" w:space="0"/>
                    <w:bottom w:val="single" w:color="auto" w:sz="4" w:space="0"/>
                    <w:right w:val="nil"/>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符合</w:t>
                  </w:r>
                </w:p>
              </w:tc>
            </w:tr>
            <w:tr>
              <w:tblPrEx>
                <w:tblBorders>
                  <w:top w:val="single" w:color="auto" w:sz="12" w:space="0"/>
                  <w:left w:val="none" w:color="auto" w:sz="6" w:space="0"/>
                  <w:bottom w:val="single" w:color="auto" w:sz="12" w:space="0"/>
                  <w:right w:val="none" w:color="auto" w:sz="6" w:space="0"/>
                  <w:insideH w:val="single" w:color="auto" w:sz="4" w:space="0"/>
                  <w:insideV w:val="single" w:color="auto" w:sz="4" w:space="0"/>
                </w:tblBorders>
                <w:tblCellMar>
                  <w:top w:w="0" w:type="dxa"/>
                  <w:left w:w="28" w:type="dxa"/>
                  <w:bottom w:w="0" w:type="dxa"/>
                  <w:right w:w="28" w:type="dxa"/>
                </w:tblCellMar>
              </w:tblPrEx>
              <w:trPr>
                <w:trHeight w:val="1415" w:hRule="atLeast"/>
              </w:trPr>
              <w:tc>
                <w:tcPr>
                  <w:tcW w:w="1080" w:type="pct"/>
                  <w:vMerge w:val="continue"/>
                  <w:tcBorders>
                    <w:top w:val="single" w:color="auto" w:sz="4" w:space="0"/>
                    <w:left w:val="nil"/>
                    <w:bottom w:val="single" w:color="auto" w:sz="12"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p>
              </w:tc>
              <w:tc>
                <w:tcPr>
                  <w:tcW w:w="539" w:type="pct"/>
                  <w:vMerge w:val="continue"/>
                  <w:tcBorders>
                    <w:left w:val="single" w:color="auto" w:sz="4" w:space="0"/>
                    <w:bottom w:val="single" w:color="auto" w:sz="12"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bookmarkStart w:id="14" w:name="_Toc98333833"/>
                  <w:bookmarkStart w:id="15" w:name="_Toc99384745"/>
                  <w:bookmarkStart w:id="16" w:name="_Toc98422179"/>
                  <w:bookmarkStart w:id="17" w:name="_Toc100044152"/>
                </w:p>
              </w:tc>
              <w:tc>
                <w:tcPr>
                  <w:tcW w:w="497" w:type="pct"/>
                  <w:tcBorders>
                    <w:top w:val="single" w:color="auto" w:sz="4" w:space="0"/>
                    <w:left w:val="single" w:color="auto" w:sz="4" w:space="0"/>
                    <w:bottom w:val="single" w:color="auto" w:sz="12"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面漆</w:t>
                  </w:r>
                </w:p>
              </w:tc>
              <w:tc>
                <w:tcPr>
                  <w:tcW w:w="515" w:type="pct"/>
                  <w:tcBorders>
                    <w:top w:val="single" w:color="auto" w:sz="4" w:space="0"/>
                    <w:left w:val="single" w:color="auto" w:sz="4" w:space="0"/>
                    <w:bottom w:val="single" w:color="auto" w:sz="12"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lang w:bidi="ar"/>
                    </w:rPr>
                    <w:t>≤</w:t>
                  </w:r>
                  <w:r>
                    <w:rPr>
                      <w:rFonts w:hint="eastAsia" w:ascii="Times New Roman" w:hAnsi="Times New Roman"/>
                      <w:color w:val="auto"/>
                      <w:sz w:val="21"/>
                      <w:szCs w:val="21"/>
                      <w:lang w:val="en-US" w:eastAsia="zh-CN" w:bidi="ar"/>
                    </w:rPr>
                    <w:t>25</w:t>
                  </w:r>
                  <w:r>
                    <w:rPr>
                      <w:rFonts w:ascii="Times New Roman" w:hAnsi="Times New Roman"/>
                      <w:color w:val="auto"/>
                      <w:sz w:val="21"/>
                      <w:szCs w:val="21"/>
                      <w:lang w:bidi="ar"/>
                    </w:rPr>
                    <w:t>0g/L</w:t>
                  </w:r>
                </w:p>
              </w:tc>
              <w:tc>
                <w:tcPr>
                  <w:tcW w:w="1945" w:type="pct"/>
                  <w:tcBorders>
                    <w:top w:val="single" w:color="auto" w:sz="4" w:space="0"/>
                    <w:left w:val="single" w:color="auto" w:sz="4" w:space="0"/>
                    <w:bottom w:val="single" w:color="auto" w:sz="12"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lang w:bidi="ar"/>
                    </w:rPr>
                    <w:t>根据本项目使用的水性漆VOC检测报告</w:t>
                  </w:r>
                  <w:r>
                    <w:rPr>
                      <w:rFonts w:hint="eastAsia" w:ascii="Times New Roman" w:hAnsi="Times New Roman"/>
                      <w:color w:val="auto"/>
                      <w:sz w:val="21"/>
                      <w:lang w:val="en-US" w:eastAsia="zh-CN" w:bidi="ar"/>
                    </w:rPr>
                    <w:t>7</w:t>
                  </w:r>
                  <w:r>
                    <w:rPr>
                      <w:rFonts w:ascii="Times New Roman" w:hAnsi="Times New Roman"/>
                      <w:color w:val="auto"/>
                      <w:sz w:val="21"/>
                      <w:szCs w:val="21"/>
                      <w:lang w:bidi="ar"/>
                    </w:rPr>
                    <w:t>，VOC含量为63g/L</w:t>
                  </w:r>
                </w:p>
              </w:tc>
              <w:tc>
                <w:tcPr>
                  <w:tcW w:w="422" w:type="pct"/>
                  <w:tcBorders>
                    <w:top w:val="single" w:color="auto" w:sz="4" w:space="0"/>
                    <w:left w:val="single" w:color="auto" w:sz="4" w:space="0"/>
                    <w:bottom w:val="single" w:color="auto" w:sz="12" w:space="0"/>
                    <w:right w:val="nil"/>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符合</w:t>
                  </w:r>
                </w:p>
              </w:tc>
            </w:tr>
          </w:tbl>
          <w:p>
            <w:pPr>
              <w:widowControl/>
              <w:jc w:val="left"/>
              <w:rPr>
                <w:color w:val="auto"/>
              </w:rPr>
            </w:pPr>
            <w:r>
              <w:rPr>
                <w:color w:val="auto"/>
                <w:kern w:val="0"/>
                <w:szCs w:val="21"/>
                <w:lang w:bidi="ar"/>
              </w:rPr>
              <w:t>*注：水性漆中的VOCs含量挥发份根据水性漆检测报告所得。</w:t>
            </w:r>
          </w:p>
          <w:p>
            <w:pPr>
              <w:widowControl/>
              <w:adjustRightInd w:val="0"/>
              <w:snapToGrid w:val="0"/>
              <w:spacing w:line="360" w:lineRule="auto"/>
              <w:ind w:firstLine="480" w:firstLineChars="200"/>
              <w:rPr>
                <w:color w:val="auto"/>
                <w:sz w:val="24"/>
              </w:rPr>
            </w:pPr>
            <w:r>
              <w:rPr>
                <w:color w:val="auto"/>
                <w:sz w:val="24"/>
                <w:lang w:bidi="ar"/>
              </w:rPr>
              <w:t>建设项目钢结构件加工使用水性漆进行喷漆，根据企业提供的资料，</w:t>
            </w:r>
            <w:r>
              <w:rPr>
                <w:rFonts w:hint="eastAsia"/>
                <w:color w:val="auto"/>
                <w:sz w:val="24"/>
                <w:lang w:bidi="ar"/>
              </w:rPr>
              <w:t>本项目使用的水性涂料为底面一体漆，</w:t>
            </w:r>
            <w:r>
              <w:rPr>
                <w:color w:val="auto"/>
                <w:sz w:val="24"/>
                <w:lang w:bidi="ar"/>
              </w:rPr>
              <w:t>挥发性有机物含量为63g/L，经与《低挥发性有机化合物含量涂料产品技术要求》（GB/T38597-2020）中的水性漆中VOCs含量标准限值进行对比分析，项目水性丙烯酸漆满足GB/T38597-2020中的水性漆中VOCs含量标准限值要求，符合我国的环保要求，也符合产业发展需求。</w:t>
            </w:r>
          </w:p>
          <w:p>
            <w:pPr>
              <w:widowControl/>
              <w:adjustRightInd w:val="0"/>
              <w:snapToGrid w:val="0"/>
              <w:spacing w:line="360" w:lineRule="auto"/>
              <w:ind w:firstLine="480" w:firstLineChars="200"/>
              <w:rPr>
                <w:color w:val="auto"/>
                <w:sz w:val="24"/>
              </w:rPr>
            </w:pPr>
            <w:r>
              <w:rPr>
                <w:color w:val="auto"/>
                <w:sz w:val="24"/>
                <w:lang w:bidi="ar"/>
              </w:rPr>
              <w:t>根据上表可知，项目水性漆中VOCs限值《低挥发性有机化合物含量涂料产品技术要求》（GB/T38597-2020）限值要求。</w:t>
            </w:r>
            <w:bookmarkEnd w:id="14"/>
            <w:bookmarkEnd w:id="15"/>
            <w:bookmarkEnd w:id="16"/>
            <w:bookmarkEnd w:id="17"/>
          </w:p>
          <w:p>
            <w:pPr>
              <w:spacing w:before="120" w:beforeLines="50" w:line="360" w:lineRule="auto"/>
              <w:ind w:firstLine="482" w:firstLineChars="200"/>
              <w:rPr>
                <w:b/>
                <w:color w:val="auto"/>
                <w:kern w:val="0"/>
                <w:sz w:val="24"/>
                <w:szCs w:val="20"/>
              </w:rPr>
            </w:pPr>
            <w:r>
              <w:rPr>
                <w:b/>
                <w:color w:val="auto"/>
                <w:kern w:val="0"/>
                <w:sz w:val="24"/>
                <w:szCs w:val="20"/>
                <w:lang w:bidi="ar"/>
              </w:rPr>
              <w:t>5、产品喷漆参数</w:t>
            </w:r>
          </w:p>
          <w:p>
            <w:pPr>
              <w:spacing w:line="360" w:lineRule="auto"/>
              <w:ind w:firstLine="480" w:firstLineChars="200"/>
              <w:rPr>
                <w:color w:val="auto"/>
                <w:kern w:val="0"/>
                <w:sz w:val="24"/>
                <w:szCs w:val="20"/>
              </w:rPr>
            </w:pPr>
            <w:r>
              <w:rPr>
                <w:color w:val="auto"/>
                <w:kern w:val="0"/>
                <w:sz w:val="24"/>
                <w:szCs w:val="20"/>
                <w:lang w:bidi="ar"/>
              </w:rPr>
              <w:t>（1）涂装面积</w:t>
            </w:r>
          </w:p>
          <w:p>
            <w:pPr>
              <w:spacing w:line="360" w:lineRule="auto"/>
              <w:ind w:firstLine="480" w:firstLineChars="200"/>
              <w:rPr>
                <w:color w:val="auto"/>
                <w:kern w:val="0"/>
                <w:sz w:val="24"/>
                <w:szCs w:val="20"/>
              </w:rPr>
            </w:pPr>
            <w:r>
              <w:rPr>
                <w:color w:val="auto"/>
                <w:kern w:val="0"/>
                <w:sz w:val="24"/>
                <w:szCs w:val="20"/>
                <w:lang w:bidi="ar"/>
              </w:rPr>
              <w:t>本项目建成后，全厂年产2万吨钢结构，涂装工序均于本项目喷漆房内进行。根据企业提供的资料，共计喷涂2500</w:t>
            </w:r>
            <w:r>
              <w:rPr>
                <w:rFonts w:hint="eastAsia"/>
                <w:color w:val="auto"/>
                <w:kern w:val="0"/>
                <w:sz w:val="24"/>
                <w:szCs w:val="20"/>
                <w:lang w:val="en-US" w:eastAsia="zh-CN" w:bidi="ar"/>
              </w:rPr>
              <w:t>0</w:t>
            </w:r>
            <w:r>
              <w:rPr>
                <w:color w:val="auto"/>
                <w:kern w:val="0"/>
                <w:sz w:val="24"/>
                <w:szCs w:val="20"/>
                <w:lang w:bidi="ar"/>
              </w:rPr>
              <w:t>根钢构件（长约6-8m，宽约1.5m，厚6-20cm），每根钢构件约喷涂</w:t>
            </w:r>
            <w:r>
              <w:rPr>
                <w:rFonts w:hint="eastAsia"/>
                <w:color w:val="auto"/>
                <w:kern w:val="0"/>
                <w:sz w:val="24"/>
                <w:szCs w:val="20"/>
                <w:lang w:val="en-US" w:eastAsia="zh-CN" w:bidi="ar"/>
              </w:rPr>
              <w:t>17</w:t>
            </w:r>
            <w:r>
              <w:rPr>
                <w:color w:val="auto"/>
                <w:kern w:val="0"/>
                <w:sz w:val="24"/>
                <w:szCs w:val="20"/>
                <w:lang w:bidi="ar"/>
              </w:rPr>
              <w:t>m</w:t>
            </w:r>
            <w:r>
              <w:rPr>
                <w:color w:val="auto"/>
                <w:kern w:val="0"/>
                <w:sz w:val="24"/>
                <w:szCs w:val="20"/>
                <w:vertAlign w:val="superscript"/>
                <w:lang w:bidi="ar"/>
              </w:rPr>
              <w:t>2</w:t>
            </w:r>
            <w:r>
              <w:rPr>
                <w:color w:val="auto"/>
                <w:kern w:val="0"/>
                <w:sz w:val="24"/>
                <w:szCs w:val="20"/>
                <w:lang w:bidi="ar"/>
              </w:rPr>
              <w:t>，</w:t>
            </w:r>
            <w:r>
              <w:rPr>
                <w:bCs/>
                <w:color w:val="auto"/>
                <w:kern w:val="0"/>
                <w:sz w:val="24"/>
                <w:szCs w:val="20"/>
                <w:lang w:bidi="ar"/>
              </w:rPr>
              <w:t>90%钢构件仅喷涂1道工序，10%钢构件需喷涂2道工序，</w:t>
            </w:r>
            <w:r>
              <w:rPr>
                <w:color w:val="auto"/>
                <w:kern w:val="0"/>
                <w:sz w:val="24"/>
                <w:szCs w:val="20"/>
                <w:lang w:bidi="ar"/>
              </w:rPr>
              <w:t>则涂装面积总计</w:t>
            </w:r>
            <w:r>
              <w:rPr>
                <w:rFonts w:hint="eastAsia"/>
                <w:color w:val="auto"/>
                <w:kern w:val="0"/>
                <w:sz w:val="24"/>
                <w:szCs w:val="20"/>
                <w:lang w:val="en-US" w:eastAsia="zh-CN" w:bidi="ar"/>
              </w:rPr>
              <w:t>40.54</w:t>
            </w:r>
            <w:r>
              <w:rPr>
                <w:color w:val="auto"/>
                <w:kern w:val="0"/>
                <w:sz w:val="24"/>
                <w:szCs w:val="20"/>
                <w:lang w:bidi="ar"/>
              </w:rPr>
              <w:t>万m</w:t>
            </w:r>
            <w:r>
              <w:rPr>
                <w:color w:val="auto"/>
                <w:kern w:val="0"/>
                <w:sz w:val="24"/>
                <w:szCs w:val="20"/>
                <w:vertAlign w:val="superscript"/>
                <w:lang w:bidi="ar"/>
              </w:rPr>
              <w:t>2</w:t>
            </w:r>
            <w:r>
              <w:rPr>
                <w:color w:val="auto"/>
                <w:kern w:val="0"/>
                <w:sz w:val="24"/>
                <w:szCs w:val="20"/>
                <w:lang w:bidi="ar"/>
              </w:rPr>
              <w:t>。</w:t>
            </w:r>
            <w:r>
              <w:rPr>
                <w:bCs/>
                <w:color w:val="auto"/>
                <w:kern w:val="0"/>
                <w:sz w:val="24"/>
                <w:szCs w:val="20"/>
                <w:lang w:bidi="ar"/>
              </w:rPr>
              <w:t>应订购客户要求，钢结构一次喷漆厚度约40μm。</w:t>
            </w:r>
          </w:p>
          <w:p>
            <w:pPr>
              <w:spacing w:line="360" w:lineRule="auto"/>
              <w:ind w:firstLine="480" w:firstLineChars="200"/>
              <w:rPr>
                <w:color w:val="auto"/>
                <w:kern w:val="0"/>
                <w:sz w:val="24"/>
                <w:szCs w:val="20"/>
              </w:rPr>
            </w:pPr>
            <w:r>
              <w:rPr>
                <w:color w:val="auto"/>
                <w:kern w:val="0"/>
                <w:sz w:val="24"/>
                <w:szCs w:val="20"/>
                <w:lang w:bidi="ar"/>
              </w:rPr>
              <w:t>（2）喷漆参数</w:t>
            </w:r>
          </w:p>
          <w:p>
            <w:pPr>
              <w:adjustRightInd w:val="0"/>
              <w:snapToGrid w:val="0"/>
              <w:spacing w:line="360" w:lineRule="auto"/>
              <w:ind w:firstLine="480" w:firstLineChars="200"/>
              <w:jc w:val="left"/>
              <w:rPr>
                <w:bCs/>
                <w:color w:val="auto"/>
                <w:kern w:val="0"/>
                <w:sz w:val="24"/>
                <w:szCs w:val="20"/>
              </w:rPr>
            </w:pPr>
            <w:r>
              <w:rPr>
                <w:color w:val="auto"/>
                <w:kern w:val="0"/>
                <w:sz w:val="24"/>
                <w:szCs w:val="20"/>
                <w:lang w:bidi="ar"/>
              </w:rPr>
              <w:t>本项目在密闭喷漆房内进行人工喷漆</w:t>
            </w:r>
            <w:r>
              <w:rPr>
                <w:bCs/>
                <w:color w:val="auto"/>
                <w:kern w:val="0"/>
                <w:sz w:val="24"/>
                <w:szCs w:val="20"/>
                <w:lang w:bidi="ar"/>
              </w:rPr>
              <w:t>，喷漆方式为空气喷涂，使用压送式空气喷枪，共2支喷枪，1用1备。本项目使用底面合一水性漆，上漆率约为</w:t>
            </w:r>
            <w:r>
              <w:rPr>
                <w:rFonts w:hint="eastAsia"/>
                <w:bCs/>
                <w:color w:val="auto"/>
                <w:kern w:val="0"/>
                <w:sz w:val="24"/>
                <w:szCs w:val="20"/>
                <w:lang w:bidi="ar"/>
              </w:rPr>
              <w:t>70</w:t>
            </w:r>
            <w:r>
              <w:rPr>
                <w:bCs/>
                <w:color w:val="auto"/>
                <w:kern w:val="0"/>
                <w:sz w:val="24"/>
                <w:szCs w:val="20"/>
                <w:lang w:bidi="ar"/>
              </w:rPr>
              <w:t>%。根据本项目使用的水性漆MSDS报告和VOC检测报告，VOC挥发量为63g/L。根据厂家提供的资料，水性漆密度约为1.2-1.3g/cm</w:t>
            </w:r>
            <w:r>
              <w:rPr>
                <w:bCs/>
                <w:color w:val="auto"/>
                <w:kern w:val="0"/>
                <w:sz w:val="24"/>
                <w:szCs w:val="20"/>
                <w:vertAlign w:val="superscript"/>
                <w:lang w:bidi="ar"/>
              </w:rPr>
              <w:t>3</w:t>
            </w:r>
            <w:r>
              <w:rPr>
                <w:bCs/>
                <w:color w:val="auto"/>
                <w:kern w:val="0"/>
                <w:sz w:val="24"/>
                <w:szCs w:val="20"/>
                <w:lang w:bidi="ar"/>
              </w:rPr>
              <w:t>，按不利情况以1.2g/cm</w:t>
            </w:r>
            <w:r>
              <w:rPr>
                <w:bCs/>
                <w:color w:val="auto"/>
                <w:kern w:val="0"/>
                <w:sz w:val="24"/>
                <w:szCs w:val="20"/>
                <w:vertAlign w:val="superscript"/>
                <w:lang w:bidi="ar"/>
              </w:rPr>
              <w:t>3</w:t>
            </w:r>
            <w:r>
              <w:rPr>
                <w:bCs/>
                <w:color w:val="auto"/>
                <w:kern w:val="0"/>
                <w:sz w:val="24"/>
                <w:szCs w:val="20"/>
                <w:lang w:bidi="ar"/>
              </w:rPr>
              <w:t>计，本项目喷漆参数表详见表2</w:t>
            </w:r>
            <w:r>
              <w:rPr>
                <w:rFonts w:hint="eastAsia"/>
                <w:bCs/>
                <w:color w:val="auto"/>
                <w:kern w:val="0"/>
                <w:sz w:val="24"/>
                <w:szCs w:val="20"/>
                <w:lang w:bidi="ar"/>
              </w:rPr>
              <w:t>.1-7</w:t>
            </w:r>
            <w:r>
              <w:rPr>
                <w:bCs/>
                <w:color w:val="auto"/>
                <w:kern w:val="0"/>
                <w:sz w:val="24"/>
                <w:szCs w:val="20"/>
                <w:lang w:bidi="ar"/>
              </w:rPr>
              <w:t>。</w:t>
            </w:r>
          </w:p>
          <w:p>
            <w:pPr>
              <w:jc w:val="center"/>
              <w:rPr>
                <w:b/>
                <w:color w:val="auto"/>
                <w:kern w:val="0"/>
                <w:sz w:val="24"/>
                <w:szCs w:val="20"/>
              </w:rPr>
            </w:pPr>
            <w:r>
              <w:rPr>
                <w:b/>
                <w:color w:val="auto"/>
                <w:kern w:val="0"/>
                <w:sz w:val="24"/>
                <w:szCs w:val="20"/>
                <w:lang w:bidi="ar"/>
              </w:rPr>
              <w:t>表2</w:t>
            </w:r>
            <w:r>
              <w:rPr>
                <w:rFonts w:hint="eastAsia"/>
                <w:b/>
                <w:color w:val="auto"/>
                <w:kern w:val="0"/>
                <w:sz w:val="24"/>
                <w:szCs w:val="20"/>
                <w:lang w:bidi="ar"/>
              </w:rPr>
              <w:t>.1-7</w:t>
            </w:r>
            <w:r>
              <w:rPr>
                <w:b/>
                <w:color w:val="auto"/>
                <w:kern w:val="0"/>
                <w:sz w:val="24"/>
                <w:szCs w:val="20"/>
                <w:lang w:bidi="ar"/>
              </w:rPr>
              <w:t xml:space="preserve">  本项目喷漆参数表</w:t>
            </w:r>
          </w:p>
          <w:tbl>
            <w:tblPr>
              <w:tblStyle w:val="20"/>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1" w:type="dxa"/>
                <w:bottom w:w="0" w:type="dxa"/>
                <w:right w:w="11" w:type="dxa"/>
              </w:tblCellMar>
            </w:tblPr>
            <w:tblGrid>
              <w:gridCol w:w="691"/>
              <w:gridCol w:w="1053"/>
              <w:gridCol w:w="1079"/>
              <w:gridCol w:w="1109"/>
              <w:gridCol w:w="965"/>
              <w:gridCol w:w="890"/>
              <w:gridCol w:w="1019"/>
              <w:gridCol w:w="1256"/>
              <w:gridCol w:w="1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c>
                <w:tcPr>
                  <w:tcW w:w="629" w:type="dxa"/>
                  <w:tcBorders>
                    <w:top w:val="single" w:color="auto" w:sz="12" w:space="0"/>
                    <w:left w:val="nil"/>
                    <w:bottom w:val="single" w:color="auto" w:sz="12" w:space="0"/>
                    <w:right w:val="single" w:color="auto" w:sz="4" w:space="0"/>
                  </w:tcBorders>
                  <w:shd w:val="clear" w:color="auto" w:fill="auto"/>
                  <w:vAlign w:val="center"/>
                </w:tcPr>
                <w:p>
                  <w:pPr>
                    <w:pStyle w:val="13"/>
                    <w:tabs>
                      <w:tab w:val="left" w:pos="2830"/>
                    </w:tabs>
                    <w:jc w:val="center"/>
                    <w:rPr>
                      <w:rFonts w:ascii="Times New Roman" w:hAnsi="Times New Roman"/>
                      <w:b/>
                      <w:bCs/>
                      <w:color w:val="auto"/>
                      <w:sz w:val="21"/>
                      <w:szCs w:val="21"/>
                    </w:rPr>
                  </w:pPr>
                  <w:r>
                    <w:rPr>
                      <w:rFonts w:ascii="Times New Roman" w:hAnsi="Times New Roman"/>
                      <w:b/>
                      <w:bCs/>
                      <w:color w:val="auto"/>
                      <w:sz w:val="21"/>
                      <w:szCs w:val="21"/>
                    </w:rPr>
                    <w:t>名称</w:t>
                  </w:r>
                </w:p>
              </w:tc>
              <w:tc>
                <w:tcPr>
                  <w:tcW w:w="959" w:type="dxa"/>
                  <w:tcBorders>
                    <w:top w:val="single" w:color="auto" w:sz="12" w:space="0"/>
                    <w:left w:val="single" w:color="auto" w:sz="4" w:space="0"/>
                    <w:bottom w:val="single" w:color="auto" w:sz="12" w:space="0"/>
                    <w:right w:val="single" w:color="auto" w:sz="4" w:space="0"/>
                  </w:tcBorders>
                  <w:shd w:val="clear" w:color="auto" w:fill="auto"/>
                  <w:vAlign w:val="center"/>
                </w:tcPr>
                <w:p>
                  <w:pPr>
                    <w:pStyle w:val="13"/>
                    <w:tabs>
                      <w:tab w:val="left" w:pos="2830"/>
                    </w:tabs>
                    <w:jc w:val="center"/>
                    <w:rPr>
                      <w:rFonts w:ascii="Times New Roman" w:hAnsi="Times New Roman"/>
                      <w:b/>
                      <w:bCs/>
                      <w:color w:val="auto"/>
                      <w:sz w:val="21"/>
                      <w:szCs w:val="21"/>
                    </w:rPr>
                  </w:pPr>
                  <w:r>
                    <w:rPr>
                      <w:rFonts w:ascii="Times New Roman" w:hAnsi="Times New Roman"/>
                      <w:b/>
                      <w:bCs/>
                      <w:color w:val="auto"/>
                      <w:sz w:val="21"/>
                      <w:szCs w:val="21"/>
                    </w:rPr>
                    <w:t>喷漆面积（m</w:t>
                  </w:r>
                  <w:r>
                    <w:rPr>
                      <w:rFonts w:ascii="Times New Roman" w:hAnsi="Times New Roman"/>
                      <w:b/>
                      <w:bCs/>
                      <w:color w:val="auto"/>
                      <w:sz w:val="21"/>
                      <w:szCs w:val="21"/>
                      <w:vertAlign w:val="superscript"/>
                    </w:rPr>
                    <w:t>2</w:t>
                  </w:r>
                  <w:r>
                    <w:rPr>
                      <w:rFonts w:ascii="Times New Roman" w:hAnsi="Times New Roman"/>
                      <w:b/>
                      <w:bCs/>
                      <w:color w:val="auto"/>
                      <w:sz w:val="21"/>
                      <w:szCs w:val="21"/>
                    </w:rPr>
                    <w:t>）</w:t>
                  </w:r>
                </w:p>
              </w:tc>
              <w:tc>
                <w:tcPr>
                  <w:tcW w:w="982" w:type="dxa"/>
                  <w:tcBorders>
                    <w:top w:val="single" w:color="auto" w:sz="12" w:space="0"/>
                    <w:left w:val="single" w:color="auto" w:sz="4" w:space="0"/>
                    <w:bottom w:val="single" w:color="auto" w:sz="12" w:space="0"/>
                    <w:right w:val="single" w:color="auto" w:sz="4" w:space="0"/>
                  </w:tcBorders>
                  <w:shd w:val="clear" w:color="auto" w:fill="auto"/>
                  <w:vAlign w:val="center"/>
                </w:tcPr>
                <w:p>
                  <w:pPr>
                    <w:pStyle w:val="13"/>
                    <w:tabs>
                      <w:tab w:val="left" w:pos="2830"/>
                    </w:tabs>
                    <w:jc w:val="center"/>
                    <w:rPr>
                      <w:rFonts w:ascii="Times New Roman" w:hAnsi="Times New Roman"/>
                      <w:b/>
                      <w:bCs/>
                      <w:color w:val="auto"/>
                      <w:sz w:val="21"/>
                      <w:szCs w:val="21"/>
                    </w:rPr>
                  </w:pPr>
                  <w:r>
                    <w:rPr>
                      <w:rFonts w:ascii="Times New Roman" w:hAnsi="Times New Roman"/>
                      <w:b/>
                      <w:bCs/>
                      <w:color w:val="auto"/>
                      <w:sz w:val="21"/>
                      <w:szCs w:val="21"/>
                    </w:rPr>
                    <w:t>漆膜厚度（mm）</w:t>
                  </w:r>
                </w:p>
              </w:tc>
              <w:tc>
                <w:tcPr>
                  <w:tcW w:w="1010" w:type="dxa"/>
                  <w:tcBorders>
                    <w:top w:val="single" w:color="auto" w:sz="12" w:space="0"/>
                    <w:left w:val="single" w:color="auto" w:sz="4" w:space="0"/>
                    <w:bottom w:val="single" w:color="auto" w:sz="12" w:space="0"/>
                    <w:right w:val="single" w:color="auto" w:sz="4" w:space="0"/>
                  </w:tcBorders>
                  <w:shd w:val="clear" w:color="auto" w:fill="auto"/>
                  <w:vAlign w:val="center"/>
                </w:tcPr>
                <w:p>
                  <w:pPr>
                    <w:pStyle w:val="13"/>
                    <w:tabs>
                      <w:tab w:val="left" w:pos="2830"/>
                    </w:tabs>
                    <w:jc w:val="center"/>
                    <w:rPr>
                      <w:rFonts w:ascii="Times New Roman" w:hAnsi="Times New Roman"/>
                      <w:b/>
                      <w:bCs/>
                      <w:color w:val="auto"/>
                      <w:sz w:val="21"/>
                      <w:szCs w:val="21"/>
                    </w:rPr>
                  </w:pPr>
                  <w:r>
                    <w:rPr>
                      <w:rFonts w:ascii="Times New Roman" w:hAnsi="Times New Roman"/>
                      <w:b/>
                      <w:bCs/>
                      <w:color w:val="auto"/>
                      <w:sz w:val="21"/>
                      <w:szCs w:val="21"/>
                    </w:rPr>
                    <w:t>漆膜密度（</w:t>
                  </w:r>
                  <w:r>
                    <w:rPr>
                      <w:rFonts w:hint="eastAsia" w:ascii="Times New Roman" w:hAnsi="Times New Roman"/>
                      <w:b/>
                      <w:bCs/>
                      <w:color w:val="auto"/>
                      <w:sz w:val="21"/>
                      <w:szCs w:val="21"/>
                    </w:rPr>
                    <w:t>g</w:t>
                  </w:r>
                  <w:r>
                    <w:rPr>
                      <w:rFonts w:ascii="Times New Roman" w:hAnsi="Times New Roman"/>
                      <w:b/>
                      <w:bCs/>
                      <w:color w:val="auto"/>
                      <w:sz w:val="21"/>
                      <w:szCs w:val="21"/>
                    </w:rPr>
                    <w:t>/</w:t>
                  </w:r>
                  <w:r>
                    <w:rPr>
                      <w:rFonts w:hint="eastAsia" w:ascii="Times New Roman" w:hAnsi="Times New Roman"/>
                      <w:b/>
                      <w:bCs/>
                      <w:color w:val="auto"/>
                      <w:sz w:val="21"/>
                      <w:szCs w:val="21"/>
                    </w:rPr>
                    <w:t>c</w:t>
                  </w:r>
                  <w:r>
                    <w:rPr>
                      <w:rFonts w:ascii="Times New Roman" w:hAnsi="Times New Roman"/>
                      <w:b/>
                      <w:bCs/>
                      <w:color w:val="auto"/>
                      <w:sz w:val="21"/>
                      <w:szCs w:val="21"/>
                    </w:rPr>
                    <w:t>m</w:t>
                  </w:r>
                  <w:r>
                    <w:rPr>
                      <w:rFonts w:ascii="Times New Roman" w:hAnsi="Times New Roman"/>
                      <w:b/>
                      <w:bCs/>
                      <w:color w:val="auto"/>
                      <w:sz w:val="21"/>
                      <w:szCs w:val="21"/>
                      <w:vertAlign w:val="superscript"/>
                    </w:rPr>
                    <w:t>3</w:t>
                  </w:r>
                  <w:r>
                    <w:rPr>
                      <w:rFonts w:ascii="Times New Roman" w:hAnsi="Times New Roman"/>
                      <w:b/>
                      <w:bCs/>
                      <w:color w:val="auto"/>
                      <w:sz w:val="21"/>
                      <w:szCs w:val="21"/>
                    </w:rPr>
                    <w:t>）</w:t>
                  </w:r>
                </w:p>
              </w:tc>
              <w:tc>
                <w:tcPr>
                  <w:tcW w:w="879" w:type="dxa"/>
                  <w:tcBorders>
                    <w:top w:val="single" w:color="auto" w:sz="12" w:space="0"/>
                    <w:left w:val="single" w:color="auto" w:sz="4" w:space="0"/>
                    <w:bottom w:val="single" w:color="auto" w:sz="12" w:space="0"/>
                    <w:right w:val="single" w:color="auto" w:sz="4" w:space="0"/>
                  </w:tcBorders>
                  <w:shd w:val="clear" w:color="auto" w:fill="auto"/>
                  <w:vAlign w:val="center"/>
                </w:tcPr>
                <w:p>
                  <w:pPr>
                    <w:pStyle w:val="13"/>
                    <w:tabs>
                      <w:tab w:val="left" w:pos="2830"/>
                    </w:tabs>
                    <w:jc w:val="center"/>
                    <w:rPr>
                      <w:rFonts w:ascii="Times New Roman" w:hAnsi="Times New Roman"/>
                      <w:b/>
                      <w:bCs/>
                      <w:color w:val="auto"/>
                      <w:sz w:val="21"/>
                      <w:szCs w:val="21"/>
                    </w:rPr>
                  </w:pPr>
                  <w:r>
                    <w:rPr>
                      <w:rFonts w:ascii="Times New Roman" w:hAnsi="Times New Roman"/>
                      <w:b/>
                      <w:bCs/>
                      <w:color w:val="auto"/>
                      <w:sz w:val="21"/>
                      <w:szCs w:val="21"/>
                    </w:rPr>
                    <w:t>漆膜量（t/a）</w:t>
                  </w:r>
                </w:p>
              </w:tc>
              <w:tc>
                <w:tcPr>
                  <w:tcW w:w="810" w:type="dxa"/>
                  <w:tcBorders>
                    <w:top w:val="single" w:color="auto" w:sz="12" w:space="0"/>
                    <w:left w:val="single" w:color="auto" w:sz="4" w:space="0"/>
                    <w:bottom w:val="single" w:color="auto" w:sz="12" w:space="0"/>
                    <w:right w:val="single" w:color="auto" w:sz="4" w:space="0"/>
                  </w:tcBorders>
                  <w:shd w:val="clear" w:color="auto" w:fill="auto"/>
                  <w:vAlign w:val="center"/>
                </w:tcPr>
                <w:p>
                  <w:pPr>
                    <w:pStyle w:val="13"/>
                    <w:tabs>
                      <w:tab w:val="left" w:pos="2830"/>
                    </w:tabs>
                    <w:jc w:val="center"/>
                    <w:rPr>
                      <w:rFonts w:ascii="Times New Roman" w:hAnsi="Times New Roman"/>
                      <w:b/>
                      <w:bCs/>
                      <w:color w:val="auto"/>
                      <w:sz w:val="21"/>
                      <w:szCs w:val="21"/>
                    </w:rPr>
                  </w:pPr>
                  <w:r>
                    <w:rPr>
                      <w:rFonts w:ascii="Times New Roman" w:hAnsi="Times New Roman"/>
                      <w:b/>
                      <w:bCs/>
                      <w:color w:val="auto"/>
                      <w:sz w:val="21"/>
                      <w:szCs w:val="21"/>
                    </w:rPr>
                    <w:t>上漆率（%）</w:t>
                  </w:r>
                </w:p>
              </w:tc>
              <w:tc>
                <w:tcPr>
                  <w:tcW w:w="928" w:type="dxa"/>
                  <w:tcBorders>
                    <w:top w:val="single" w:color="auto" w:sz="12" w:space="0"/>
                    <w:left w:val="single" w:color="auto" w:sz="4" w:space="0"/>
                    <w:bottom w:val="single" w:color="auto" w:sz="12" w:space="0"/>
                    <w:right w:val="single" w:color="auto" w:sz="4" w:space="0"/>
                  </w:tcBorders>
                  <w:shd w:val="clear" w:color="auto" w:fill="auto"/>
                  <w:vAlign w:val="center"/>
                </w:tcPr>
                <w:p>
                  <w:pPr>
                    <w:pStyle w:val="13"/>
                    <w:tabs>
                      <w:tab w:val="left" w:pos="2830"/>
                    </w:tabs>
                    <w:jc w:val="center"/>
                    <w:rPr>
                      <w:rFonts w:ascii="Times New Roman" w:hAnsi="Times New Roman"/>
                      <w:b/>
                      <w:bCs/>
                      <w:color w:val="auto"/>
                      <w:sz w:val="21"/>
                      <w:szCs w:val="21"/>
                    </w:rPr>
                  </w:pPr>
                  <w:r>
                    <w:rPr>
                      <w:rFonts w:ascii="Times New Roman" w:hAnsi="Times New Roman"/>
                      <w:b/>
                      <w:bCs/>
                      <w:color w:val="auto"/>
                      <w:sz w:val="21"/>
                      <w:szCs w:val="21"/>
                    </w:rPr>
                    <w:t>漆中固份（t/a）</w:t>
                  </w:r>
                </w:p>
              </w:tc>
              <w:tc>
                <w:tcPr>
                  <w:tcW w:w="1144" w:type="dxa"/>
                  <w:tcBorders>
                    <w:top w:val="single" w:color="auto" w:sz="12" w:space="0"/>
                    <w:left w:val="single" w:color="auto" w:sz="4" w:space="0"/>
                    <w:bottom w:val="single" w:color="auto" w:sz="12" w:space="0"/>
                    <w:right w:val="single" w:color="auto" w:sz="4" w:space="0"/>
                  </w:tcBorders>
                  <w:shd w:val="clear" w:color="auto" w:fill="auto"/>
                  <w:vAlign w:val="center"/>
                </w:tcPr>
                <w:p>
                  <w:pPr>
                    <w:pStyle w:val="13"/>
                    <w:tabs>
                      <w:tab w:val="left" w:pos="2830"/>
                    </w:tabs>
                    <w:jc w:val="center"/>
                    <w:rPr>
                      <w:rFonts w:ascii="Times New Roman" w:hAnsi="Times New Roman"/>
                      <w:b/>
                      <w:bCs/>
                      <w:color w:val="auto"/>
                      <w:sz w:val="21"/>
                      <w:szCs w:val="21"/>
                    </w:rPr>
                  </w:pPr>
                  <w:r>
                    <w:rPr>
                      <w:rFonts w:ascii="Times New Roman" w:hAnsi="Times New Roman"/>
                      <w:b/>
                      <w:bCs/>
                      <w:color w:val="auto"/>
                      <w:sz w:val="21"/>
                      <w:szCs w:val="21"/>
                    </w:rPr>
                    <w:t>固份含量比重（%）</w:t>
                  </w:r>
                </w:p>
              </w:tc>
              <w:tc>
                <w:tcPr>
                  <w:tcW w:w="1100" w:type="dxa"/>
                  <w:tcBorders>
                    <w:top w:val="single" w:color="auto" w:sz="12" w:space="0"/>
                    <w:left w:val="single" w:color="auto" w:sz="4" w:space="0"/>
                    <w:bottom w:val="single" w:color="auto" w:sz="12" w:space="0"/>
                    <w:right w:val="nil"/>
                  </w:tcBorders>
                  <w:shd w:val="clear" w:color="auto" w:fill="auto"/>
                  <w:vAlign w:val="center"/>
                </w:tcPr>
                <w:p>
                  <w:pPr>
                    <w:pStyle w:val="13"/>
                    <w:tabs>
                      <w:tab w:val="left" w:pos="2830"/>
                    </w:tabs>
                    <w:jc w:val="center"/>
                    <w:rPr>
                      <w:rFonts w:ascii="Times New Roman" w:hAnsi="Times New Roman"/>
                      <w:b/>
                      <w:bCs/>
                      <w:color w:val="auto"/>
                      <w:sz w:val="21"/>
                      <w:szCs w:val="21"/>
                    </w:rPr>
                  </w:pPr>
                  <w:r>
                    <w:rPr>
                      <w:rFonts w:ascii="Times New Roman" w:hAnsi="Times New Roman"/>
                      <w:b/>
                      <w:bCs/>
                      <w:color w:val="auto"/>
                      <w:sz w:val="21"/>
                      <w:szCs w:val="21"/>
                    </w:rPr>
                    <w:t>年用量（t/a）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c>
                <w:tcPr>
                  <w:tcW w:w="629" w:type="dxa"/>
                  <w:tcBorders>
                    <w:top w:val="single" w:color="auto" w:sz="12" w:space="0"/>
                    <w:left w:val="nil"/>
                    <w:bottom w:val="single" w:color="auto" w:sz="12"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水性丙烯酸树脂类漆</w:t>
                  </w:r>
                </w:p>
              </w:tc>
              <w:tc>
                <w:tcPr>
                  <w:tcW w:w="959" w:type="dxa"/>
                  <w:tcBorders>
                    <w:top w:val="single" w:color="auto" w:sz="12" w:space="0"/>
                    <w:left w:val="single" w:color="auto" w:sz="4" w:space="0"/>
                    <w:bottom w:val="single" w:color="auto" w:sz="12" w:space="0"/>
                    <w:right w:val="single" w:color="auto" w:sz="4" w:space="0"/>
                  </w:tcBorders>
                  <w:shd w:val="clear" w:color="auto" w:fill="auto"/>
                  <w:vAlign w:val="center"/>
                </w:tcPr>
                <w:p>
                  <w:pPr>
                    <w:pStyle w:val="13"/>
                    <w:tabs>
                      <w:tab w:val="left" w:pos="2830"/>
                    </w:tabs>
                    <w:jc w:val="center"/>
                    <w:rPr>
                      <w:rFonts w:hint="default"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405420</w:t>
                  </w:r>
                </w:p>
              </w:tc>
              <w:tc>
                <w:tcPr>
                  <w:tcW w:w="982" w:type="dxa"/>
                  <w:tcBorders>
                    <w:top w:val="single" w:color="auto" w:sz="12" w:space="0"/>
                    <w:left w:val="single" w:color="auto" w:sz="4" w:space="0"/>
                    <w:bottom w:val="single" w:color="auto" w:sz="12" w:space="0"/>
                    <w:right w:val="single" w:color="auto" w:sz="4" w:space="0"/>
                  </w:tcBorders>
                  <w:shd w:val="clear" w:color="auto" w:fill="auto"/>
                  <w:vAlign w:val="center"/>
                </w:tcPr>
                <w:p>
                  <w:pPr>
                    <w:pStyle w:val="13"/>
                    <w:tabs>
                      <w:tab w:val="left" w:pos="2830"/>
                    </w:tabs>
                    <w:jc w:val="center"/>
                    <w:rPr>
                      <w:rFonts w:hint="default" w:ascii="Times New Roman" w:hAnsi="Times New Roman" w:eastAsia="宋体"/>
                      <w:color w:val="auto"/>
                      <w:sz w:val="21"/>
                      <w:szCs w:val="21"/>
                      <w:lang w:val="en-US" w:eastAsia="zh-CN"/>
                    </w:rPr>
                  </w:pPr>
                  <w:r>
                    <w:rPr>
                      <w:rFonts w:ascii="Times New Roman" w:hAnsi="Times New Roman"/>
                      <w:color w:val="auto"/>
                      <w:sz w:val="21"/>
                      <w:szCs w:val="21"/>
                    </w:rPr>
                    <w:t>0.0</w:t>
                  </w:r>
                  <w:r>
                    <w:rPr>
                      <w:rFonts w:hint="eastAsia" w:ascii="Times New Roman" w:hAnsi="Times New Roman"/>
                      <w:color w:val="auto"/>
                      <w:sz w:val="21"/>
                      <w:szCs w:val="21"/>
                      <w:lang w:val="en-US" w:eastAsia="zh-CN"/>
                    </w:rPr>
                    <w:t>38</w:t>
                  </w:r>
                </w:p>
              </w:tc>
              <w:tc>
                <w:tcPr>
                  <w:tcW w:w="1010" w:type="dxa"/>
                  <w:tcBorders>
                    <w:top w:val="single" w:color="auto" w:sz="12" w:space="0"/>
                    <w:left w:val="single" w:color="auto" w:sz="4" w:space="0"/>
                    <w:bottom w:val="single" w:color="auto" w:sz="12"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1.2</w:t>
                  </w:r>
                </w:p>
              </w:tc>
              <w:tc>
                <w:tcPr>
                  <w:tcW w:w="879" w:type="dxa"/>
                  <w:tcBorders>
                    <w:top w:val="single" w:color="auto" w:sz="12" w:space="0"/>
                    <w:left w:val="single" w:color="auto" w:sz="4" w:space="0"/>
                    <w:bottom w:val="single" w:color="auto" w:sz="12" w:space="0"/>
                    <w:right w:val="single" w:color="auto" w:sz="4" w:space="0"/>
                  </w:tcBorders>
                  <w:shd w:val="clear" w:color="auto" w:fill="auto"/>
                  <w:vAlign w:val="center"/>
                </w:tcPr>
                <w:p>
                  <w:pPr>
                    <w:pStyle w:val="13"/>
                    <w:tabs>
                      <w:tab w:val="left" w:pos="2830"/>
                    </w:tabs>
                    <w:jc w:val="center"/>
                    <w:rPr>
                      <w:rFonts w:hint="default"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18.83</w:t>
                  </w:r>
                </w:p>
              </w:tc>
              <w:tc>
                <w:tcPr>
                  <w:tcW w:w="810" w:type="dxa"/>
                  <w:tcBorders>
                    <w:top w:val="single" w:color="auto" w:sz="12" w:space="0"/>
                    <w:left w:val="single" w:color="auto" w:sz="4" w:space="0"/>
                    <w:bottom w:val="single" w:color="auto" w:sz="12"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70</w:t>
                  </w:r>
                </w:p>
              </w:tc>
              <w:tc>
                <w:tcPr>
                  <w:tcW w:w="928" w:type="dxa"/>
                  <w:tcBorders>
                    <w:top w:val="single" w:color="auto" w:sz="12" w:space="0"/>
                    <w:left w:val="single" w:color="auto" w:sz="4" w:space="0"/>
                    <w:bottom w:val="single" w:color="auto" w:sz="12" w:space="0"/>
                    <w:right w:val="single" w:color="auto" w:sz="4" w:space="0"/>
                  </w:tcBorders>
                  <w:shd w:val="clear" w:color="auto" w:fill="auto"/>
                  <w:vAlign w:val="center"/>
                </w:tcPr>
                <w:p>
                  <w:pPr>
                    <w:pStyle w:val="13"/>
                    <w:tabs>
                      <w:tab w:val="left" w:pos="2830"/>
                    </w:tabs>
                    <w:jc w:val="center"/>
                    <w:rPr>
                      <w:rFonts w:hint="default"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26.9</w:t>
                  </w:r>
                </w:p>
              </w:tc>
              <w:tc>
                <w:tcPr>
                  <w:tcW w:w="1144" w:type="dxa"/>
                  <w:tcBorders>
                    <w:top w:val="single" w:color="auto" w:sz="12" w:space="0"/>
                    <w:left w:val="single" w:color="auto" w:sz="4" w:space="0"/>
                    <w:bottom w:val="single" w:color="auto" w:sz="12" w:space="0"/>
                    <w:right w:val="single" w:color="auto" w:sz="4" w:space="0"/>
                  </w:tcBorders>
                  <w:shd w:val="clear" w:color="auto" w:fill="auto"/>
                  <w:vAlign w:val="center"/>
                </w:tcPr>
                <w:p>
                  <w:pPr>
                    <w:pStyle w:val="13"/>
                    <w:tabs>
                      <w:tab w:val="left" w:pos="2830"/>
                    </w:tabs>
                    <w:jc w:val="center"/>
                    <w:rPr>
                      <w:rFonts w:hint="default"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67.25</w:t>
                  </w:r>
                </w:p>
              </w:tc>
              <w:tc>
                <w:tcPr>
                  <w:tcW w:w="1100" w:type="dxa"/>
                  <w:tcBorders>
                    <w:top w:val="single" w:color="auto" w:sz="12" w:space="0"/>
                    <w:left w:val="single" w:color="auto" w:sz="4" w:space="0"/>
                    <w:bottom w:val="single" w:color="auto" w:sz="12" w:space="0"/>
                    <w:right w:val="nil"/>
                  </w:tcBorders>
                  <w:shd w:val="clear" w:color="auto" w:fill="auto"/>
                  <w:vAlign w:val="center"/>
                </w:tcPr>
                <w:p>
                  <w:pPr>
                    <w:pStyle w:val="13"/>
                    <w:tabs>
                      <w:tab w:val="left" w:pos="2830"/>
                    </w:tabs>
                    <w:jc w:val="center"/>
                    <w:rPr>
                      <w:rFonts w:hint="default"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40</w:t>
                  </w:r>
                </w:p>
              </w:tc>
            </w:tr>
          </w:tbl>
          <w:p>
            <w:pPr>
              <w:wordWrap w:val="0"/>
              <w:spacing w:line="360" w:lineRule="auto"/>
              <w:ind w:firstLine="482" w:firstLineChars="200"/>
              <w:rPr>
                <w:b/>
                <w:bCs/>
                <w:color w:val="auto"/>
                <w:sz w:val="24"/>
              </w:rPr>
            </w:pPr>
            <w:r>
              <w:rPr>
                <w:b/>
                <w:bCs/>
                <w:color w:val="auto"/>
                <w:sz w:val="24"/>
              </w:rPr>
              <w:t>6、主要生产设备规格、型号及数量</w:t>
            </w:r>
          </w:p>
          <w:p>
            <w:pPr>
              <w:wordWrap w:val="0"/>
              <w:spacing w:line="360" w:lineRule="auto"/>
              <w:ind w:firstLine="480" w:firstLineChars="200"/>
              <w:rPr>
                <w:color w:val="auto"/>
                <w:sz w:val="24"/>
              </w:rPr>
            </w:pPr>
            <w:r>
              <w:rPr>
                <w:color w:val="auto"/>
                <w:sz w:val="24"/>
              </w:rPr>
              <w:t>本项目主要生产设备见表2</w:t>
            </w:r>
            <w:r>
              <w:rPr>
                <w:rFonts w:hint="eastAsia"/>
                <w:color w:val="auto"/>
                <w:sz w:val="24"/>
              </w:rPr>
              <w:t>.1-8</w:t>
            </w:r>
            <w:r>
              <w:rPr>
                <w:color w:val="auto"/>
                <w:sz w:val="24"/>
              </w:rPr>
              <w:t>。</w:t>
            </w:r>
          </w:p>
          <w:p>
            <w:pPr>
              <w:wordWrap w:val="0"/>
              <w:spacing w:line="360" w:lineRule="auto"/>
              <w:jc w:val="center"/>
              <w:rPr>
                <w:b/>
                <w:color w:val="auto"/>
                <w:kern w:val="44"/>
                <w:szCs w:val="21"/>
              </w:rPr>
            </w:pPr>
            <w:r>
              <w:rPr>
                <w:b/>
                <w:color w:val="auto"/>
                <w:kern w:val="44"/>
                <w:szCs w:val="21"/>
              </w:rPr>
              <w:t>表2</w:t>
            </w:r>
            <w:r>
              <w:rPr>
                <w:rFonts w:hint="eastAsia"/>
                <w:b/>
                <w:color w:val="auto"/>
                <w:kern w:val="44"/>
                <w:szCs w:val="21"/>
              </w:rPr>
              <w:t xml:space="preserve">.1-8  </w:t>
            </w:r>
            <w:r>
              <w:rPr>
                <w:b/>
                <w:color w:val="auto"/>
                <w:kern w:val="44"/>
                <w:szCs w:val="21"/>
              </w:rPr>
              <w:t>本项目主要生产设备</w:t>
            </w:r>
          </w:p>
          <w:tbl>
            <w:tblPr>
              <w:tblStyle w:val="20"/>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28" w:type="dxa"/>
                <w:bottom w:w="0" w:type="dxa"/>
                <w:right w:w="28" w:type="dxa"/>
              </w:tblCellMar>
            </w:tblPr>
            <w:tblGrid>
              <w:gridCol w:w="603"/>
              <w:gridCol w:w="1560"/>
              <w:gridCol w:w="1854"/>
              <w:gridCol w:w="2471"/>
              <w:gridCol w:w="1419"/>
              <w:gridCol w:w="1385"/>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80" w:hRule="atLeast"/>
              </w:trPr>
              <w:tc>
                <w:tcPr>
                  <w:tcW w:w="325" w:type="pct"/>
                  <w:tcBorders>
                    <w:top w:val="single" w:color="auto" w:sz="12" w:space="0"/>
                  </w:tcBorders>
                  <w:vAlign w:val="center"/>
                </w:tcPr>
                <w:p>
                  <w:pPr>
                    <w:pStyle w:val="30"/>
                    <w:ind w:firstLine="0" w:firstLineChars="0"/>
                    <w:rPr>
                      <w:b/>
                      <w:bCs/>
                      <w:color w:val="auto"/>
                      <w:sz w:val="21"/>
                      <w:szCs w:val="21"/>
                    </w:rPr>
                  </w:pPr>
                  <w:bookmarkStart w:id="18" w:name="_Hlk154147320"/>
                  <w:r>
                    <w:rPr>
                      <w:b/>
                      <w:bCs/>
                      <w:color w:val="auto"/>
                      <w:sz w:val="21"/>
                      <w:szCs w:val="21"/>
                    </w:rPr>
                    <w:t>序号</w:t>
                  </w:r>
                </w:p>
              </w:tc>
              <w:tc>
                <w:tcPr>
                  <w:tcW w:w="839" w:type="pct"/>
                  <w:tcBorders>
                    <w:top w:val="single" w:color="auto" w:sz="12" w:space="0"/>
                  </w:tcBorders>
                  <w:vAlign w:val="center"/>
                </w:tcPr>
                <w:p>
                  <w:pPr>
                    <w:pStyle w:val="30"/>
                    <w:ind w:firstLine="420"/>
                    <w:rPr>
                      <w:b/>
                      <w:bCs/>
                      <w:color w:val="auto"/>
                      <w:sz w:val="21"/>
                      <w:szCs w:val="21"/>
                    </w:rPr>
                  </w:pPr>
                  <w:bookmarkStart w:id="19" w:name="_Toc1014"/>
                  <w:bookmarkStart w:id="20" w:name="_Toc18634"/>
                  <w:r>
                    <w:rPr>
                      <w:b/>
                      <w:bCs/>
                      <w:color w:val="auto"/>
                      <w:sz w:val="21"/>
                      <w:szCs w:val="21"/>
                    </w:rPr>
                    <w:t>厂房</w:t>
                  </w:r>
                  <w:bookmarkEnd w:id="19"/>
                </w:p>
              </w:tc>
              <w:tc>
                <w:tcPr>
                  <w:tcW w:w="997" w:type="pct"/>
                  <w:tcBorders>
                    <w:top w:val="single" w:color="auto" w:sz="12" w:space="0"/>
                  </w:tcBorders>
                  <w:vAlign w:val="center"/>
                </w:tcPr>
                <w:p>
                  <w:pPr>
                    <w:pStyle w:val="30"/>
                    <w:ind w:firstLine="0" w:firstLineChars="0"/>
                    <w:jc w:val="center"/>
                    <w:rPr>
                      <w:b/>
                      <w:bCs/>
                      <w:color w:val="auto"/>
                      <w:sz w:val="21"/>
                      <w:szCs w:val="21"/>
                    </w:rPr>
                  </w:pPr>
                  <w:bookmarkStart w:id="21" w:name="_Toc1229"/>
                  <w:r>
                    <w:rPr>
                      <w:b/>
                      <w:bCs/>
                      <w:color w:val="auto"/>
                      <w:sz w:val="21"/>
                      <w:szCs w:val="21"/>
                    </w:rPr>
                    <w:t>工序</w:t>
                  </w:r>
                  <w:bookmarkEnd w:id="21"/>
                </w:p>
              </w:tc>
              <w:tc>
                <w:tcPr>
                  <w:tcW w:w="1329" w:type="pct"/>
                  <w:tcBorders>
                    <w:top w:val="single" w:color="auto" w:sz="12" w:space="0"/>
                  </w:tcBorders>
                  <w:vAlign w:val="center"/>
                </w:tcPr>
                <w:p>
                  <w:pPr>
                    <w:pStyle w:val="30"/>
                    <w:ind w:firstLine="420"/>
                    <w:rPr>
                      <w:b/>
                      <w:bCs/>
                      <w:color w:val="auto"/>
                      <w:sz w:val="21"/>
                      <w:szCs w:val="21"/>
                    </w:rPr>
                  </w:pPr>
                  <w:bookmarkStart w:id="22" w:name="_Toc13060"/>
                  <w:r>
                    <w:rPr>
                      <w:b/>
                      <w:bCs/>
                      <w:color w:val="auto"/>
                      <w:sz w:val="21"/>
                      <w:szCs w:val="21"/>
                    </w:rPr>
                    <w:t>设备名称</w:t>
                  </w:r>
                  <w:bookmarkEnd w:id="20"/>
                  <w:bookmarkEnd w:id="22"/>
                </w:p>
              </w:tc>
              <w:tc>
                <w:tcPr>
                  <w:tcW w:w="763" w:type="pct"/>
                  <w:tcBorders>
                    <w:top w:val="single" w:color="auto" w:sz="12" w:space="0"/>
                  </w:tcBorders>
                  <w:vAlign w:val="center"/>
                </w:tcPr>
                <w:p>
                  <w:pPr>
                    <w:pStyle w:val="30"/>
                    <w:ind w:firstLine="0" w:firstLineChars="0"/>
                    <w:jc w:val="center"/>
                    <w:rPr>
                      <w:b/>
                      <w:bCs/>
                      <w:color w:val="auto"/>
                      <w:sz w:val="21"/>
                      <w:szCs w:val="21"/>
                    </w:rPr>
                  </w:pPr>
                  <w:r>
                    <w:rPr>
                      <w:b/>
                      <w:bCs/>
                      <w:color w:val="auto"/>
                      <w:sz w:val="21"/>
                      <w:szCs w:val="21"/>
                    </w:rPr>
                    <w:t>规格/型号</w:t>
                  </w:r>
                </w:p>
              </w:tc>
              <w:tc>
                <w:tcPr>
                  <w:tcW w:w="745" w:type="pct"/>
                  <w:tcBorders>
                    <w:top w:val="single" w:color="auto" w:sz="12" w:space="0"/>
                  </w:tcBorders>
                  <w:vAlign w:val="center"/>
                </w:tcPr>
                <w:p>
                  <w:pPr>
                    <w:pStyle w:val="30"/>
                    <w:ind w:firstLine="0" w:firstLineChars="0"/>
                    <w:rPr>
                      <w:b/>
                      <w:bCs/>
                      <w:color w:val="auto"/>
                      <w:sz w:val="21"/>
                      <w:szCs w:val="21"/>
                    </w:rPr>
                  </w:pPr>
                  <w:r>
                    <w:rPr>
                      <w:b/>
                      <w:bCs/>
                      <w:color w:val="auto"/>
                      <w:sz w:val="21"/>
                      <w:szCs w:val="21"/>
                    </w:rPr>
                    <w:t>数量（台/套）</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325" w:type="pct"/>
                  <w:vAlign w:val="center"/>
                </w:tcPr>
                <w:p>
                  <w:pPr>
                    <w:adjustRightInd w:val="0"/>
                    <w:snapToGrid w:val="0"/>
                    <w:jc w:val="center"/>
                    <w:rPr>
                      <w:color w:val="auto"/>
                      <w:szCs w:val="21"/>
                    </w:rPr>
                  </w:pPr>
                  <w:r>
                    <w:rPr>
                      <w:color w:val="auto"/>
                      <w:szCs w:val="21"/>
                    </w:rPr>
                    <w:t>1</w:t>
                  </w:r>
                </w:p>
              </w:tc>
              <w:tc>
                <w:tcPr>
                  <w:tcW w:w="839" w:type="pct"/>
                  <w:vMerge w:val="restart"/>
                  <w:vAlign w:val="center"/>
                </w:tcPr>
                <w:p>
                  <w:pPr>
                    <w:adjustRightInd w:val="0"/>
                    <w:snapToGrid w:val="0"/>
                    <w:jc w:val="center"/>
                    <w:rPr>
                      <w:color w:val="auto"/>
                      <w:szCs w:val="21"/>
                    </w:rPr>
                  </w:pPr>
                  <w:r>
                    <w:rPr>
                      <w:color w:val="auto"/>
                      <w:szCs w:val="21"/>
                    </w:rPr>
                    <w:t>1#厂房(1F)</w:t>
                  </w:r>
                </w:p>
              </w:tc>
              <w:tc>
                <w:tcPr>
                  <w:tcW w:w="997" w:type="pct"/>
                  <w:vMerge w:val="restar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下料</w:t>
                  </w:r>
                </w:p>
              </w:tc>
              <w:tc>
                <w:tcPr>
                  <w:tcW w:w="1329"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下料机</w:t>
                  </w:r>
                </w:p>
              </w:tc>
              <w:tc>
                <w:tcPr>
                  <w:tcW w:w="763" w:type="pct"/>
                  <w:vAlign w:val="center"/>
                </w:tcPr>
                <w:p>
                  <w:pPr>
                    <w:adjustRightInd w:val="0"/>
                    <w:snapToGrid w:val="0"/>
                    <w:jc w:val="center"/>
                    <w:rPr>
                      <w:color w:val="auto"/>
                      <w:szCs w:val="21"/>
                    </w:rPr>
                  </w:pPr>
                  <w:r>
                    <w:rPr>
                      <w:color w:val="auto"/>
                      <w:szCs w:val="21"/>
                    </w:rPr>
                    <w:t>20000瓦型</w:t>
                  </w:r>
                </w:p>
              </w:tc>
              <w:tc>
                <w:tcPr>
                  <w:tcW w:w="745" w:type="pct"/>
                  <w:tcBorders>
                    <w:top w:val="single" w:color="auto" w:sz="4" w:space="0"/>
                  </w:tcBorders>
                  <w:vAlign w:val="center"/>
                </w:tcPr>
                <w:p>
                  <w:pPr>
                    <w:widowControl/>
                    <w:jc w:val="center"/>
                    <w:textAlignment w:val="center"/>
                    <w:rPr>
                      <w:color w:val="auto"/>
                      <w:szCs w:val="21"/>
                    </w:rPr>
                  </w:pPr>
                  <w:r>
                    <w:rPr>
                      <w:color w:val="auto"/>
                      <w:szCs w:val="21"/>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152" w:hRule="atLeast"/>
              </w:trPr>
              <w:tc>
                <w:tcPr>
                  <w:tcW w:w="325" w:type="pct"/>
                  <w:vAlign w:val="center"/>
                </w:tcPr>
                <w:p>
                  <w:pPr>
                    <w:adjustRightInd w:val="0"/>
                    <w:snapToGrid w:val="0"/>
                    <w:jc w:val="center"/>
                    <w:rPr>
                      <w:color w:val="auto"/>
                      <w:szCs w:val="21"/>
                    </w:rPr>
                  </w:pPr>
                  <w:r>
                    <w:rPr>
                      <w:color w:val="auto"/>
                      <w:szCs w:val="21"/>
                    </w:rPr>
                    <w:t>2</w:t>
                  </w:r>
                </w:p>
              </w:tc>
              <w:tc>
                <w:tcPr>
                  <w:tcW w:w="839" w:type="pct"/>
                  <w:vMerge w:val="continue"/>
                  <w:vAlign w:val="center"/>
                </w:tcPr>
                <w:p>
                  <w:pPr>
                    <w:adjustRightInd w:val="0"/>
                    <w:snapToGrid w:val="0"/>
                    <w:jc w:val="center"/>
                    <w:rPr>
                      <w:color w:val="auto"/>
                      <w:szCs w:val="21"/>
                    </w:rPr>
                  </w:pPr>
                </w:p>
              </w:tc>
              <w:tc>
                <w:tcPr>
                  <w:tcW w:w="997" w:type="pct"/>
                  <w:vMerge w:val="continue"/>
                  <w:vAlign w:val="center"/>
                </w:tcPr>
                <w:p>
                  <w:pPr>
                    <w:pStyle w:val="13"/>
                    <w:tabs>
                      <w:tab w:val="left" w:pos="2830"/>
                    </w:tabs>
                    <w:jc w:val="center"/>
                    <w:rPr>
                      <w:rFonts w:ascii="Times New Roman" w:hAnsi="Times New Roman"/>
                      <w:color w:val="auto"/>
                      <w:sz w:val="21"/>
                      <w:szCs w:val="21"/>
                      <w:lang w:bidi="ar"/>
                    </w:rPr>
                  </w:pPr>
                </w:p>
              </w:tc>
              <w:tc>
                <w:tcPr>
                  <w:tcW w:w="1329" w:type="pct"/>
                  <w:vAlign w:val="center"/>
                </w:tcPr>
                <w:p>
                  <w:pPr>
                    <w:pStyle w:val="13"/>
                    <w:tabs>
                      <w:tab w:val="left" w:pos="2830"/>
                    </w:tabs>
                    <w:jc w:val="center"/>
                    <w:rPr>
                      <w:rFonts w:ascii="Times New Roman" w:hAnsi="Times New Roman"/>
                      <w:color w:val="auto"/>
                      <w:sz w:val="21"/>
                      <w:szCs w:val="21"/>
                      <w:lang w:bidi="ar"/>
                    </w:rPr>
                  </w:pPr>
                  <w:r>
                    <w:rPr>
                      <w:rFonts w:ascii="Times New Roman" w:hAnsi="Times New Roman"/>
                      <w:color w:val="auto"/>
                      <w:sz w:val="21"/>
                      <w:szCs w:val="21"/>
                    </w:rPr>
                    <w:t>剪板机</w:t>
                  </w:r>
                </w:p>
              </w:tc>
              <w:tc>
                <w:tcPr>
                  <w:tcW w:w="763" w:type="pct"/>
                  <w:vAlign w:val="center"/>
                </w:tcPr>
                <w:p>
                  <w:pPr>
                    <w:adjustRightInd w:val="0"/>
                    <w:snapToGrid w:val="0"/>
                    <w:jc w:val="center"/>
                    <w:rPr>
                      <w:color w:val="auto"/>
                      <w:szCs w:val="21"/>
                    </w:rPr>
                  </w:pPr>
                  <w:r>
                    <w:rPr>
                      <w:color w:val="auto"/>
                      <w:szCs w:val="21"/>
                    </w:rPr>
                    <w:t>QC12Y</w:t>
                  </w:r>
                </w:p>
              </w:tc>
              <w:tc>
                <w:tcPr>
                  <w:tcW w:w="745" w:type="pct"/>
                  <w:tcBorders>
                    <w:top w:val="single" w:color="auto" w:sz="4" w:space="0"/>
                  </w:tcBorders>
                  <w:vAlign w:val="center"/>
                </w:tcPr>
                <w:p>
                  <w:pPr>
                    <w:widowControl/>
                    <w:jc w:val="center"/>
                    <w:textAlignment w:val="center"/>
                    <w:rPr>
                      <w:color w:val="auto"/>
                      <w:kern w:val="0"/>
                      <w:szCs w:val="21"/>
                      <w:lang w:bidi="ar"/>
                    </w:rPr>
                  </w:pPr>
                  <w:r>
                    <w:rPr>
                      <w:color w:val="auto"/>
                      <w:kern w:val="0"/>
                      <w:szCs w:val="21"/>
                      <w:lang w:bidi="ar"/>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152" w:hRule="atLeast"/>
              </w:trPr>
              <w:tc>
                <w:tcPr>
                  <w:tcW w:w="325" w:type="pct"/>
                  <w:vAlign w:val="center"/>
                </w:tcPr>
                <w:p>
                  <w:pPr>
                    <w:adjustRightInd w:val="0"/>
                    <w:snapToGrid w:val="0"/>
                    <w:jc w:val="center"/>
                    <w:rPr>
                      <w:color w:val="auto"/>
                      <w:szCs w:val="21"/>
                    </w:rPr>
                  </w:pPr>
                  <w:r>
                    <w:rPr>
                      <w:color w:val="auto"/>
                      <w:szCs w:val="21"/>
                    </w:rPr>
                    <w:t>3</w:t>
                  </w:r>
                </w:p>
              </w:tc>
              <w:tc>
                <w:tcPr>
                  <w:tcW w:w="839" w:type="pct"/>
                  <w:vMerge w:val="continue"/>
                  <w:vAlign w:val="center"/>
                </w:tcPr>
                <w:p>
                  <w:pPr>
                    <w:adjustRightInd w:val="0"/>
                    <w:snapToGrid w:val="0"/>
                    <w:jc w:val="center"/>
                    <w:rPr>
                      <w:color w:val="auto"/>
                      <w:szCs w:val="21"/>
                    </w:rPr>
                  </w:pPr>
                </w:p>
              </w:tc>
              <w:tc>
                <w:tcPr>
                  <w:tcW w:w="997" w:type="pct"/>
                  <w:vMerge w:val="continue"/>
                  <w:vAlign w:val="center"/>
                </w:tcPr>
                <w:p>
                  <w:pPr>
                    <w:pStyle w:val="13"/>
                    <w:tabs>
                      <w:tab w:val="left" w:pos="2830"/>
                    </w:tabs>
                    <w:jc w:val="center"/>
                    <w:rPr>
                      <w:rFonts w:ascii="Times New Roman" w:hAnsi="Times New Roman"/>
                      <w:color w:val="auto"/>
                      <w:sz w:val="21"/>
                      <w:szCs w:val="21"/>
                    </w:rPr>
                  </w:pPr>
                </w:p>
              </w:tc>
              <w:tc>
                <w:tcPr>
                  <w:tcW w:w="1329"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等离子切割机</w:t>
                  </w:r>
                </w:p>
              </w:tc>
              <w:tc>
                <w:tcPr>
                  <w:tcW w:w="763" w:type="pct"/>
                  <w:vAlign w:val="center"/>
                </w:tcPr>
                <w:p>
                  <w:pPr>
                    <w:adjustRightInd w:val="0"/>
                    <w:snapToGrid w:val="0"/>
                    <w:jc w:val="center"/>
                    <w:rPr>
                      <w:color w:val="auto"/>
                      <w:szCs w:val="21"/>
                    </w:rPr>
                  </w:pPr>
                  <w:r>
                    <w:rPr>
                      <w:color w:val="auto"/>
                      <w:szCs w:val="21"/>
                    </w:rPr>
                    <w:t>200型</w:t>
                  </w:r>
                </w:p>
              </w:tc>
              <w:tc>
                <w:tcPr>
                  <w:tcW w:w="745" w:type="pct"/>
                  <w:tcBorders>
                    <w:top w:val="single" w:color="auto" w:sz="4" w:space="0"/>
                  </w:tcBorders>
                  <w:vAlign w:val="center"/>
                </w:tcPr>
                <w:p>
                  <w:pPr>
                    <w:widowControl/>
                    <w:jc w:val="center"/>
                    <w:textAlignment w:val="center"/>
                    <w:rPr>
                      <w:color w:val="auto"/>
                      <w:szCs w:val="21"/>
                    </w:rPr>
                  </w:pPr>
                  <w:r>
                    <w:rPr>
                      <w:color w:val="auto"/>
                      <w:szCs w:val="21"/>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192" w:hRule="atLeast"/>
              </w:trPr>
              <w:tc>
                <w:tcPr>
                  <w:tcW w:w="325" w:type="pct"/>
                  <w:vAlign w:val="center"/>
                </w:tcPr>
                <w:p>
                  <w:pPr>
                    <w:widowControl/>
                    <w:adjustRightInd w:val="0"/>
                    <w:snapToGrid w:val="0"/>
                    <w:spacing w:line="240" w:lineRule="exact"/>
                    <w:jc w:val="center"/>
                    <w:rPr>
                      <w:color w:val="auto"/>
                      <w:kern w:val="0"/>
                      <w:szCs w:val="21"/>
                    </w:rPr>
                  </w:pPr>
                  <w:r>
                    <w:rPr>
                      <w:color w:val="auto"/>
                      <w:kern w:val="0"/>
                      <w:szCs w:val="21"/>
                    </w:rPr>
                    <w:t>4</w:t>
                  </w:r>
                </w:p>
              </w:tc>
              <w:tc>
                <w:tcPr>
                  <w:tcW w:w="839" w:type="pct"/>
                  <w:vMerge w:val="continue"/>
                  <w:vAlign w:val="center"/>
                </w:tcPr>
                <w:p>
                  <w:pPr>
                    <w:adjustRightInd w:val="0"/>
                    <w:snapToGrid w:val="0"/>
                    <w:jc w:val="center"/>
                    <w:rPr>
                      <w:color w:val="auto"/>
                      <w:szCs w:val="21"/>
                    </w:rPr>
                  </w:pPr>
                </w:p>
              </w:tc>
              <w:tc>
                <w:tcPr>
                  <w:tcW w:w="997"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组立</w:t>
                  </w:r>
                </w:p>
              </w:tc>
              <w:tc>
                <w:tcPr>
                  <w:tcW w:w="1329"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组立机</w:t>
                  </w:r>
                </w:p>
              </w:tc>
              <w:tc>
                <w:tcPr>
                  <w:tcW w:w="763" w:type="pct"/>
                  <w:vAlign w:val="center"/>
                </w:tcPr>
                <w:p>
                  <w:pPr>
                    <w:widowControl/>
                    <w:jc w:val="center"/>
                    <w:textAlignment w:val="center"/>
                    <w:rPr>
                      <w:color w:val="auto"/>
                      <w:kern w:val="0"/>
                      <w:szCs w:val="21"/>
                    </w:rPr>
                  </w:pPr>
                  <w:r>
                    <w:rPr>
                      <w:color w:val="auto"/>
                      <w:kern w:val="0"/>
                      <w:szCs w:val="21"/>
                    </w:rPr>
                    <w:t>1018型</w:t>
                  </w:r>
                </w:p>
              </w:tc>
              <w:tc>
                <w:tcPr>
                  <w:tcW w:w="745" w:type="pct"/>
                  <w:vAlign w:val="center"/>
                </w:tcPr>
                <w:p>
                  <w:pPr>
                    <w:widowControl/>
                    <w:jc w:val="center"/>
                    <w:textAlignment w:val="center"/>
                    <w:rPr>
                      <w:color w:val="auto"/>
                      <w:kern w:val="0"/>
                      <w:szCs w:val="21"/>
                    </w:rPr>
                  </w:pPr>
                  <w:r>
                    <w:rPr>
                      <w:color w:val="auto"/>
                      <w:kern w:val="0"/>
                      <w:szCs w:val="21"/>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192" w:hRule="atLeast"/>
              </w:trPr>
              <w:tc>
                <w:tcPr>
                  <w:tcW w:w="325" w:type="pct"/>
                  <w:vAlign w:val="center"/>
                </w:tcPr>
                <w:p>
                  <w:pPr>
                    <w:widowControl/>
                    <w:adjustRightInd w:val="0"/>
                    <w:snapToGrid w:val="0"/>
                    <w:spacing w:line="240" w:lineRule="exact"/>
                    <w:jc w:val="center"/>
                    <w:rPr>
                      <w:color w:val="auto"/>
                      <w:kern w:val="0"/>
                      <w:szCs w:val="21"/>
                    </w:rPr>
                  </w:pPr>
                  <w:r>
                    <w:rPr>
                      <w:rFonts w:hint="eastAsia"/>
                      <w:color w:val="auto"/>
                      <w:kern w:val="0"/>
                      <w:szCs w:val="21"/>
                    </w:rPr>
                    <w:t>5</w:t>
                  </w:r>
                </w:p>
              </w:tc>
              <w:tc>
                <w:tcPr>
                  <w:tcW w:w="839" w:type="pct"/>
                  <w:vMerge w:val="continue"/>
                  <w:vAlign w:val="center"/>
                </w:tcPr>
                <w:p>
                  <w:pPr>
                    <w:adjustRightInd w:val="0"/>
                    <w:snapToGrid w:val="0"/>
                    <w:jc w:val="center"/>
                    <w:rPr>
                      <w:color w:val="auto"/>
                      <w:szCs w:val="21"/>
                    </w:rPr>
                  </w:pPr>
                </w:p>
              </w:tc>
              <w:tc>
                <w:tcPr>
                  <w:tcW w:w="997" w:type="pct"/>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手工焊</w:t>
                  </w:r>
                </w:p>
              </w:tc>
              <w:tc>
                <w:tcPr>
                  <w:tcW w:w="1329" w:type="pct"/>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电弧焊机</w:t>
                  </w:r>
                </w:p>
              </w:tc>
              <w:tc>
                <w:tcPr>
                  <w:tcW w:w="763" w:type="pct"/>
                  <w:vAlign w:val="center"/>
                </w:tcPr>
                <w:p>
                  <w:pPr>
                    <w:widowControl/>
                    <w:jc w:val="center"/>
                    <w:textAlignment w:val="center"/>
                    <w:rPr>
                      <w:color w:val="auto"/>
                      <w:kern w:val="0"/>
                      <w:szCs w:val="21"/>
                    </w:rPr>
                  </w:pPr>
                  <w:r>
                    <w:rPr>
                      <w:rFonts w:hint="eastAsia"/>
                      <w:color w:val="auto"/>
                      <w:kern w:val="0"/>
                      <w:szCs w:val="21"/>
                    </w:rPr>
                    <w:t>ZX7 500U</w:t>
                  </w:r>
                </w:p>
              </w:tc>
              <w:tc>
                <w:tcPr>
                  <w:tcW w:w="745" w:type="pct"/>
                  <w:vAlign w:val="center"/>
                </w:tcPr>
                <w:p>
                  <w:pPr>
                    <w:widowControl/>
                    <w:jc w:val="center"/>
                    <w:textAlignment w:val="center"/>
                    <w:rPr>
                      <w:color w:val="auto"/>
                      <w:kern w:val="0"/>
                      <w:szCs w:val="21"/>
                    </w:rPr>
                  </w:pPr>
                  <w:r>
                    <w:rPr>
                      <w:rFonts w:hint="eastAsia"/>
                      <w:color w:val="auto"/>
                      <w:kern w:val="0"/>
                      <w:szCs w:val="21"/>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192" w:hRule="atLeast"/>
              </w:trPr>
              <w:tc>
                <w:tcPr>
                  <w:tcW w:w="325" w:type="pct"/>
                  <w:vAlign w:val="center"/>
                </w:tcPr>
                <w:p>
                  <w:pPr>
                    <w:widowControl/>
                    <w:adjustRightInd w:val="0"/>
                    <w:snapToGrid w:val="0"/>
                    <w:spacing w:line="240" w:lineRule="exact"/>
                    <w:jc w:val="center"/>
                    <w:rPr>
                      <w:color w:val="auto"/>
                      <w:kern w:val="0"/>
                      <w:szCs w:val="21"/>
                    </w:rPr>
                  </w:pPr>
                  <w:r>
                    <w:rPr>
                      <w:rFonts w:hint="eastAsia"/>
                      <w:color w:val="auto"/>
                      <w:kern w:val="0"/>
                      <w:szCs w:val="21"/>
                    </w:rPr>
                    <w:t>6</w:t>
                  </w:r>
                </w:p>
              </w:tc>
              <w:tc>
                <w:tcPr>
                  <w:tcW w:w="839" w:type="pct"/>
                  <w:vMerge w:val="continue"/>
                  <w:vAlign w:val="center"/>
                </w:tcPr>
                <w:p>
                  <w:pPr>
                    <w:adjustRightInd w:val="0"/>
                    <w:snapToGrid w:val="0"/>
                    <w:jc w:val="center"/>
                    <w:rPr>
                      <w:color w:val="auto"/>
                      <w:szCs w:val="21"/>
                    </w:rPr>
                  </w:pPr>
                </w:p>
              </w:tc>
              <w:tc>
                <w:tcPr>
                  <w:tcW w:w="997"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埋弧焊接</w:t>
                  </w:r>
                </w:p>
              </w:tc>
              <w:tc>
                <w:tcPr>
                  <w:tcW w:w="1329"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埋弧焊机</w:t>
                  </w:r>
                </w:p>
              </w:tc>
              <w:tc>
                <w:tcPr>
                  <w:tcW w:w="763" w:type="pct"/>
                  <w:vAlign w:val="center"/>
                </w:tcPr>
                <w:p>
                  <w:pPr>
                    <w:widowControl/>
                    <w:jc w:val="center"/>
                    <w:textAlignment w:val="center"/>
                    <w:rPr>
                      <w:color w:val="auto"/>
                      <w:kern w:val="0"/>
                      <w:szCs w:val="21"/>
                    </w:rPr>
                  </w:pPr>
                  <w:r>
                    <w:rPr>
                      <w:color w:val="auto"/>
                      <w:kern w:val="0"/>
                      <w:szCs w:val="21"/>
                    </w:rPr>
                    <w:t>1250型</w:t>
                  </w:r>
                </w:p>
              </w:tc>
              <w:tc>
                <w:tcPr>
                  <w:tcW w:w="745" w:type="pct"/>
                  <w:vAlign w:val="center"/>
                </w:tcPr>
                <w:p>
                  <w:pPr>
                    <w:widowControl/>
                    <w:jc w:val="center"/>
                    <w:textAlignment w:val="center"/>
                    <w:rPr>
                      <w:color w:val="auto"/>
                      <w:kern w:val="0"/>
                      <w:szCs w:val="21"/>
                    </w:rPr>
                  </w:pPr>
                  <w:r>
                    <w:rPr>
                      <w:color w:val="auto"/>
                      <w:kern w:val="0"/>
                      <w:szCs w:val="21"/>
                    </w:rPr>
                    <w:t>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325" w:type="pct"/>
                  <w:vAlign w:val="center"/>
                </w:tcPr>
                <w:p>
                  <w:pPr>
                    <w:widowControl/>
                    <w:adjustRightInd w:val="0"/>
                    <w:snapToGrid w:val="0"/>
                    <w:spacing w:line="240" w:lineRule="exact"/>
                    <w:jc w:val="center"/>
                    <w:rPr>
                      <w:color w:val="auto"/>
                      <w:kern w:val="0"/>
                      <w:szCs w:val="21"/>
                    </w:rPr>
                  </w:pPr>
                  <w:r>
                    <w:rPr>
                      <w:rFonts w:hint="eastAsia"/>
                      <w:color w:val="auto"/>
                      <w:kern w:val="0"/>
                      <w:szCs w:val="21"/>
                    </w:rPr>
                    <w:t>7</w:t>
                  </w:r>
                </w:p>
              </w:tc>
              <w:tc>
                <w:tcPr>
                  <w:tcW w:w="839" w:type="pct"/>
                  <w:vMerge w:val="continue"/>
                  <w:vAlign w:val="center"/>
                </w:tcPr>
                <w:p>
                  <w:pPr>
                    <w:adjustRightInd w:val="0"/>
                    <w:snapToGrid w:val="0"/>
                    <w:jc w:val="center"/>
                    <w:rPr>
                      <w:color w:val="auto"/>
                      <w:szCs w:val="21"/>
                    </w:rPr>
                  </w:pPr>
                </w:p>
              </w:tc>
              <w:tc>
                <w:tcPr>
                  <w:tcW w:w="997"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拼装焊接</w:t>
                  </w:r>
                </w:p>
              </w:tc>
              <w:tc>
                <w:tcPr>
                  <w:tcW w:w="1329"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气体保护焊机</w:t>
                  </w:r>
                </w:p>
              </w:tc>
              <w:tc>
                <w:tcPr>
                  <w:tcW w:w="763" w:type="pct"/>
                  <w:vAlign w:val="center"/>
                </w:tcPr>
                <w:p>
                  <w:pPr>
                    <w:widowControl/>
                    <w:jc w:val="center"/>
                    <w:textAlignment w:val="center"/>
                    <w:rPr>
                      <w:color w:val="auto"/>
                      <w:kern w:val="0"/>
                      <w:szCs w:val="21"/>
                    </w:rPr>
                  </w:pPr>
                  <w:r>
                    <w:rPr>
                      <w:color w:val="auto"/>
                      <w:kern w:val="0"/>
                      <w:szCs w:val="21"/>
                    </w:rPr>
                    <w:t>500型</w:t>
                  </w:r>
                </w:p>
              </w:tc>
              <w:tc>
                <w:tcPr>
                  <w:tcW w:w="745" w:type="pct"/>
                  <w:vAlign w:val="center"/>
                </w:tcPr>
                <w:p>
                  <w:pPr>
                    <w:widowControl/>
                    <w:jc w:val="center"/>
                    <w:textAlignment w:val="center"/>
                    <w:rPr>
                      <w:color w:val="auto"/>
                      <w:kern w:val="0"/>
                      <w:szCs w:val="21"/>
                    </w:rPr>
                  </w:pPr>
                  <w:r>
                    <w:rPr>
                      <w:color w:val="auto"/>
                      <w:kern w:val="0"/>
                      <w:szCs w:val="21"/>
                    </w:rPr>
                    <w:t>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192" w:hRule="atLeast"/>
              </w:trPr>
              <w:tc>
                <w:tcPr>
                  <w:tcW w:w="325" w:type="pct"/>
                  <w:vAlign w:val="center"/>
                </w:tcPr>
                <w:p>
                  <w:pPr>
                    <w:widowControl/>
                    <w:adjustRightInd w:val="0"/>
                    <w:snapToGrid w:val="0"/>
                    <w:spacing w:line="240" w:lineRule="exact"/>
                    <w:jc w:val="center"/>
                    <w:rPr>
                      <w:color w:val="auto"/>
                      <w:kern w:val="0"/>
                      <w:szCs w:val="21"/>
                    </w:rPr>
                  </w:pPr>
                  <w:r>
                    <w:rPr>
                      <w:rFonts w:hint="eastAsia"/>
                      <w:color w:val="auto"/>
                      <w:kern w:val="0"/>
                      <w:szCs w:val="21"/>
                    </w:rPr>
                    <w:t>8</w:t>
                  </w:r>
                </w:p>
              </w:tc>
              <w:tc>
                <w:tcPr>
                  <w:tcW w:w="839" w:type="pct"/>
                  <w:vMerge w:val="continue"/>
                  <w:vAlign w:val="center"/>
                </w:tcPr>
                <w:p>
                  <w:pPr>
                    <w:adjustRightInd w:val="0"/>
                    <w:snapToGrid w:val="0"/>
                    <w:jc w:val="center"/>
                    <w:rPr>
                      <w:color w:val="auto"/>
                      <w:szCs w:val="21"/>
                    </w:rPr>
                  </w:pPr>
                </w:p>
              </w:tc>
              <w:tc>
                <w:tcPr>
                  <w:tcW w:w="997"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打磨</w:t>
                  </w:r>
                </w:p>
              </w:tc>
              <w:tc>
                <w:tcPr>
                  <w:tcW w:w="1329"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打磨机</w:t>
                  </w:r>
                </w:p>
              </w:tc>
              <w:tc>
                <w:tcPr>
                  <w:tcW w:w="763" w:type="pct"/>
                  <w:vAlign w:val="center"/>
                </w:tcPr>
                <w:p>
                  <w:pPr>
                    <w:widowControl/>
                    <w:jc w:val="center"/>
                    <w:textAlignment w:val="center"/>
                    <w:rPr>
                      <w:color w:val="auto"/>
                      <w:kern w:val="0"/>
                      <w:szCs w:val="21"/>
                    </w:rPr>
                  </w:pPr>
                  <w:r>
                    <w:rPr>
                      <w:color w:val="auto"/>
                      <w:kern w:val="0"/>
                      <w:szCs w:val="21"/>
                    </w:rPr>
                    <w:t>125型</w:t>
                  </w:r>
                </w:p>
              </w:tc>
              <w:tc>
                <w:tcPr>
                  <w:tcW w:w="745" w:type="pct"/>
                  <w:vAlign w:val="center"/>
                </w:tcPr>
                <w:p>
                  <w:pPr>
                    <w:widowControl/>
                    <w:jc w:val="center"/>
                    <w:textAlignment w:val="center"/>
                    <w:rPr>
                      <w:color w:val="auto"/>
                      <w:kern w:val="0"/>
                      <w:szCs w:val="21"/>
                    </w:rPr>
                  </w:pPr>
                  <w:r>
                    <w:rPr>
                      <w:color w:val="auto"/>
                      <w:kern w:val="0"/>
                      <w:szCs w:val="21"/>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192" w:hRule="atLeast"/>
              </w:trPr>
              <w:tc>
                <w:tcPr>
                  <w:tcW w:w="325" w:type="pct"/>
                  <w:vAlign w:val="center"/>
                </w:tcPr>
                <w:p>
                  <w:pPr>
                    <w:widowControl/>
                    <w:adjustRightInd w:val="0"/>
                    <w:snapToGrid w:val="0"/>
                    <w:spacing w:line="240" w:lineRule="exact"/>
                    <w:jc w:val="center"/>
                    <w:rPr>
                      <w:color w:val="auto"/>
                      <w:kern w:val="0"/>
                      <w:szCs w:val="21"/>
                    </w:rPr>
                  </w:pPr>
                  <w:r>
                    <w:rPr>
                      <w:rFonts w:hint="eastAsia"/>
                      <w:color w:val="auto"/>
                      <w:kern w:val="0"/>
                      <w:szCs w:val="21"/>
                    </w:rPr>
                    <w:t>9</w:t>
                  </w:r>
                </w:p>
              </w:tc>
              <w:tc>
                <w:tcPr>
                  <w:tcW w:w="839" w:type="pct"/>
                  <w:vMerge w:val="continue"/>
                  <w:vAlign w:val="center"/>
                </w:tcPr>
                <w:p>
                  <w:pPr>
                    <w:adjustRightInd w:val="0"/>
                    <w:snapToGrid w:val="0"/>
                    <w:jc w:val="center"/>
                    <w:rPr>
                      <w:color w:val="auto"/>
                      <w:szCs w:val="21"/>
                    </w:rPr>
                  </w:pPr>
                </w:p>
              </w:tc>
              <w:tc>
                <w:tcPr>
                  <w:tcW w:w="997"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抛丸</w:t>
                  </w:r>
                </w:p>
              </w:tc>
              <w:tc>
                <w:tcPr>
                  <w:tcW w:w="1329"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抛丸清理机</w:t>
                  </w:r>
                </w:p>
              </w:tc>
              <w:tc>
                <w:tcPr>
                  <w:tcW w:w="763" w:type="pct"/>
                  <w:vAlign w:val="center"/>
                </w:tcPr>
                <w:p>
                  <w:pPr>
                    <w:widowControl/>
                    <w:jc w:val="center"/>
                    <w:textAlignment w:val="center"/>
                    <w:rPr>
                      <w:color w:val="auto"/>
                      <w:kern w:val="0"/>
                      <w:szCs w:val="21"/>
                    </w:rPr>
                  </w:pPr>
                  <w:r>
                    <w:rPr>
                      <w:color w:val="auto"/>
                      <w:kern w:val="0"/>
                      <w:szCs w:val="21"/>
                    </w:rPr>
                    <w:t>2.3*3.3型160千瓦型</w:t>
                  </w:r>
                </w:p>
              </w:tc>
              <w:tc>
                <w:tcPr>
                  <w:tcW w:w="745" w:type="pct"/>
                  <w:vAlign w:val="center"/>
                </w:tcPr>
                <w:p>
                  <w:pPr>
                    <w:widowControl/>
                    <w:jc w:val="center"/>
                    <w:textAlignment w:val="center"/>
                    <w:rPr>
                      <w:color w:val="auto"/>
                      <w:kern w:val="0"/>
                      <w:szCs w:val="21"/>
                    </w:rPr>
                  </w:pPr>
                  <w:r>
                    <w:rPr>
                      <w:color w:val="auto"/>
                      <w:kern w:val="0"/>
                      <w:szCs w:val="21"/>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83" w:hRule="atLeast"/>
              </w:trPr>
              <w:tc>
                <w:tcPr>
                  <w:tcW w:w="325" w:type="pct"/>
                  <w:vAlign w:val="center"/>
                </w:tcPr>
                <w:p>
                  <w:pPr>
                    <w:widowControl/>
                    <w:adjustRightInd w:val="0"/>
                    <w:snapToGrid w:val="0"/>
                    <w:spacing w:line="240" w:lineRule="exact"/>
                    <w:jc w:val="center"/>
                    <w:rPr>
                      <w:color w:val="auto"/>
                      <w:kern w:val="0"/>
                      <w:szCs w:val="21"/>
                    </w:rPr>
                  </w:pPr>
                  <w:r>
                    <w:rPr>
                      <w:rFonts w:hint="eastAsia"/>
                      <w:color w:val="auto"/>
                      <w:kern w:val="0"/>
                      <w:szCs w:val="21"/>
                    </w:rPr>
                    <w:t>10</w:t>
                  </w:r>
                </w:p>
              </w:tc>
              <w:tc>
                <w:tcPr>
                  <w:tcW w:w="839" w:type="pct"/>
                  <w:vMerge w:val="restart"/>
                  <w:vAlign w:val="center"/>
                </w:tcPr>
                <w:p>
                  <w:pPr>
                    <w:adjustRightInd w:val="0"/>
                    <w:snapToGrid w:val="0"/>
                    <w:jc w:val="center"/>
                    <w:rPr>
                      <w:color w:val="auto"/>
                      <w:szCs w:val="21"/>
                    </w:rPr>
                  </w:pPr>
                  <w:r>
                    <w:rPr>
                      <w:color w:val="auto"/>
                      <w:szCs w:val="21"/>
                    </w:rPr>
                    <w:t>2#厂房（1F）</w:t>
                  </w:r>
                </w:p>
              </w:tc>
              <w:tc>
                <w:tcPr>
                  <w:tcW w:w="997" w:type="pct"/>
                  <w:vMerge w:val="restart"/>
                  <w:vAlign w:val="center"/>
                </w:tcPr>
                <w:p>
                  <w:pPr>
                    <w:widowControl/>
                    <w:jc w:val="center"/>
                    <w:textAlignment w:val="center"/>
                    <w:rPr>
                      <w:color w:val="auto"/>
                      <w:szCs w:val="21"/>
                    </w:rPr>
                  </w:pPr>
                  <w:r>
                    <w:rPr>
                      <w:color w:val="auto"/>
                      <w:szCs w:val="21"/>
                    </w:rPr>
                    <w:t>喷漆</w:t>
                  </w:r>
                </w:p>
              </w:tc>
              <w:tc>
                <w:tcPr>
                  <w:tcW w:w="1329" w:type="pct"/>
                  <w:vAlign w:val="center"/>
                </w:tcPr>
                <w:p>
                  <w:pPr>
                    <w:widowControl/>
                    <w:jc w:val="center"/>
                    <w:textAlignment w:val="center"/>
                    <w:rPr>
                      <w:color w:val="auto"/>
                      <w:szCs w:val="21"/>
                    </w:rPr>
                  </w:pPr>
                  <w:r>
                    <w:rPr>
                      <w:color w:val="auto"/>
                      <w:szCs w:val="21"/>
                    </w:rPr>
                    <w:t>喷枪</w:t>
                  </w:r>
                </w:p>
              </w:tc>
              <w:tc>
                <w:tcPr>
                  <w:tcW w:w="763" w:type="pct"/>
                  <w:vAlign w:val="center"/>
                </w:tcPr>
                <w:p>
                  <w:pPr>
                    <w:widowControl/>
                    <w:jc w:val="center"/>
                    <w:textAlignment w:val="center"/>
                    <w:rPr>
                      <w:color w:val="auto"/>
                      <w:kern w:val="0"/>
                      <w:szCs w:val="21"/>
                    </w:rPr>
                  </w:pPr>
                  <w:r>
                    <w:rPr>
                      <w:color w:val="auto"/>
                    </w:rPr>
                    <w:t>WRA-101</w:t>
                  </w:r>
                </w:p>
              </w:tc>
              <w:tc>
                <w:tcPr>
                  <w:tcW w:w="745" w:type="pct"/>
                  <w:vAlign w:val="center"/>
                </w:tcPr>
                <w:p>
                  <w:pPr>
                    <w:widowControl/>
                    <w:jc w:val="center"/>
                    <w:textAlignment w:val="center"/>
                    <w:rPr>
                      <w:color w:val="auto"/>
                      <w:kern w:val="0"/>
                      <w:szCs w:val="21"/>
                    </w:rPr>
                  </w:pPr>
                  <w:r>
                    <w:rPr>
                      <w:color w:val="auto"/>
                      <w:kern w:val="0"/>
                      <w:szCs w:val="21"/>
                    </w:rPr>
                    <w:t>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83" w:hRule="atLeast"/>
              </w:trPr>
              <w:tc>
                <w:tcPr>
                  <w:tcW w:w="325" w:type="pct"/>
                  <w:vAlign w:val="center"/>
                </w:tcPr>
                <w:p>
                  <w:pPr>
                    <w:widowControl/>
                    <w:adjustRightInd w:val="0"/>
                    <w:snapToGrid w:val="0"/>
                    <w:spacing w:line="240" w:lineRule="exact"/>
                    <w:jc w:val="center"/>
                    <w:rPr>
                      <w:color w:val="auto"/>
                      <w:kern w:val="0"/>
                      <w:szCs w:val="21"/>
                    </w:rPr>
                  </w:pPr>
                  <w:r>
                    <w:rPr>
                      <w:rFonts w:hint="eastAsia"/>
                      <w:color w:val="auto"/>
                      <w:kern w:val="0"/>
                      <w:szCs w:val="21"/>
                    </w:rPr>
                    <w:t>11</w:t>
                  </w:r>
                </w:p>
              </w:tc>
              <w:tc>
                <w:tcPr>
                  <w:tcW w:w="839" w:type="pct"/>
                  <w:vMerge w:val="continue"/>
                  <w:vAlign w:val="center"/>
                </w:tcPr>
                <w:p>
                  <w:pPr>
                    <w:adjustRightInd w:val="0"/>
                    <w:snapToGrid w:val="0"/>
                    <w:jc w:val="center"/>
                    <w:rPr>
                      <w:color w:val="auto"/>
                      <w:szCs w:val="21"/>
                    </w:rPr>
                  </w:pPr>
                </w:p>
              </w:tc>
              <w:tc>
                <w:tcPr>
                  <w:tcW w:w="997" w:type="pct"/>
                  <w:vMerge w:val="continue"/>
                  <w:vAlign w:val="center"/>
                </w:tcPr>
                <w:p>
                  <w:pPr>
                    <w:widowControl/>
                    <w:jc w:val="center"/>
                    <w:textAlignment w:val="center"/>
                    <w:rPr>
                      <w:color w:val="auto"/>
                      <w:szCs w:val="21"/>
                    </w:rPr>
                  </w:pPr>
                </w:p>
              </w:tc>
              <w:tc>
                <w:tcPr>
                  <w:tcW w:w="1329" w:type="pct"/>
                  <w:vAlign w:val="center"/>
                </w:tcPr>
                <w:p>
                  <w:pPr>
                    <w:widowControl/>
                    <w:jc w:val="center"/>
                    <w:textAlignment w:val="center"/>
                    <w:rPr>
                      <w:color w:val="auto"/>
                      <w:szCs w:val="21"/>
                    </w:rPr>
                  </w:pPr>
                  <w:r>
                    <w:rPr>
                      <w:rFonts w:hint="eastAsia"/>
                      <w:color w:val="auto"/>
                      <w:szCs w:val="21"/>
                    </w:rPr>
                    <w:t>喷漆房</w:t>
                  </w:r>
                </w:p>
              </w:tc>
              <w:tc>
                <w:tcPr>
                  <w:tcW w:w="763" w:type="pct"/>
                  <w:vAlign w:val="center"/>
                </w:tcPr>
                <w:p>
                  <w:pPr>
                    <w:widowControl/>
                    <w:jc w:val="center"/>
                    <w:textAlignment w:val="center"/>
                    <w:rPr>
                      <w:color w:val="auto"/>
                    </w:rPr>
                  </w:pPr>
                  <w:r>
                    <w:rPr>
                      <w:color w:val="auto"/>
                    </w:rPr>
                    <w:t>7m×15m×3m</w:t>
                  </w:r>
                </w:p>
              </w:tc>
              <w:tc>
                <w:tcPr>
                  <w:tcW w:w="745" w:type="pct"/>
                  <w:vAlign w:val="center"/>
                </w:tcPr>
                <w:p>
                  <w:pPr>
                    <w:widowControl/>
                    <w:jc w:val="center"/>
                    <w:textAlignment w:val="center"/>
                    <w:rPr>
                      <w:color w:val="auto"/>
                      <w:kern w:val="0"/>
                      <w:szCs w:val="21"/>
                    </w:rPr>
                  </w:pPr>
                  <w:r>
                    <w:rPr>
                      <w:rFonts w:hint="eastAsia"/>
                      <w:color w:val="auto"/>
                      <w:kern w:val="0"/>
                      <w:szCs w:val="21"/>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83" w:hRule="atLeast"/>
              </w:trPr>
              <w:tc>
                <w:tcPr>
                  <w:tcW w:w="325" w:type="pct"/>
                  <w:vAlign w:val="center"/>
                </w:tcPr>
                <w:p>
                  <w:pPr>
                    <w:widowControl/>
                    <w:adjustRightInd w:val="0"/>
                    <w:snapToGrid w:val="0"/>
                    <w:spacing w:line="240" w:lineRule="exact"/>
                    <w:jc w:val="center"/>
                    <w:rPr>
                      <w:color w:val="auto"/>
                      <w:kern w:val="0"/>
                      <w:szCs w:val="21"/>
                    </w:rPr>
                  </w:pPr>
                  <w:r>
                    <w:rPr>
                      <w:rFonts w:hint="eastAsia"/>
                      <w:color w:val="auto"/>
                      <w:kern w:val="0"/>
                      <w:szCs w:val="21"/>
                    </w:rPr>
                    <w:t>12</w:t>
                  </w:r>
                </w:p>
              </w:tc>
              <w:tc>
                <w:tcPr>
                  <w:tcW w:w="839" w:type="pct"/>
                  <w:vMerge w:val="continue"/>
                  <w:vAlign w:val="center"/>
                </w:tcPr>
                <w:p>
                  <w:pPr>
                    <w:adjustRightInd w:val="0"/>
                    <w:snapToGrid w:val="0"/>
                    <w:jc w:val="center"/>
                    <w:rPr>
                      <w:color w:val="auto"/>
                      <w:szCs w:val="21"/>
                    </w:rPr>
                  </w:pPr>
                </w:p>
              </w:tc>
              <w:tc>
                <w:tcPr>
                  <w:tcW w:w="997" w:type="pct"/>
                  <w:vAlign w:val="center"/>
                </w:tcPr>
                <w:p>
                  <w:pPr>
                    <w:widowControl/>
                    <w:jc w:val="center"/>
                    <w:textAlignment w:val="center"/>
                    <w:rPr>
                      <w:color w:val="auto"/>
                      <w:szCs w:val="21"/>
                    </w:rPr>
                  </w:pPr>
                  <w:r>
                    <w:rPr>
                      <w:rFonts w:hint="eastAsia"/>
                      <w:color w:val="auto"/>
                      <w:szCs w:val="21"/>
                    </w:rPr>
                    <w:t>晾干</w:t>
                  </w:r>
                </w:p>
              </w:tc>
              <w:tc>
                <w:tcPr>
                  <w:tcW w:w="1329" w:type="pct"/>
                  <w:vAlign w:val="center"/>
                </w:tcPr>
                <w:p>
                  <w:pPr>
                    <w:widowControl/>
                    <w:jc w:val="center"/>
                    <w:textAlignment w:val="center"/>
                    <w:rPr>
                      <w:color w:val="auto"/>
                      <w:szCs w:val="21"/>
                    </w:rPr>
                  </w:pPr>
                  <w:r>
                    <w:rPr>
                      <w:rFonts w:hint="eastAsia"/>
                      <w:color w:val="auto"/>
                      <w:szCs w:val="21"/>
                      <w:lang w:eastAsia="zh-CN"/>
                    </w:rPr>
                    <w:t>晾干</w:t>
                  </w:r>
                  <w:r>
                    <w:rPr>
                      <w:rFonts w:hint="eastAsia"/>
                      <w:color w:val="auto"/>
                      <w:szCs w:val="21"/>
                    </w:rPr>
                    <w:t>房</w:t>
                  </w:r>
                </w:p>
              </w:tc>
              <w:tc>
                <w:tcPr>
                  <w:tcW w:w="763" w:type="pct"/>
                  <w:vAlign w:val="center"/>
                </w:tcPr>
                <w:p>
                  <w:pPr>
                    <w:widowControl/>
                    <w:jc w:val="center"/>
                    <w:textAlignment w:val="center"/>
                    <w:rPr>
                      <w:color w:val="auto"/>
                    </w:rPr>
                  </w:pPr>
                  <w:r>
                    <w:rPr>
                      <w:color w:val="auto"/>
                    </w:rPr>
                    <w:t>36m×25m×3m</w:t>
                  </w:r>
                </w:p>
              </w:tc>
              <w:tc>
                <w:tcPr>
                  <w:tcW w:w="745" w:type="pct"/>
                  <w:vAlign w:val="center"/>
                </w:tcPr>
                <w:p>
                  <w:pPr>
                    <w:widowControl/>
                    <w:jc w:val="center"/>
                    <w:textAlignment w:val="center"/>
                    <w:rPr>
                      <w:color w:val="auto"/>
                      <w:kern w:val="0"/>
                      <w:szCs w:val="21"/>
                    </w:rPr>
                  </w:pPr>
                  <w:r>
                    <w:rPr>
                      <w:rFonts w:hint="eastAsia"/>
                      <w:color w:val="auto"/>
                      <w:kern w:val="0"/>
                      <w:szCs w:val="21"/>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83" w:hRule="atLeast"/>
              </w:trPr>
              <w:tc>
                <w:tcPr>
                  <w:tcW w:w="325" w:type="pct"/>
                  <w:vAlign w:val="center"/>
                </w:tcPr>
                <w:p>
                  <w:pPr>
                    <w:widowControl/>
                    <w:adjustRightInd w:val="0"/>
                    <w:snapToGrid w:val="0"/>
                    <w:spacing w:line="240" w:lineRule="exact"/>
                    <w:jc w:val="center"/>
                    <w:rPr>
                      <w:color w:val="auto"/>
                      <w:kern w:val="0"/>
                      <w:szCs w:val="21"/>
                    </w:rPr>
                  </w:pPr>
                  <w:r>
                    <w:rPr>
                      <w:rFonts w:hint="eastAsia"/>
                      <w:color w:val="auto"/>
                      <w:kern w:val="0"/>
                      <w:szCs w:val="21"/>
                    </w:rPr>
                    <w:t>13</w:t>
                  </w:r>
                </w:p>
              </w:tc>
              <w:tc>
                <w:tcPr>
                  <w:tcW w:w="839" w:type="pct"/>
                  <w:vMerge w:val="restart"/>
                  <w:vAlign w:val="center"/>
                </w:tcPr>
                <w:p>
                  <w:pPr>
                    <w:adjustRightInd w:val="0"/>
                    <w:snapToGrid w:val="0"/>
                    <w:jc w:val="center"/>
                    <w:rPr>
                      <w:color w:val="auto"/>
                      <w:szCs w:val="21"/>
                    </w:rPr>
                  </w:pPr>
                  <w:r>
                    <w:rPr>
                      <w:color w:val="auto"/>
                      <w:szCs w:val="21"/>
                    </w:rPr>
                    <w:t>/</w:t>
                  </w:r>
                </w:p>
              </w:tc>
              <w:tc>
                <w:tcPr>
                  <w:tcW w:w="997" w:type="pct"/>
                  <w:vMerge w:val="restart"/>
                  <w:vAlign w:val="center"/>
                </w:tcPr>
                <w:p>
                  <w:pPr>
                    <w:widowControl/>
                    <w:jc w:val="center"/>
                    <w:textAlignment w:val="center"/>
                    <w:rPr>
                      <w:color w:val="auto"/>
                      <w:kern w:val="0"/>
                      <w:szCs w:val="21"/>
                      <w:lang w:bidi="ar"/>
                    </w:rPr>
                  </w:pPr>
                  <w:r>
                    <w:rPr>
                      <w:color w:val="auto"/>
                      <w:szCs w:val="21"/>
                    </w:rPr>
                    <w:t>公用工程</w:t>
                  </w:r>
                </w:p>
              </w:tc>
              <w:tc>
                <w:tcPr>
                  <w:tcW w:w="1329" w:type="pct"/>
                  <w:vAlign w:val="center"/>
                </w:tcPr>
                <w:p>
                  <w:pPr>
                    <w:widowControl/>
                    <w:jc w:val="center"/>
                    <w:textAlignment w:val="center"/>
                    <w:rPr>
                      <w:color w:val="auto"/>
                      <w:kern w:val="0"/>
                      <w:szCs w:val="21"/>
                      <w:lang w:bidi="ar"/>
                    </w:rPr>
                  </w:pPr>
                  <w:r>
                    <w:rPr>
                      <w:color w:val="auto"/>
                      <w:kern w:val="0"/>
                      <w:szCs w:val="21"/>
                      <w:lang w:bidi="ar"/>
                    </w:rPr>
                    <w:t>空压机</w:t>
                  </w:r>
                </w:p>
              </w:tc>
              <w:tc>
                <w:tcPr>
                  <w:tcW w:w="763" w:type="pct"/>
                  <w:vAlign w:val="center"/>
                </w:tcPr>
                <w:p>
                  <w:pPr>
                    <w:jc w:val="center"/>
                    <w:rPr>
                      <w:color w:val="auto"/>
                      <w:kern w:val="0"/>
                      <w:szCs w:val="21"/>
                    </w:rPr>
                  </w:pPr>
                  <w:r>
                    <w:rPr>
                      <w:color w:val="auto"/>
                      <w:kern w:val="0"/>
                      <w:szCs w:val="21"/>
                    </w:rPr>
                    <w:t>50千瓦型</w:t>
                  </w:r>
                </w:p>
              </w:tc>
              <w:tc>
                <w:tcPr>
                  <w:tcW w:w="745" w:type="pct"/>
                  <w:vAlign w:val="center"/>
                </w:tcPr>
                <w:p>
                  <w:pPr>
                    <w:widowControl/>
                    <w:jc w:val="center"/>
                    <w:textAlignment w:val="center"/>
                    <w:rPr>
                      <w:color w:val="auto"/>
                      <w:kern w:val="0"/>
                      <w:szCs w:val="21"/>
                      <w:lang w:bidi="ar"/>
                    </w:rPr>
                  </w:pPr>
                  <w:r>
                    <w:rPr>
                      <w:color w:val="auto"/>
                      <w:kern w:val="0"/>
                      <w:szCs w:val="21"/>
                      <w:lang w:bidi="ar"/>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83" w:hRule="atLeast"/>
              </w:trPr>
              <w:tc>
                <w:tcPr>
                  <w:tcW w:w="325" w:type="pct"/>
                  <w:vAlign w:val="center"/>
                </w:tcPr>
                <w:p>
                  <w:pPr>
                    <w:widowControl/>
                    <w:adjustRightInd w:val="0"/>
                    <w:snapToGrid w:val="0"/>
                    <w:spacing w:line="240" w:lineRule="exact"/>
                    <w:jc w:val="center"/>
                    <w:rPr>
                      <w:color w:val="auto"/>
                      <w:kern w:val="0"/>
                      <w:szCs w:val="21"/>
                    </w:rPr>
                  </w:pPr>
                  <w:r>
                    <w:rPr>
                      <w:color w:val="auto"/>
                      <w:kern w:val="0"/>
                      <w:szCs w:val="21"/>
                    </w:rPr>
                    <w:t>1</w:t>
                  </w:r>
                  <w:r>
                    <w:rPr>
                      <w:rFonts w:hint="eastAsia"/>
                      <w:color w:val="auto"/>
                      <w:kern w:val="0"/>
                      <w:szCs w:val="21"/>
                    </w:rPr>
                    <w:t>4</w:t>
                  </w:r>
                </w:p>
              </w:tc>
              <w:tc>
                <w:tcPr>
                  <w:tcW w:w="839" w:type="pct"/>
                  <w:vMerge w:val="continue"/>
                  <w:vAlign w:val="center"/>
                </w:tcPr>
                <w:p>
                  <w:pPr>
                    <w:adjustRightInd w:val="0"/>
                    <w:snapToGrid w:val="0"/>
                    <w:jc w:val="center"/>
                    <w:rPr>
                      <w:color w:val="auto"/>
                      <w:szCs w:val="21"/>
                    </w:rPr>
                  </w:pPr>
                </w:p>
              </w:tc>
              <w:tc>
                <w:tcPr>
                  <w:tcW w:w="997" w:type="pct"/>
                  <w:vMerge w:val="continue"/>
                  <w:vAlign w:val="center"/>
                </w:tcPr>
                <w:p>
                  <w:pPr>
                    <w:widowControl/>
                    <w:jc w:val="center"/>
                    <w:textAlignment w:val="center"/>
                    <w:rPr>
                      <w:color w:val="auto"/>
                      <w:szCs w:val="21"/>
                    </w:rPr>
                  </w:pPr>
                </w:p>
              </w:tc>
              <w:tc>
                <w:tcPr>
                  <w:tcW w:w="1329" w:type="pct"/>
                  <w:vAlign w:val="center"/>
                </w:tcPr>
                <w:p>
                  <w:pPr>
                    <w:widowControl/>
                    <w:jc w:val="center"/>
                    <w:textAlignment w:val="center"/>
                    <w:rPr>
                      <w:color w:val="auto"/>
                      <w:kern w:val="0"/>
                      <w:szCs w:val="21"/>
                      <w:lang w:bidi="ar"/>
                    </w:rPr>
                  </w:pPr>
                  <w:r>
                    <w:rPr>
                      <w:color w:val="auto"/>
                      <w:kern w:val="0"/>
                      <w:szCs w:val="21"/>
                      <w:lang w:bidi="ar"/>
                    </w:rPr>
                    <w:t>10吨行车</w:t>
                  </w:r>
                </w:p>
              </w:tc>
              <w:tc>
                <w:tcPr>
                  <w:tcW w:w="763" w:type="pct"/>
                  <w:vAlign w:val="center"/>
                </w:tcPr>
                <w:p>
                  <w:pPr>
                    <w:jc w:val="center"/>
                    <w:rPr>
                      <w:color w:val="auto"/>
                      <w:kern w:val="0"/>
                      <w:szCs w:val="21"/>
                    </w:rPr>
                  </w:pPr>
                  <w:r>
                    <w:rPr>
                      <w:color w:val="auto"/>
                      <w:kern w:val="0"/>
                      <w:szCs w:val="21"/>
                    </w:rPr>
                    <w:t>10千瓦型</w:t>
                  </w:r>
                </w:p>
              </w:tc>
              <w:tc>
                <w:tcPr>
                  <w:tcW w:w="745" w:type="pct"/>
                  <w:vAlign w:val="center"/>
                </w:tcPr>
                <w:p>
                  <w:pPr>
                    <w:widowControl/>
                    <w:jc w:val="center"/>
                    <w:textAlignment w:val="center"/>
                    <w:rPr>
                      <w:color w:val="auto"/>
                      <w:kern w:val="0"/>
                      <w:szCs w:val="21"/>
                      <w:lang w:bidi="ar"/>
                    </w:rPr>
                  </w:pPr>
                  <w:r>
                    <w:rPr>
                      <w:color w:val="auto"/>
                      <w:kern w:val="0"/>
                      <w:szCs w:val="21"/>
                      <w:lang w:bidi="ar"/>
                    </w:rPr>
                    <w:t>10</w:t>
                  </w:r>
                </w:p>
              </w:tc>
            </w:tr>
            <w:bookmarkEnd w:id="18"/>
          </w:tbl>
          <w:p>
            <w:pPr>
              <w:wordWrap w:val="0"/>
              <w:spacing w:line="360" w:lineRule="auto"/>
              <w:ind w:firstLine="482" w:firstLineChars="200"/>
              <w:rPr>
                <w:b/>
                <w:bCs/>
                <w:color w:val="auto"/>
                <w:sz w:val="24"/>
              </w:rPr>
            </w:pPr>
            <w:r>
              <w:rPr>
                <w:b/>
                <w:bCs/>
                <w:color w:val="auto"/>
                <w:sz w:val="24"/>
              </w:rPr>
              <w:t>7、平面布置及周围环境状况</w:t>
            </w:r>
          </w:p>
          <w:p>
            <w:pPr>
              <w:wordWrap w:val="0"/>
              <w:spacing w:line="360" w:lineRule="auto"/>
              <w:ind w:firstLine="480" w:firstLineChars="200"/>
              <w:rPr>
                <w:color w:val="auto"/>
                <w:sz w:val="24"/>
              </w:rPr>
            </w:pPr>
            <w:r>
              <w:rPr>
                <w:color w:val="auto"/>
                <w:sz w:val="24"/>
              </w:rPr>
              <w:t>①周边环境概况</w:t>
            </w:r>
          </w:p>
          <w:p>
            <w:pPr>
              <w:wordWrap w:val="0"/>
              <w:spacing w:line="360" w:lineRule="auto"/>
              <w:ind w:firstLine="480" w:firstLineChars="200"/>
              <w:rPr>
                <w:color w:val="auto"/>
                <w:sz w:val="24"/>
              </w:rPr>
            </w:pPr>
            <w:r>
              <w:rPr>
                <w:color w:val="auto"/>
                <w:sz w:val="24"/>
              </w:rPr>
              <w:t>本项目位于淮阴区古清口街道农科村淮三路168号（地理位置见附图1），根据现场勘查，项目</w:t>
            </w:r>
            <w:r>
              <w:rPr>
                <w:rFonts w:hint="eastAsia"/>
                <w:color w:val="auto"/>
                <w:sz w:val="24"/>
              </w:rPr>
              <w:t>北侧</w:t>
            </w:r>
            <w:r>
              <w:rPr>
                <w:bCs/>
                <w:color w:val="auto"/>
                <w:kern w:val="0"/>
                <w:sz w:val="24"/>
                <w:lang w:bidi="ar"/>
              </w:rPr>
              <w:t>长深高速，南侧为王三线，</w:t>
            </w:r>
            <w:r>
              <w:rPr>
                <w:rFonts w:hint="eastAsia"/>
                <w:bCs/>
                <w:color w:val="auto"/>
                <w:kern w:val="0"/>
                <w:sz w:val="24"/>
                <w:lang w:eastAsia="zh-CN" w:bidi="ar"/>
              </w:rPr>
              <w:t>西侧为农科村村委会，东侧为淮安昊瑞物流有限公司</w:t>
            </w:r>
            <w:r>
              <w:rPr>
                <w:color w:val="auto"/>
                <w:kern w:val="0"/>
                <w:sz w:val="24"/>
              </w:rPr>
              <w:t>，项目用地性质为工业用地</w:t>
            </w:r>
            <w:r>
              <w:rPr>
                <w:color w:val="auto"/>
                <w:sz w:val="24"/>
              </w:rPr>
              <w:t>。</w:t>
            </w:r>
            <w:bookmarkEnd w:id="13"/>
          </w:p>
          <w:p>
            <w:pPr>
              <w:wordWrap w:val="0"/>
              <w:spacing w:line="360" w:lineRule="auto"/>
              <w:ind w:firstLine="480" w:firstLineChars="200"/>
              <w:rPr>
                <w:color w:val="auto"/>
                <w:sz w:val="24"/>
              </w:rPr>
            </w:pPr>
            <w:r>
              <w:rPr>
                <w:color w:val="auto"/>
                <w:sz w:val="24"/>
              </w:rPr>
              <w:t>②厂区平面布置</w:t>
            </w:r>
          </w:p>
          <w:p>
            <w:pPr>
              <w:widowControl/>
              <w:adjustRightInd w:val="0"/>
              <w:snapToGrid w:val="0"/>
              <w:spacing w:line="360" w:lineRule="auto"/>
              <w:ind w:firstLine="480" w:firstLineChars="200"/>
              <w:jc w:val="left"/>
              <w:rPr>
                <w:color w:val="auto"/>
                <w:sz w:val="24"/>
              </w:rPr>
            </w:pPr>
            <w:r>
              <w:rPr>
                <w:color w:val="auto"/>
                <w:sz w:val="24"/>
              </w:rPr>
              <w:t>本项目</w:t>
            </w:r>
            <w:r>
              <w:rPr>
                <w:rFonts w:hint="eastAsia"/>
                <w:color w:val="auto"/>
                <w:sz w:val="24"/>
                <w:lang w:eastAsia="zh-CN"/>
              </w:rPr>
              <w:t>北面</w:t>
            </w:r>
            <w:r>
              <w:rPr>
                <w:color w:val="auto"/>
                <w:sz w:val="24"/>
              </w:rPr>
              <w:t>有</w:t>
            </w:r>
            <w:r>
              <w:rPr>
                <w:rFonts w:hint="eastAsia"/>
                <w:color w:val="auto"/>
                <w:sz w:val="24"/>
                <w:lang w:val="en-US" w:eastAsia="zh-CN"/>
              </w:rPr>
              <w:t>1</w:t>
            </w:r>
            <w:r>
              <w:rPr>
                <w:color w:val="auto"/>
                <w:sz w:val="24"/>
              </w:rPr>
              <w:t>座厂房</w:t>
            </w:r>
            <w:r>
              <w:rPr>
                <w:rFonts w:hint="eastAsia"/>
                <w:color w:val="auto"/>
                <w:sz w:val="24"/>
                <w:lang w:eastAsia="zh-CN"/>
              </w:rPr>
              <w:t>分</w:t>
            </w:r>
            <w:r>
              <w:rPr>
                <w:rFonts w:hint="eastAsia"/>
                <w:color w:val="auto"/>
                <w:sz w:val="24"/>
                <w:lang w:val="en-US" w:eastAsia="zh-CN"/>
              </w:rPr>
              <w:t>2个车间</w:t>
            </w:r>
            <w:r>
              <w:rPr>
                <w:color w:val="auto"/>
                <w:sz w:val="24"/>
              </w:rPr>
              <w:t>：</w:t>
            </w:r>
            <w:r>
              <w:rPr>
                <w:color w:val="auto"/>
                <w:kern w:val="0"/>
                <w:sz w:val="24"/>
                <w:szCs w:val="20"/>
              </w:rPr>
              <w:t>车间一用于下料、组装、抛丸、打磨等工序；车间二用于涂装、工序，</w:t>
            </w:r>
            <w:r>
              <w:rPr>
                <w:rFonts w:hint="eastAsia"/>
                <w:color w:val="auto"/>
                <w:kern w:val="0"/>
                <w:sz w:val="24"/>
                <w:szCs w:val="20"/>
                <w:lang w:eastAsia="zh-CN"/>
              </w:rPr>
              <w:t>南面为</w:t>
            </w:r>
            <w:r>
              <w:rPr>
                <w:color w:val="auto"/>
                <w:kern w:val="0"/>
                <w:sz w:val="24"/>
                <w:szCs w:val="20"/>
              </w:rPr>
              <w:t>成品区及原辅料区。</w:t>
            </w:r>
          </w:p>
          <w:p>
            <w:pPr>
              <w:wordWrap w:val="0"/>
              <w:spacing w:line="360" w:lineRule="auto"/>
              <w:ind w:firstLine="480" w:firstLineChars="200"/>
              <w:rPr>
                <w:color w:val="auto"/>
                <w:sz w:val="24"/>
              </w:rPr>
            </w:pPr>
            <w:r>
              <w:rPr>
                <w:color w:val="auto"/>
                <w:sz w:val="24"/>
              </w:rPr>
              <w:t>建设项目地理位置见</w:t>
            </w:r>
            <w:r>
              <w:rPr>
                <w:b/>
                <w:bCs/>
                <w:color w:val="auto"/>
                <w:sz w:val="24"/>
              </w:rPr>
              <w:t>附图1</w:t>
            </w:r>
            <w:r>
              <w:rPr>
                <w:color w:val="auto"/>
                <w:sz w:val="24"/>
              </w:rPr>
              <w:t>，周围500米概况见</w:t>
            </w:r>
            <w:r>
              <w:rPr>
                <w:b/>
                <w:bCs/>
                <w:color w:val="auto"/>
                <w:sz w:val="24"/>
              </w:rPr>
              <w:t>附图2</w:t>
            </w:r>
            <w:r>
              <w:rPr>
                <w:color w:val="auto"/>
                <w:sz w:val="24"/>
              </w:rPr>
              <w:t>，厂区平面布置见</w:t>
            </w:r>
            <w:r>
              <w:rPr>
                <w:b/>
                <w:bCs/>
                <w:color w:val="auto"/>
                <w:sz w:val="24"/>
              </w:rPr>
              <w:t>附图3</w:t>
            </w:r>
            <w:r>
              <w:rPr>
                <w:color w:val="auto"/>
                <w:sz w:val="24"/>
              </w:rPr>
              <w:t>。</w:t>
            </w:r>
          </w:p>
          <w:p>
            <w:pPr>
              <w:widowControl/>
              <w:numPr>
                <w:ilvl w:val="0"/>
                <w:numId w:val="2"/>
              </w:numPr>
              <w:spacing w:line="360" w:lineRule="auto"/>
              <w:ind w:firstLine="422" w:firstLineChars="175"/>
              <w:jc w:val="left"/>
              <w:rPr>
                <w:b/>
                <w:bCs/>
                <w:color w:val="auto"/>
                <w:sz w:val="24"/>
              </w:rPr>
            </w:pPr>
            <w:r>
              <w:rPr>
                <w:b/>
                <w:bCs/>
                <w:color w:val="auto"/>
                <w:sz w:val="24"/>
              </w:rPr>
              <w:t>物料平衡</w:t>
            </w:r>
          </w:p>
          <w:p>
            <w:pPr>
              <w:pStyle w:val="15"/>
              <w:widowControl/>
              <w:adjustRightInd w:val="0"/>
              <w:snapToGrid w:val="0"/>
              <w:spacing w:after="0" w:line="360" w:lineRule="auto"/>
              <w:ind w:firstLine="480" w:firstLineChars="200"/>
              <w:rPr>
                <w:color w:val="auto"/>
                <w:sz w:val="24"/>
                <w:szCs w:val="24"/>
              </w:rPr>
            </w:pPr>
            <w:r>
              <w:rPr>
                <w:color w:val="auto"/>
                <w:sz w:val="24"/>
                <w:szCs w:val="24"/>
              </w:rPr>
              <w:t>本项目使用喷枪喷涂，工作时喷涂距离为15～20cm，根据《涂装工艺与设备》（化学工业出版社），喷涂距离在15～20cm之间时，涂着效率约为70%～85%，本次评价取70%，即喷涂过程中漆料中的固份约为70%附着在部件表面上，30%固份在喷涂过程中损耗（20%形成漆雾，剩余10%的固体组分掉落形成漆渣）；参照《浙江省工业涂装工序挥发性有机物排放量计算暂行办法》，水性漆涂装时有机挥发分5%在喷涂中产生，95%在晾干中产生。</w:t>
            </w:r>
          </w:p>
          <w:p>
            <w:pPr>
              <w:adjustRightInd w:val="0"/>
              <w:snapToGrid w:val="0"/>
              <w:jc w:val="center"/>
              <w:rPr>
                <w:b/>
                <w:color w:val="auto"/>
                <w:sz w:val="24"/>
              </w:rPr>
            </w:pPr>
            <w:r>
              <w:rPr>
                <w:b/>
                <w:color w:val="auto"/>
                <w:sz w:val="24"/>
                <w:lang w:bidi="ar"/>
              </w:rPr>
              <w:t>表2</w:t>
            </w:r>
            <w:r>
              <w:rPr>
                <w:rFonts w:hint="eastAsia"/>
                <w:b/>
                <w:color w:val="auto"/>
                <w:sz w:val="24"/>
                <w:lang w:bidi="ar"/>
              </w:rPr>
              <w:t>.1-9</w:t>
            </w:r>
            <w:r>
              <w:rPr>
                <w:b/>
                <w:color w:val="auto"/>
                <w:sz w:val="24"/>
                <w:lang w:bidi="ar"/>
              </w:rPr>
              <w:t>本项目水性漆挥发分一览表</w:t>
            </w:r>
          </w:p>
          <w:tbl>
            <w:tblPr>
              <w:tblStyle w:val="21"/>
              <w:tblW w:w="5000" w:type="pct"/>
              <w:tblInd w:w="5"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738"/>
              <w:gridCol w:w="1125"/>
              <w:gridCol w:w="824"/>
              <w:gridCol w:w="1081"/>
              <w:gridCol w:w="1017"/>
              <w:gridCol w:w="720"/>
              <w:gridCol w:w="299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25" w:type="pct"/>
                  <w:tcBorders>
                    <w:tl2br w:val="nil"/>
                    <w:tr2bl w:val="nil"/>
                  </w:tcBorders>
                  <w:shd w:val="clear" w:color="auto" w:fill="auto"/>
                  <w:vAlign w:val="center"/>
                </w:tcPr>
                <w:p>
                  <w:pPr>
                    <w:pStyle w:val="13"/>
                    <w:tabs>
                      <w:tab w:val="left" w:pos="2830"/>
                    </w:tabs>
                    <w:jc w:val="center"/>
                    <w:rPr>
                      <w:rFonts w:ascii="Times New Roman" w:hAnsi="Times New Roman"/>
                      <w:b/>
                      <w:bCs/>
                      <w:color w:val="auto"/>
                      <w:sz w:val="21"/>
                      <w:szCs w:val="21"/>
                    </w:rPr>
                  </w:pPr>
                  <w:r>
                    <w:rPr>
                      <w:rFonts w:ascii="Times New Roman" w:hAnsi="Times New Roman"/>
                      <w:b/>
                      <w:bCs/>
                      <w:color w:val="auto"/>
                      <w:sz w:val="21"/>
                      <w:szCs w:val="21"/>
                    </w:rPr>
                    <w:t>工序</w:t>
                  </w:r>
                </w:p>
              </w:tc>
              <w:tc>
                <w:tcPr>
                  <w:tcW w:w="397" w:type="pct"/>
                  <w:tcBorders>
                    <w:tl2br w:val="nil"/>
                    <w:tr2bl w:val="nil"/>
                  </w:tcBorders>
                  <w:shd w:val="clear" w:color="auto" w:fill="auto"/>
                  <w:vAlign w:val="center"/>
                </w:tcPr>
                <w:p>
                  <w:pPr>
                    <w:pStyle w:val="13"/>
                    <w:tabs>
                      <w:tab w:val="left" w:pos="2830"/>
                    </w:tabs>
                    <w:jc w:val="center"/>
                    <w:rPr>
                      <w:rFonts w:ascii="Times New Roman" w:hAnsi="Times New Roman"/>
                      <w:b/>
                      <w:bCs/>
                      <w:color w:val="auto"/>
                      <w:sz w:val="21"/>
                      <w:szCs w:val="21"/>
                    </w:rPr>
                  </w:pPr>
                  <w:r>
                    <w:rPr>
                      <w:rFonts w:ascii="Times New Roman" w:hAnsi="Times New Roman"/>
                      <w:b/>
                      <w:bCs/>
                      <w:color w:val="auto"/>
                      <w:sz w:val="21"/>
                      <w:szCs w:val="21"/>
                    </w:rPr>
                    <w:t>物料</w:t>
                  </w:r>
                </w:p>
              </w:tc>
              <w:tc>
                <w:tcPr>
                  <w:tcW w:w="605" w:type="pct"/>
                  <w:tcBorders>
                    <w:tl2br w:val="nil"/>
                    <w:tr2bl w:val="nil"/>
                  </w:tcBorders>
                  <w:shd w:val="clear" w:color="auto" w:fill="auto"/>
                  <w:vAlign w:val="center"/>
                </w:tcPr>
                <w:p>
                  <w:pPr>
                    <w:pStyle w:val="13"/>
                    <w:tabs>
                      <w:tab w:val="left" w:pos="2830"/>
                    </w:tabs>
                    <w:jc w:val="center"/>
                    <w:rPr>
                      <w:rFonts w:ascii="Times New Roman" w:hAnsi="Times New Roman"/>
                      <w:b/>
                      <w:bCs/>
                      <w:color w:val="auto"/>
                      <w:sz w:val="21"/>
                      <w:szCs w:val="21"/>
                    </w:rPr>
                  </w:pPr>
                  <w:r>
                    <w:rPr>
                      <w:rFonts w:ascii="Times New Roman" w:hAnsi="Times New Roman"/>
                      <w:b/>
                      <w:bCs/>
                      <w:color w:val="auto"/>
                      <w:sz w:val="21"/>
                      <w:szCs w:val="21"/>
                    </w:rPr>
                    <w:t>密度</w:t>
                  </w:r>
                </w:p>
              </w:tc>
              <w:tc>
                <w:tcPr>
                  <w:tcW w:w="443" w:type="pct"/>
                  <w:tcBorders>
                    <w:tl2br w:val="nil"/>
                    <w:tr2bl w:val="nil"/>
                  </w:tcBorders>
                  <w:shd w:val="clear" w:color="auto" w:fill="auto"/>
                  <w:vAlign w:val="center"/>
                </w:tcPr>
                <w:p>
                  <w:pPr>
                    <w:pStyle w:val="13"/>
                    <w:tabs>
                      <w:tab w:val="left" w:pos="2830"/>
                    </w:tabs>
                    <w:jc w:val="center"/>
                    <w:rPr>
                      <w:rFonts w:ascii="Times New Roman" w:hAnsi="Times New Roman"/>
                      <w:b/>
                      <w:bCs/>
                      <w:color w:val="auto"/>
                      <w:sz w:val="21"/>
                      <w:szCs w:val="21"/>
                    </w:rPr>
                  </w:pPr>
                  <w:r>
                    <w:rPr>
                      <w:rFonts w:ascii="Times New Roman" w:hAnsi="Times New Roman"/>
                      <w:b/>
                      <w:bCs/>
                      <w:color w:val="auto"/>
                      <w:sz w:val="21"/>
                      <w:szCs w:val="21"/>
                    </w:rPr>
                    <w:t>使用量</w:t>
                  </w:r>
                </w:p>
              </w:tc>
              <w:tc>
                <w:tcPr>
                  <w:tcW w:w="581" w:type="pct"/>
                  <w:tcBorders>
                    <w:tl2br w:val="nil"/>
                    <w:tr2bl w:val="nil"/>
                  </w:tcBorders>
                  <w:shd w:val="clear" w:color="auto" w:fill="auto"/>
                  <w:vAlign w:val="center"/>
                </w:tcPr>
                <w:p>
                  <w:pPr>
                    <w:pStyle w:val="13"/>
                    <w:tabs>
                      <w:tab w:val="left" w:pos="2830"/>
                    </w:tabs>
                    <w:jc w:val="center"/>
                    <w:rPr>
                      <w:rFonts w:ascii="Times New Roman" w:hAnsi="Times New Roman"/>
                      <w:b/>
                      <w:bCs/>
                      <w:color w:val="auto"/>
                      <w:sz w:val="21"/>
                      <w:szCs w:val="21"/>
                    </w:rPr>
                  </w:pPr>
                  <w:r>
                    <w:rPr>
                      <w:rFonts w:ascii="Times New Roman" w:hAnsi="Times New Roman"/>
                      <w:b/>
                      <w:bCs/>
                      <w:color w:val="auto"/>
                      <w:sz w:val="21"/>
                      <w:szCs w:val="21"/>
                    </w:rPr>
                    <w:t>挥发性有机物种类</w:t>
                  </w:r>
                </w:p>
              </w:tc>
              <w:tc>
                <w:tcPr>
                  <w:tcW w:w="547" w:type="pct"/>
                  <w:tcBorders>
                    <w:tl2br w:val="nil"/>
                    <w:tr2bl w:val="nil"/>
                  </w:tcBorders>
                  <w:shd w:val="clear" w:color="auto" w:fill="auto"/>
                  <w:vAlign w:val="center"/>
                </w:tcPr>
                <w:p>
                  <w:pPr>
                    <w:pStyle w:val="13"/>
                    <w:tabs>
                      <w:tab w:val="left" w:pos="2830"/>
                    </w:tabs>
                    <w:jc w:val="center"/>
                    <w:rPr>
                      <w:rFonts w:ascii="Times New Roman" w:hAnsi="Times New Roman"/>
                      <w:b/>
                      <w:bCs/>
                      <w:color w:val="auto"/>
                      <w:sz w:val="21"/>
                      <w:szCs w:val="21"/>
                    </w:rPr>
                  </w:pPr>
                  <w:r>
                    <w:rPr>
                      <w:rFonts w:ascii="Times New Roman" w:hAnsi="Times New Roman"/>
                      <w:b/>
                      <w:bCs/>
                      <w:color w:val="auto"/>
                      <w:sz w:val="21"/>
                      <w:szCs w:val="21"/>
                    </w:rPr>
                    <w:t>VOC含量比例</w:t>
                  </w:r>
                </w:p>
              </w:tc>
              <w:tc>
                <w:tcPr>
                  <w:tcW w:w="387" w:type="pct"/>
                  <w:tcBorders>
                    <w:tl2br w:val="nil"/>
                    <w:tr2bl w:val="nil"/>
                  </w:tcBorders>
                  <w:shd w:val="clear" w:color="auto" w:fill="auto"/>
                  <w:vAlign w:val="center"/>
                </w:tcPr>
                <w:p>
                  <w:pPr>
                    <w:pStyle w:val="13"/>
                    <w:tabs>
                      <w:tab w:val="left" w:pos="2830"/>
                    </w:tabs>
                    <w:jc w:val="center"/>
                    <w:rPr>
                      <w:rFonts w:ascii="Times New Roman" w:hAnsi="Times New Roman"/>
                      <w:b/>
                      <w:bCs/>
                      <w:color w:val="auto"/>
                      <w:sz w:val="21"/>
                      <w:szCs w:val="21"/>
                    </w:rPr>
                  </w:pPr>
                  <w:r>
                    <w:rPr>
                      <w:rFonts w:ascii="Times New Roman" w:hAnsi="Times New Roman"/>
                      <w:b/>
                      <w:bCs/>
                      <w:color w:val="auto"/>
                      <w:sz w:val="21"/>
                      <w:szCs w:val="21"/>
                    </w:rPr>
                    <w:t>含量</w:t>
                  </w:r>
                </w:p>
              </w:tc>
              <w:tc>
                <w:tcPr>
                  <w:tcW w:w="1611" w:type="pct"/>
                  <w:tcBorders>
                    <w:tl2br w:val="nil"/>
                    <w:tr2bl w:val="nil"/>
                  </w:tcBorders>
                  <w:shd w:val="clear" w:color="auto" w:fill="auto"/>
                  <w:vAlign w:val="center"/>
                </w:tcPr>
                <w:p>
                  <w:pPr>
                    <w:pStyle w:val="13"/>
                    <w:tabs>
                      <w:tab w:val="left" w:pos="2830"/>
                    </w:tabs>
                    <w:jc w:val="center"/>
                    <w:rPr>
                      <w:rFonts w:ascii="Times New Roman" w:hAnsi="Times New Roman"/>
                      <w:b/>
                      <w:bCs/>
                      <w:color w:val="auto"/>
                      <w:sz w:val="21"/>
                      <w:szCs w:val="21"/>
                    </w:rPr>
                  </w:pPr>
                  <w:r>
                    <w:rPr>
                      <w:rFonts w:ascii="Times New Roman" w:hAnsi="Times New Roman"/>
                      <w:b/>
                      <w:bCs/>
                      <w:color w:val="auto"/>
                      <w:sz w:val="21"/>
                      <w:szCs w:val="21"/>
                    </w:rPr>
                    <w:t>备注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099" w:hRule="atLeast"/>
              </w:trPr>
              <w:tc>
                <w:tcPr>
                  <w:tcW w:w="425" w:type="pct"/>
                  <w:tcBorders>
                    <w:tl2br w:val="nil"/>
                    <w:tr2bl w:val="nil"/>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喷漆、晾干废气</w:t>
                  </w:r>
                </w:p>
              </w:tc>
              <w:tc>
                <w:tcPr>
                  <w:tcW w:w="397" w:type="pct"/>
                  <w:tcBorders>
                    <w:tl2br w:val="nil"/>
                    <w:tr2bl w:val="nil"/>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水性漆</w:t>
                  </w:r>
                </w:p>
              </w:tc>
              <w:tc>
                <w:tcPr>
                  <w:tcW w:w="605" w:type="pct"/>
                  <w:tcBorders>
                    <w:tl2br w:val="nil"/>
                    <w:tr2bl w:val="nil"/>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1.</w:t>
                  </w:r>
                  <w:r>
                    <w:rPr>
                      <w:rFonts w:hint="eastAsia" w:ascii="Times New Roman" w:hAnsi="Times New Roman"/>
                      <w:color w:val="auto"/>
                      <w:sz w:val="21"/>
                      <w:szCs w:val="21"/>
                    </w:rPr>
                    <w:t>2</w:t>
                  </w:r>
                  <w:r>
                    <w:rPr>
                      <w:rFonts w:ascii="Times New Roman" w:hAnsi="Times New Roman"/>
                      <w:color w:val="auto"/>
                      <w:sz w:val="21"/>
                      <w:szCs w:val="21"/>
                    </w:rPr>
                    <w:t>（g/cm</w:t>
                  </w:r>
                  <w:r>
                    <w:rPr>
                      <w:rFonts w:ascii="Times New Roman" w:hAnsi="Times New Roman"/>
                      <w:color w:val="auto"/>
                      <w:sz w:val="21"/>
                      <w:szCs w:val="21"/>
                      <w:vertAlign w:val="superscript"/>
                    </w:rPr>
                    <w:t>3</w:t>
                  </w:r>
                  <w:r>
                    <w:rPr>
                      <w:rFonts w:ascii="Times New Roman" w:hAnsi="Times New Roman"/>
                      <w:color w:val="auto"/>
                      <w:sz w:val="21"/>
                      <w:szCs w:val="21"/>
                    </w:rPr>
                    <w:t>）</w:t>
                  </w:r>
                </w:p>
              </w:tc>
              <w:tc>
                <w:tcPr>
                  <w:tcW w:w="443" w:type="pct"/>
                  <w:tcBorders>
                    <w:tl2br w:val="nil"/>
                    <w:tr2bl w:val="nil"/>
                  </w:tcBorders>
                  <w:shd w:val="clear" w:color="auto" w:fill="auto"/>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lang w:val="en-US" w:eastAsia="zh-CN"/>
                    </w:rPr>
                    <w:t>40</w:t>
                  </w:r>
                  <w:r>
                    <w:rPr>
                      <w:rFonts w:ascii="Times New Roman" w:hAnsi="Times New Roman"/>
                      <w:color w:val="auto"/>
                      <w:sz w:val="21"/>
                      <w:szCs w:val="21"/>
                    </w:rPr>
                    <w:t>t/a</w:t>
                  </w:r>
                </w:p>
              </w:tc>
              <w:tc>
                <w:tcPr>
                  <w:tcW w:w="581" w:type="pct"/>
                  <w:tcBorders>
                    <w:tl2br w:val="nil"/>
                    <w:tr2bl w:val="nil"/>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非甲烷总烃</w:t>
                  </w:r>
                </w:p>
              </w:tc>
              <w:tc>
                <w:tcPr>
                  <w:tcW w:w="547" w:type="pct"/>
                  <w:tcBorders>
                    <w:tl2br w:val="nil"/>
                    <w:tr2bl w:val="nil"/>
                  </w:tcBorders>
                  <w:shd w:val="clear" w:color="auto" w:fill="auto"/>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lang w:val="en-US" w:eastAsia="zh-CN"/>
                    </w:rPr>
                    <w:t>63g/L</w:t>
                  </w:r>
                </w:p>
              </w:tc>
              <w:tc>
                <w:tcPr>
                  <w:tcW w:w="387" w:type="pct"/>
                  <w:tcBorders>
                    <w:tl2br w:val="nil"/>
                    <w:tr2bl w:val="nil"/>
                  </w:tcBorders>
                  <w:shd w:val="clear" w:color="auto" w:fill="auto"/>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lang w:val="en-US" w:eastAsia="zh-CN"/>
                    </w:rPr>
                    <w:t>2.1</w:t>
                  </w:r>
                  <w:r>
                    <w:rPr>
                      <w:rFonts w:ascii="Times New Roman" w:hAnsi="Times New Roman"/>
                      <w:color w:val="auto"/>
                      <w:sz w:val="21"/>
                      <w:szCs w:val="21"/>
                    </w:rPr>
                    <w:t>t/a</w:t>
                  </w:r>
                </w:p>
              </w:tc>
              <w:tc>
                <w:tcPr>
                  <w:tcW w:w="1611" w:type="pct"/>
                  <w:tcBorders>
                    <w:tl2br w:val="nil"/>
                    <w:tr2bl w:val="nil"/>
                  </w:tcBorders>
                  <w:shd w:val="clear" w:color="auto" w:fill="auto"/>
                  <w:vAlign w:val="center"/>
                </w:tcPr>
                <w:p>
                  <w:pPr>
                    <w:keepNext w:val="0"/>
                    <w:keepLines w:val="0"/>
                    <w:widowControl/>
                    <w:suppressLineNumbers w:val="0"/>
                    <w:jc w:val="both"/>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本项目VOCs的报告63</w:t>
                  </w:r>
                  <w:r>
                    <w:rPr>
                      <w:rFonts w:ascii="Times New Roman" w:hAnsi="Times New Roman" w:eastAsia="宋体" w:cs="Times New Roman"/>
                      <w:color w:val="auto"/>
                      <w:kern w:val="0"/>
                      <w:sz w:val="21"/>
                      <w:szCs w:val="21"/>
                      <w:lang w:val="en-US" w:eastAsia="zh-CN" w:bidi="ar-SA"/>
                    </w:rPr>
                    <w:t>g/L</w:t>
                  </w:r>
                  <w:r>
                    <w:rPr>
                      <w:rFonts w:hint="eastAsia" w:ascii="Times New Roman" w:hAnsi="Times New Roman" w:eastAsia="宋体" w:cs="Times New Roman"/>
                      <w:color w:val="auto"/>
                      <w:kern w:val="0"/>
                      <w:sz w:val="21"/>
                      <w:szCs w:val="21"/>
                      <w:lang w:val="en-US" w:eastAsia="zh-CN" w:bidi="ar-SA"/>
                    </w:rPr>
                    <w:t>，</w:t>
                  </w:r>
                  <w:r>
                    <w:rPr>
                      <w:rFonts w:ascii="Times New Roman" w:hAnsi="Times New Roman" w:eastAsia="宋体" w:cs="Times New Roman"/>
                      <w:color w:val="auto"/>
                      <w:kern w:val="0"/>
                      <w:sz w:val="21"/>
                      <w:szCs w:val="21"/>
                      <w:lang w:val="en-US" w:eastAsia="zh-CN" w:bidi="ar-SA"/>
                    </w:rPr>
                    <w:t>采用MSDS检测含量作为项目水性</w:t>
                  </w:r>
                  <w:r>
                    <w:rPr>
                      <w:rFonts w:hint="eastAsia" w:ascii="Times New Roman" w:hAnsi="Times New Roman" w:eastAsia="宋体" w:cs="Times New Roman"/>
                      <w:color w:val="auto"/>
                      <w:kern w:val="0"/>
                      <w:sz w:val="21"/>
                      <w:szCs w:val="21"/>
                      <w:lang w:val="en-US" w:eastAsia="zh-CN" w:bidi="ar-SA"/>
                    </w:rPr>
                    <w:t>漆VOC</w:t>
                  </w:r>
                  <w:r>
                    <w:rPr>
                      <w:rFonts w:hint="eastAsia" w:ascii="Times New Roman" w:hAnsi="Times New Roman" w:eastAsia="宋体" w:cs="Times New Roman"/>
                      <w:color w:val="auto"/>
                      <w:kern w:val="0"/>
                      <w:sz w:val="21"/>
                      <w:szCs w:val="21"/>
                      <w:vertAlign w:val="subscript"/>
                      <w:lang w:val="en-US" w:eastAsia="zh-CN" w:bidi="ar-SA"/>
                    </w:rPr>
                    <w:t>S</w:t>
                  </w:r>
                  <w:r>
                    <w:rPr>
                      <w:rFonts w:hint="eastAsia" w:ascii="Times New Roman" w:hAnsi="Times New Roman" w:eastAsia="宋体" w:cs="Times New Roman"/>
                      <w:color w:val="auto"/>
                      <w:kern w:val="0"/>
                      <w:sz w:val="21"/>
                      <w:szCs w:val="21"/>
                      <w:lang w:val="en-US" w:eastAsia="zh-CN" w:bidi="ar-SA"/>
                    </w:rPr>
                    <w:t>含量进行计算。</w:t>
                  </w:r>
                </w:p>
              </w:tc>
            </w:tr>
          </w:tbl>
          <w:p>
            <w:pPr>
              <w:adjustRightInd w:val="0"/>
              <w:snapToGrid w:val="0"/>
              <w:jc w:val="center"/>
              <w:rPr>
                <w:b/>
                <w:color w:val="auto"/>
                <w:sz w:val="24"/>
              </w:rPr>
            </w:pPr>
            <w:r>
              <w:rPr>
                <w:b/>
                <w:color w:val="auto"/>
                <w:sz w:val="24"/>
                <w:lang w:bidi="ar"/>
              </w:rPr>
              <w:t>表2</w:t>
            </w:r>
            <w:r>
              <w:rPr>
                <w:rFonts w:hint="eastAsia"/>
                <w:b/>
                <w:color w:val="auto"/>
                <w:sz w:val="24"/>
                <w:lang w:bidi="ar"/>
              </w:rPr>
              <w:t>.1-10</w:t>
            </w:r>
            <w:r>
              <w:rPr>
                <w:b/>
                <w:color w:val="auto"/>
                <w:sz w:val="24"/>
                <w:lang w:bidi="ar"/>
              </w:rPr>
              <w:t xml:space="preserve">  喷漆物料平衡表</w:t>
            </w:r>
          </w:p>
          <w:tbl>
            <w:tblPr>
              <w:tblStyle w:val="21"/>
              <w:tblW w:w="4996" w:type="pct"/>
              <w:jc w:val="center"/>
              <w:tblBorders>
                <w:top w:val="single" w:color="auto" w:sz="12" w:space="0"/>
                <w:left w:val="none" w:color="auto" w:sz="4" w:space="0"/>
                <w:bottom w:val="single" w:color="auto" w:sz="12" w:space="0"/>
                <w:right w:val="non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7"/>
              <w:gridCol w:w="1137"/>
              <w:gridCol w:w="1220"/>
              <w:gridCol w:w="1742"/>
              <w:gridCol w:w="1744"/>
              <w:gridCol w:w="2105"/>
            </w:tblGrid>
            <w:tr>
              <w:tblPrEx>
                <w:tblBorders>
                  <w:top w:val="single" w:color="auto" w:sz="12" w:space="0"/>
                  <w:left w:val="none" w:color="auto" w:sz="4" w:space="0"/>
                  <w:bottom w:val="single" w:color="auto" w:sz="12" w:space="0"/>
                  <w:right w:val="non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9" w:type="pct"/>
                  <w:gridSpan w:val="3"/>
                  <w:tcBorders>
                    <w:top w:val="single" w:color="auto" w:sz="12" w:space="0"/>
                    <w:left w:val="nil"/>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b/>
                      <w:bCs/>
                      <w:color w:val="auto"/>
                      <w:sz w:val="21"/>
                      <w:szCs w:val="21"/>
                    </w:rPr>
                  </w:pPr>
                  <w:bookmarkStart w:id="23" w:name="_Hlk182323828"/>
                  <w:r>
                    <w:rPr>
                      <w:rFonts w:ascii="Times New Roman" w:hAnsi="Times New Roman"/>
                      <w:b/>
                      <w:bCs/>
                      <w:color w:val="auto"/>
                      <w:sz w:val="21"/>
                      <w:szCs w:val="21"/>
                    </w:rPr>
                    <w:t>入方</w:t>
                  </w:r>
                </w:p>
              </w:tc>
              <w:tc>
                <w:tcPr>
                  <w:tcW w:w="3010" w:type="pct"/>
                  <w:gridSpan w:val="3"/>
                  <w:tcBorders>
                    <w:top w:val="single" w:color="auto" w:sz="12" w:space="0"/>
                    <w:left w:val="single" w:color="auto" w:sz="4" w:space="0"/>
                    <w:bottom w:val="single" w:color="auto" w:sz="4" w:space="0"/>
                    <w:right w:val="nil"/>
                  </w:tcBorders>
                  <w:shd w:val="clear" w:color="auto" w:fill="auto"/>
                  <w:vAlign w:val="center"/>
                </w:tcPr>
                <w:p>
                  <w:pPr>
                    <w:pStyle w:val="13"/>
                    <w:tabs>
                      <w:tab w:val="left" w:pos="2830"/>
                    </w:tabs>
                    <w:jc w:val="center"/>
                    <w:rPr>
                      <w:rFonts w:ascii="Times New Roman" w:hAnsi="Times New Roman"/>
                      <w:b/>
                      <w:bCs/>
                      <w:color w:val="auto"/>
                      <w:sz w:val="21"/>
                      <w:szCs w:val="21"/>
                    </w:rPr>
                  </w:pPr>
                  <w:r>
                    <w:rPr>
                      <w:rFonts w:ascii="Times New Roman" w:hAnsi="Times New Roman"/>
                      <w:b/>
                      <w:bCs/>
                      <w:color w:val="auto"/>
                      <w:sz w:val="21"/>
                      <w:szCs w:val="21"/>
                    </w:rPr>
                    <w:t>出方</w:t>
                  </w:r>
                </w:p>
              </w:tc>
            </w:tr>
            <w:tr>
              <w:tblPrEx>
                <w:tblBorders>
                  <w:top w:val="single" w:color="auto" w:sz="12" w:space="0"/>
                  <w:left w:val="none" w:color="auto" w:sz="4" w:space="0"/>
                  <w:bottom w:val="single" w:color="auto" w:sz="12" w:space="0"/>
                  <w:right w:val="non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pct"/>
                  <w:tcBorders>
                    <w:top w:val="single" w:color="auto" w:sz="4" w:space="0"/>
                    <w:left w:val="nil"/>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原料</w:t>
                  </w:r>
                </w:p>
              </w:tc>
              <w:tc>
                <w:tcPr>
                  <w:tcW w:w="126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主要成分</w:t>
                  </w:r>
                </w:p>
              </w:tc>
              <w:tc>
                <w:tcPr>
                  <w:tcW w:w="187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种类</w:t>
                  </w:r>
                </w:p>
              </w:tc>
              <w:tc>
                <w:tcPr>
                  <w:tcW w:w="1133" w:type="pct"/>
                  <w:tcBorders>
                    <w:top w:val="single" w:color="auto" w:sz="4" w:space="0"/>
                    <w:left w:val="single" w:color="auto" w:sz="4" w:space="0"/>
                    <w:bottom w:val="single" w:color="auto" w:sz="4" w:space="0"/>
                    <w:right w:val="nil"/>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数量/t</w:t>
                  </w:r>
                </w:p>
              </w:tc>
            </w:tr>
            <w:tr>
              <w:tblPrEx>
                <w:tblBorders>
                  <w:top w:val="single" w:color="auto" w:sz="12" w:space="0"/>
                  <w:left w:val="none" w:color="auto" w:sz="4" w:space="0"/>
                  <w:bottom w:val="single" w:color="auto" w:sz="12" w:space="0"/>
                  <w:right w:val="non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20" w:type="pct"/>
                  <w:vMerge w:val="restart"/>
                  <w:tcBorders>
                    <w:top w:val="single" w:color="auto" w:sz="4" w:space="0"/>
                    <w:left w:val="nil"/>
                    <w:right w:val="single" w:color="auto" w:sz="4" w:space="0"/>
                  </w:tcBorders>
                  <w:shd w:val="clear" w:color="auto" w:fill="auto"/>
                  <w:vAlign w:val="center"/>
                </w:tcPr>
                <w:p>
                  <w:pPr>
                    <w:pStyle w:val="13"/>
                    <w:tabs>
                      <w:tab w:val="left" w:pos="2830"/>
                    </w:tabs>
                    <w:jc w:val="center"/>
                    <w:rPr>
                      <w:rFonts w:hint="default" w:ascii="Times New Roman" w:hAnsi="Times New Roman" w:eastAsia="宋体"/>
                      <w:color w:val="auto"/>
                      <w:sz w:val="21"/>
                      <w:szCs w:val="21"/>
                      <w:lang w:val="en-US" w:eastAsia="zh-CN"/>
                    </w:rPr>
                  </w:pPr>
                  <w:r>
                    <w:rPr>
                      <w:rFonts w:ascii="Times New Roman" w:hAnsi="Times New Roman"/>
                      <w:color w:val="auto"/>
                      <w:sz w:val="21"/>
                      <w:szCs w:val="21"/>
                    </w:rPr>
                    <w:t>水性底漆</w:t>
                  </w:r>
                  <w:r>
                    <w:rPr>
                      <w:rFonts w:hint="eastAsia" w:ascii="Times New Roman" w:hAnsi="Times New Roman"/>
                      <w:color w:val="auto"/>
                      <w:sz w:val="21"/>
                      <w:szCs w:val="21"/>
                      <w:lang w:val="en-US" w:eastAsia="zh-CN"/>
                    </w:rPr>
                    <w:t>40t</w:t>
                  </w:r>
                </w:p>
              </w:tc>
              <w:tc>
                <w:tcPr>
                  <w:tcW w:w="61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固体分</w:t>
                  </w:r>
                </w:p>
              </w:tc>
              <w:tc>
                <w:tcPr>
                  <w:tcW w:w="65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lang w:val="en-US" w:eastAsia="zh-CN"/>
                    </w:rPr>
                    <w:t>26.9</w:t>
                  </w:r>
                  <w:r>
                    <w:rPr>
                      <w:rFonts w:ascii="Times New Roman" w:hAnsi="Times New Roman"/>
                      <w:color w:val="auto"/>
                      <w:sz w:val="21"/>
                      <w:szCs w:val="21"/>
                    </w:rPr>
                    <w:t>t</w:t>
                  </w:r>
                </w:p>
              </w:tc>
              <w:tc>
                <w:tcPr>
                  <w:tcW w:w="187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进入产品</w:t>
                  </w:r>
                </w:p>
              </w:tc>
              <w:tc>
                <w:tcPr>
                  <w:tcW w:w="1133" w:type="pct"/>
                  <w:tcBorders>
                    <w:top w:val="single" w:color="auto" w:sz="4" w:space="0"/>
                    <w:left w:val="single" w:color="auto" w:sz="4" w:space="0"/>
                    <w:bottom w:val="single" w:color="auto" w:sz="4" w:space="0"/>
                    <w:right w:val="nil"/>
                  </w:tcBorders>
                  <w:shd w:val="clear" w:color="auto" w:fill="auto"/>
                  <w:vAlign w:val="center"/>
                </w:tcPr>
                <w:p>
                  <w:pPr>
                    <w:pStyle w:val="13"/>
                    <w:tabs>
                      <w:tab w:val="left" w:pos="2830"/>
                    </w:tabs>
                    <w:jc w:val="center"/>
                    <w:rPr>
                      <w:rFonts w:hint="default"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18.83</w:t>
                  </w:r>
                </w:p>
              </w:tc>
            </w:tr>
            <w:tr>
              <w:tblPrEx>
                <w:tblBorders>
                  <w:top w:val="single" w:color="auto" w:sz="12" w:space="0"/>
                  <w:left w:val="none" w:color="auto" w:sz="4" w:space="0"/>
                  <w:bottom w:val="single" w:color="auto" w:sz="12" w:space="0"/>
                  <w:right w:val="non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pct"/>
                  <w:vMerge w:val="continue"/>
                  <w:tcBorders>
                    <w:left w:val="nil"/>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p>
              </w:tc>
              <w:tc>
                <w:tcPr>
                  <w:tcW w:w="612"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p>
              </w:tc>
              <w:tc>
                <w:tcPr>
                  <w:tcW w:w="65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p>
              </w:tc>
              <w:tc>
                <w:tcPr>
                  <w:tcW w:w="187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hint="default" w:ascii="Times New Roman" w:hAnsi="Times New Roman" w:eastAsia="宋体"/>
                      <w:color w:val="auto"/>
                      <w:sz w:val="21"/>
                      <w:szCs w:val="21"/>
                      <w:lang w:val="en-US" w:eastAsia="zh-CN"/>
                    </w:rPr>
                  </w:pPr>
                  <w:r>
                    <w:rPr>
                      <w:rFonts w:ascii="Times New Roman" w:hAnsi="Times New Roman"/>
                      <w:color w:val="auto"/>
                      <w:sz w:val="21"/>
                      <w:szCs w:val="21"/>
                    </w:rPr>
                    <w:t>漆渣</w:t>
                  </w:r>
                </w:p>
              </w:tc>
              <w:tc>
                <w:tcPr>
                  <w:tcW w:w="1133" w:type="pct"/>
                  <w:tcBorders>
                    <w:top w:val="single" w:color="auto" w:sz="4" w:space="0"/>
                    <w:left w:val="single" w:color="auto" w:sz="4" w:space="0"/>
                    <w:bottom w:val="single" w:color="auto" w:sz="4" w:space="0"/>
                    <w:right w:val="nil"/>
                  </w:tcBorders>
                  <w:shd w:val="clear" w:color="auto" w:fill="auto"/>
                  <w:vAlign w:val="center"/>
                </w:tcPr>
                <w:p>
                  <w:pPr>
                    <w:pStyle w:val="13"/>
                    <w:tabs>
                      <w:tab w:val="left" w:pos="2830"/>
                    </w:tabs>
                    <w:jc w:val="center"/>
                    <w:rPr>
                      <w:rFonts w:hint="default"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2.69</w:t>
                  </w:r>
                </w:p>
              </w:tc>
            </w:tr>
            <w:tr>
              <w:tblPrEx>
                <w:tblBorders>
                  <w:top w:val="single" w:color="auto" w:sz="12" w:space="0"/>
                  <w:left w:val="none" w:color="auto" w:sz="4" w:space="0"/>
                  <w:bottom w:val="single" w:color="auto" w:sz="12" w:space="0"/>
                  <w:right w:val="non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jc w:val="center"/>
              </w:trPr>
              <w:tc>
                <w:tcPr>
                  <w:tcW w:w="720" w:type="pct"/>
                  <w:vMerge w:val="continue"/>
                  <w:tcBorders>
                    <w:left w:val="nil"/>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p>
              </w:tc>
              <w:tc>
                <w:tcPr>
                  <w:tcW w:w="612"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p>
              </w:tc>
              <w:tc>
                <w:tcPr>
                  <w:tcW w:w="65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p>
              </w:tc>
              <w:tc>
                <w:tcPr>
                  <w:tcW w:w="93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hint="default" w:ascii="Times New Roman" w:hAnsi="Times New Roman" w:eastAsia="宋体"/>
                      <w:color w:val="auto"/>
                      <w:sz w:val="21"/>
                      <w:szCs w:val="21"/>
                      <w:lang w:val="en-US" w:eastAsia="zh-CN"/>
                    </w:rPr>
                  </w:pPr>
                  <w:r>
                    <w:rPr>
                      <w:rFonts w:ascii="Times New Roman" w:hAnsi="Times New Roman"/>
                      <w:color w:val="auto"/>
                      <w:sz w:val="21"/>
                      <w:szCs w:val="21"/>
                    </w:rPr>
                    <w:t>颗粒物</w:t>
                  </w:r>
                  <w:r>
                    <w:rPr>
                      <w:rFonts w:hint="eastAsia" w:ascii="Times New Roman" w:hAnsi="Times New Roman"/>
                      <w:color w:val="auto"/>
                      <w:sz w:val="21"/>
                      <w:szCs w:val="21"/>
                      <w:lang w:val="en-US" w:eastAsia="zh-CN"/>
                    </w:rPr>
                    <w:t>5.38</w:t>
                  </w:r>
                </w:p>
              </w:tc>
              <w:tc>
                <w:tcPr>
                  <w:tcW w:w="93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干式过滤器</w:t>
                  </w:r>
                </w:p>
              </w:tc>
              <w:tc>
                <w:tcPr>
                  <w:tcW w:w="1133" w:type="pct"/>
                  <w:tcBorders>
                    <w:top w:val="single" w:color="auto" w:sz="4" w:space="0"/>
                    <w:left w:val="single" w:color="auto" w:sz="4" w:space="0"/>
                    <w:bottom w:val="single" w:color="auto" w:sz="4" w:space="0"/>
                    <w:right w:val="nil"/>
                  </w:tcBorders>
                  <w:shd w:val="clear" w:color="auto" w:fill="auto"/>
                  <w:vAlign w:val="center"/>
                </w:tcPr>
                <w:p>
                  <w:pPr>
                    <w:pStyle w:val="13"/>
                    <w:tabs>
                      <w:tab w:val="left" w:pos="2830"/>
                    </w:tabs>
                    <w:jc w:val="center"/>
                    <w:rPr>
                      <w:rFonts w:hint="default"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4.599</w:t>
                  </w:r>
                </w:p>
              </w:tc>
            </w:tr>
            <w:tr>
              <w:tblPrEx>
                <w:tblBorders>
                  <w:top w:val="single" w:color="auto" w:sz="12" w:space="0"/>
                  <w:left w:val="none" w:color="auto" w:sz="4" w:space="0"/>
                  <w:bottom w:val="single" w:color="auto" w:sz="12" w:space="0"/>
                  <w:right w:val="non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20" w:type="pct"/>
                  <w:vMerge w:val="continue"/>
                  <w:tcBorders>
                    <w:left w:val="nil"/>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p>
              </w:tc>
              <w:tc>
                <w:tcPr>
                  <w:tcW w:w="612"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p>
              </w:tc>
              <w:tc>
                <w:tcPr>
                  <w:tcW w:w="65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p>
              </w:tc>
              <w:tc>
                <w:tcPr>
                  <w:tcW w:w="93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p>
              </w:tc>
              <w:tc>
                <w:tcPr>
                  <w:tcW w:w="93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有组织</w:t>
                  </w:r>
                </w:p>
              </w:tc>
              <w:tc>
                <w:tcPr>
                  <w:tcW w:w="1133" w:type="pct"/>
                  <w:tcBorders>
                    <w:top w:val="single" w:color="auto" w:sz="4" w:space="0"/>
                    <w:left w:val="single" w:color="auto" w:sz="4" w:space="0"/>
                    <w:bottom w:val="single" w:color="auto" w:sz="4" w:space="0"/>
                    <w:right w:val="nil"/>
                  </w:tcBorders>
                  <w:shd w:val="clear" w:color="auto" w:fill="auto"/>
                  <w:vAlign w:val="center"/>
                </w:tcPr>
                <w:p>
                  <w:pPr>
                    <w:pStyle w:val="13"/>
                    <w:tabs>
                      <w:tab w:val="left" w:pos="2830"/>
                    </w:tabs>
                    <w:jc w:val="center"/>
                    <w:rPr>
                      <w:rFonts w:hint="default"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0.512</w:t>
                  </w:r>
                </w:p>
              </w:tc>
            </w:tr>
            <w:tr>
              <w:tblPrEx>
                <w:tblBorders>
                  <w:top w:val="single" w:color="auto" w:sz="12" w:space="0"/>
                  <w:left w:val="none" w:color="auto" w:sz="4" w:space="0"/>
                  <w:bottom w:val="single" w:color="auto" w:sz="12" w:space="0"/>
                  <w:right w:val="non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jc w:val="center"/>
              </w:trPr>
              <w:tc>
                <w:tcPr>
                  <w:tcW w:w="720" w:type="pct"/>
                  <w:vMerge w:val="continue"/>
                  <w:tcBorders>
                    <w:left w:val="nil"/>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p>
              </w:tc>
              <w:tc>
                <w:tcPr>
                  <w:tcW w:w="612"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p>
              </w:tc>
              <w:tc>
                <w:tcPr>
                  <w:tcW w:w="65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p>
              </w:tc>
              <w:tc>
                <w:tcPr>
                  <w:tcW w:w="93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p>
              </w:tc>
              <w:tc>
                <w:tcPr>
                  <w:tcW w:w="93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无组织</w:t>
                  </w:r>
                </w:p>
              </w:tc>
              <w:tc>
                <w:tcPr>
                  <w:tcW w:w="1133" w:type="pct"/>
                  <w:tcBorders>
                    <w:top w:val="single" w:color="auto" w:sz="4" w:space="0"/>
                    <w:left w:val="single" w:color="auto" w:sz="4" w:space="0"/>
                    <w:bottom w:val="single" w:color="auto" w:sz="4" w:space="0"/>
                    <w:right w:val="nil"/>
                  </w:tcBorders>
                  <w:shd w:val="clear" w:color="auto" w:fill="auto"/>
                  <w:vAlign w:val="center"/>
                </w:tcPr>
                <w:p>
                  <w:pPr>
                    <w:pStyle w:val="13"/>
                    <w:tabs>
                      <w:tab w:val="left" w:pos="2830"/>
                    </w:tabs>
                    <w:jc w:val="center"/>
                    <w:rPr>
                      <w:rFonts w:hint="default"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0.269</w:t>
                  </w:r>
                </w:p>
              </w:tc>
            </w:tr>
            <w:tr>
              <w:tblPrEx>
                <w:tblBorders>
                  <w:top w:val="single" w:color="auto" w:sz="12" w:space="0"/>
                  <w:left w:val="none" w:color="auto" w:sz="4" w:space="0"/>
                  <w:bottom w:val="single" w:color="auto" w:sz="12" w:space="0"/>
                  <w:right w:val="non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pct"/>
                  <w:vMerge w:val="continue"/>
                  <w:tcBorders>
                    <w:left w:val="nil"/>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p>
              </w:tc>
              <w:tc>
                <w:tcPr>
                  <w:tcW w:w="61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挥发分</w:t>
                  </w:r>
                </w:p>
              </w:tc>
              <w:tc>
                <w:tcPr>
                  <w:tcW w:w="65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lang w:val="en-US" w:eastAsia="zh-CN"/>
                    </w:rPr>
                    <w:t>2.1</w:t>
                  </w:r>
                  <w:r>
                    <w:rPr>
                      <w:rFonts w:ascii="Times New Roman" w:hAnsi="Times New Roman"/>
                      <w:color w:val="auto"/>
                      <w:sz w:val="21"/>
                      <w:szCs w:val="21"/>
                    </w:rPr>
                    <w:t>t</w:t>
                  </w:r>
                </w:p>
              </w:tc>
              <w:tc>
                <w:tcPr>
                  <w:tcW w:w="93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VOC</w:t>
                  </w:r>
                  <w:r>
                    <w:rPr>
                      <w:rFonts w:ascii="Times New Roman" w:hAnsi="Times New Roman"/>
                      <w:color w:val="auto"/>
                      <w:sz w:val="21"/>
                      <w:szCs w:val="21"/>
                      <w:vertAlign w:val="subscript"/>
                    </w:rPr>
                    <w:t>S</w:t>
                  </w:r>
                </w:p>
              </w:tc>
              <w:tc>
                <w:tcPr>
                  <w:tcW w:w="93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活性炭吸附</w:t>
                  </w:r>
                </w:p>
              </w:tc>
              <w:tc>
                <w:tcPr>
                  <w:tcW w:w="1133" w:type="pct"/>
                  <w:tcBorders>
                    <w:top w:val="single" w:color="auto" w:sz="4" w:space="0"/>
                    <w:left w:val="single" w:color="auto" w:sz="4" w:space="0"/>
                    <w:bottom w:val="single" w:color="auto" w:sz="4" w:space="0"/>
                    <w:right w:val="nil"/>
                  </w:tcBorders>
                  <w:shd w:val="clear" w:color="auto" w:fill="auto"/>
                  <w:vAlign w:val="center"/>
                </w:tcPr>
                <w:p>
                  <w:pPr>
                    <w:pStyle w:val="13"/>
                    <w:tabs>
                      <w:tab w:val="left" w:pos="2830"/>
                    </w:tabs>
                    <w:jc w:val="center"/>
                    <w:rPr>
                      <w:rFonts w:hint="default"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1.7955</w:t>
                  </w:r>
                </w:p>
              </w:tc>
            </w:tr>
            <w:tr>
              <w:tblPrEx>
                <w:tblBorders>
                  <w:top w:val="single" w:color="auto" w:sz="12" w:space="0"/>
                  <w:left w:val="none" w:color="auto" w:sz="4" w:space="0"/>
                  <w:bottom w:val="single" w:color="auto" w:sz="12" w:space="0"/>
                  <w:right w:val="non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pct"/>
                  <w:vMerge w:val="continue"/>
                  <w:tcBorders>
                    <w:left w:val="nil"/>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p>
              </w:tc>
              <w:tc>
                <w:tcPr>
                  <w:tcW w:w="612"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p>
              </w:tc>
              <w:tc>
                <w:tcPr>
                  <w:tcW w:w="65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p>
              </w:tc>
              <w:tc>
                <w:tcPr>
                  <w:tcW w:w="93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p>
              </w:tc>
              <w:tc>
                <w:tcPr>
                  <w:tcW w:w="93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有组织</w:t>
                  </w:r>
                </w:p>
              </w:tc>
              <w:tc>
                <w:tcPr>
                  <w:tcW w:w="1133" w:type="pct"/>
                  <w:tcBorders>
                    <w:top w:val="single" w:color="auto" w:sz="4" w:space="0"/>
                    <w:left w:val="single" w:color="auto" w:sz="4" w:space="0"/>
                    <w:bottom w:val="single" w:color="auto" w:sz="4" w:space="0"/>
                    <w:right w:val="nil"/>
                  </w:tcBorders>
                  <w:shd w:val="clear" w:color="auto" w:fill="auto"/>
                  <w:vAlign w:val="center"/>
                </w:tcPr>
                <w:p>
                  <w:pPr>
                    <w:pStyle w:val="13"/>
                    <w:tabs>
                      <w:tab w:val="left" w:pos="2830"/>
                    </w:tabs>
                    <w:jc w:val="center"/>
                    <w:rPr>
                      <w:rFonts w:hint="default"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0.1995</w:t>
                  </w:r>
                </w:p>
              </w:tc>
            </w:tr>
            <w:tr>
              <w:tblPrEx>
                <w:tblBorders>
                  <w:top w:val="single" w:color="auto" w:sz="12" w:space="0"/>
                  <w:left w:val="none" w:color="auto" w:sz="4" w:space="0"/>
                  <w:bottom w:val="single" w:color="auto" w:sz="12" w:space="0"/>
                  <w:right w:val="non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720" w:type="pct"/>
                  <w:vMerge w:val="continue"/>
                  <w:tcBorders>
                    <w:left w:val="nil"/>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p>
              </w:tc>
              <w:tc>
                <w:tcPr>
                  <w:tcW w:w="612"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p>
              </w:tc>
              <w:tc>
                <w:tcPr>
                  <w:tcW w:w="65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p>
              </w:tc>
              <w:tc>
                <w:tcPr>
                  <w:tcW w:w="93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p>
              </w:tc>
              <w:tc>
                <w:tcPr>
                  <w:tcW w:w="93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无组织</w:t>
                  </w:r>
                </w:p>
              </w:tc>
              <w:tc>
                <w:tcPr>
                  <w:tcW w:w="1133" w:type="pct"/>
                  <w:tcBorders>
                    <w:top w:val="single" w:color="auto" w:sz="4" w:space="0"/>
                    <w:left w:val="single" w:color="auto" w:sz="4" w:space="0"/>
                    <w:bottom w:val="single" w:color="auto" w:sz="4" w:space="0"/>
                    <w:right w:val="nil"/>
                  </w:tcBorders>
                  <w:shd w:val="clear" w:color="auto" w:fill="auto"/>
                  <w:vAlign w:val="center"/>
                </w:tcPr>
                <w:p>
                  <w:pPr>
                    <w:pStyle w:val="13"/>
                    <w:tabs>
                      <w:tab w:val="left" w:pos="2830"/>
                    </w:tabs>
                    <w:jc w:val="center"/>
                    <w:rPr>
                      <w:rFonts w:hint="default"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0.105</w:t>
                  </w:r>
                </w:p>
              </w:tc>
            </w:tr>
            <w:tr>
              <w:tblPrEx>
                <w:tblBorders>
                  <w:top w:val="single" w:color="auto" w:sz="12" w:space="0"/>
                  <w:left w:val="none" w:color="auto" w:sz="4" w:space="0"/>
                  <w:bottom w:val="single" w:color="auto" w:sz="12" w:space="0"/>
                  <w:right w:val="non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720" w:type="pct"/>
                  <w:vMerge w:val="continue"/>
                  <w:tcBorders>
                    <w:left w:val="nil"/>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p>
              </w:tc>
              <w:tc>
                <w:tcPr>
                  <w:tcW w:w="612" w:type="pct"/>
                  <w:tcBorders>
                    <w:top w:val="single" w:color="auto" w:sz="4" w:space="0"/>
                    <w:left w:val="single" w:color="auto" w:sz="4" w:space="0"/>
                    <w:right w:val="single" w:color="auto" w:sz="4" w:space="0"/>
                  </w:tcBorders>
                  <w:shd w:val="clear" w:color="auto" w:fill="auto"/>
                  <w:vAlign w:val="center"/>
                </w:tcPr>
                <w:p>
                  <w:pPr>
                    <w:pStyle w:val="13"/>
                    <w:tabs>
                      <w:tab w:val="left" w:pos="2830"/>
                    </w:tabs>
                    <w:jc w:val="center"/>
                    <w:rPr>
                      <w:rFonts w:hint="default"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水分（漆中）</w:t>
                  </w:r>
                </w:p>
              </w:tc>
              <w:tc>
                <w:tcPr>
                  <w:tcW w:w="65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lang w:val="en-US" w:eastAsia="zh-CN"/>
                    </w:rPr>
                    <w:t>11</w:t>
                  </w:r>
                  <w:r>
                    <w:rPr>
                      <w:rFonts w:ascii="Times New Roman" w:hAnsi="Times New Roman"/>
                      <w:color w:val="auto"/>
                      <w:sz w:val="21"/>
                      <w:szCs w:val="21"/>
                    </w:rPr>
                    <w:t>t</w:t>
                  </w:r>
                </w:p>
              </w:tc>
              <w:tc>
                <w:tcPr>
                  <w:tcW w:w="938" w:type="pct"/>
                  <w:tcBorders>
                    <w:top w:val="single" w:color="auto" w:sz="4" w:space="0"/>
                    <w:left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水汽</w:t>
                  </w:r>
                </w:p>
              </w:tc>
              <w:tc>
                <w:tcPr>
                  <w:tcW w:w="939" w:type="pct"/>
                  <w:tcBorders>
                    <w:top w:val="single" w:color="auto" w:sz="4" w:space="0"/>
                    <w:left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w:t>
                  </w:r>
                </w:p>
              </w:tc>
              <w:tc>
                <w:tcPr>
                  <w:tcW w:w="1133" w:type="pct"/>
                  <w:tcBorders>
                    <w:top w:val="single" w:color="auto" w:sz="4" w:space="0"/>
                    <w:left w:val="single" w:color="auto" w:sz="4" w:space="0"/>
                    <w:right w:val="nil"/>
                  </w:tcBorders>
                  <w:shd w:val="clear" w:color="auto" w:fill="auto"/>
                  <w:vAlign w:val="center"/>
                </w:tcPr>
                <w:p>
                  <w:pPr>
                    <w:pStyle w:val="13"/>
                    <w:tabs>
                      <w:tab w:val="left" w:pos="2830"/>
                    </w:tabs>
                    <w:jc w:val="center"/>
                    <w:rPr>
                      <w:rFonts w:hint="default"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11</w:t>
                  </w:r>
                </w:p>
              </w:tc>
            </w:tr>
            <w:tr>
              <w:tblPrEx>
                <w:tblBorders>
                  <w:top w:val="single" w:color="auto" w:sz="12" w:space="0"/>
                  <w:left w:val="none" w:color="auto" w:sz="4" w:space="0"/>
                  <w:bottom w:val="single" w:color="auto" w:sz="12" w:space="0"/>
                  <w:right w:val="non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pct"/>
                  <w:tcBorders>
                    <w:top w:val="single" w:color="auto" w:sz="4" w:space="0"/>
                    <w:left w:val="nil"/>
                    <w:bottom w:val="single" w:color="auto" w:sz="12"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w:t>
                  </w:r>
                </w:p>
              </w:tc>
              <w:tc>
                <w:tcPr>
                  <w:tcW w:w="612" w:type="pct"/>
                  <w:tcBorders>
                    <w:top w:val="single" w:color="auto" w:sz="4" w:space="0"/>
                    <w:left w:val="single" w:color="auto" w:sz="4" w:space="0"/>
                    <w:bottom w:val="single" w:color="auto" w:sz="12"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合计</w:t>
                  </w:r>
                </w:p>
              </w:tc>
              <w:tc>
                <w:tcPr>
                  <w:tcW w:w="656" w:type="pct"/>
                  <w:tcBorders>
                    <w:top w:val="single" w:color="auto" w:sz="4" w:space="0"/>
                    <w:left w:val="single" w:color="auto" w:sz="4" w:space="0"/>
                    <w:bottom w:val="single" w:color="auto" w:sz="12" w:space="0"/>
                    <w:right w:val="single" w:color="auto" w:sz="4" w:space="0"/>
                  </w:tcBorders>
                  <w:shd w:val="clear" w:color="auto" w:fill="auto"/>
                  <w:vAlign w:val="center"/>
                </w:tcPr>
                <w:p>
                  <w:pPr>
                    <w:pStyle w:val="13"/>
                    <w:tabs>
                      <w:tab w:val="left" w:pos="2830"/>
                    </w:tabs>
                    <w:jc w:val="center"/>
                    <w:rPr>
                      <w:rFonts w:hint="default"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40</w:t>
                  </w:r>
                </w:p>
              </w:tc>
              <w:tc>
                <w:tcPr>
                  <w:tcW w:w="938" w:type="pct"/>
                  <w:tcBorders>
                    <w:top w:val="single" w:color="auto" w:sz="4" w:space="0"/>
                    <w:left w:val="single" w:color="auto" w:sz="4" w:space="0"/>
                    <w:bottom w:val="single" w:color="auto" w:sz="12"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w:t>
                  </w:r>
                </w:p>
              </w:tc>
              <w:tc>
                <w:tcPr>
                  <w:tcW w:w="939" w:type="pct"/>
                  <w:tcBorders>
                    <w:top w:val="single" w:color="auto" w:sz="4" w:space="0"/>
                    <w:left w:val="single" w:color="auto" w:sz="4" w:space="0"/>
                    <w:bottom w:val="single" w:color="auto" w:sz="12"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w:t>
                  </w:r>
                </w:p>
              </w:tc>
              <w:tc>
                <w:tcPr>
                  <w:tcW w:w="1133" w:type="pct"/>
                  <w:tcBorders>
                    <w:top w:val="single" w:color="auto" w:sz="4" w:space="0"/>
                    <w:left w:val="single" w:color="auto" w:sz="4" w:space="0"/>
                    <w:bottom w:val="single" w:color="auto" w:sz="12" w:space="0"/>
                    <w:right w:val="nil"/>
                  </w:tcBorders>
                  <w:shd w:val="clear" w:color="auto" w:fill="auto"/>
                  <w:vAlign w:val="center"/>
                </w:tcPr>
                <w:p>
                  <w:pPr>
                    <w:pStyle w:val="13"/>
                    <w:tabs>
                      <w:tab w:val="left" w:pos="2830"/>
                    </w:tabs>
                    <w:jc w:val="center"/>
                    <w:rPr>
                      <w:rFonts w:hint="default"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40</w:t>
                  </w:r>
                </w:p>
              </w:tc>
            </w:tr>
            <w:bookmarkEnd w:id="23"/>
          </w:tbl>
          <w:p>
            <w:pPr>
              <w:autoSpaceDE w:val="0"/>
              <w:autoSpaceDN w:val="0"/>
              <w:adjustRightInd w:val="0"/>
              <w:snapToGrid w:val="0"/>
              <w:spacing w:line="360" w:lineRule="auto"/>
              <w:jc w:val="center"/>
              <w:rPr>
                <w:b/>
                <w:color w:val="auto"/>
                <w:sz w:val="24"/>
                <w:szCs w:val="20"/>
                <w:lang w:bidi="ar"/>
              </w:rPr>
            </w:pPr>
          </w:p>
          <w:p>
            <w:pPr>
              <w:autoSpaceDE w:val="0"/>
              <w:autoSpaceDN w:val="0"/>
              <w:adjustRightInd w:val="0"/>
              <w:snapToGrid w:val="0"/>
              <w:spacing w:line="360" w:lineRule="auto"/>
              <w:jc w:val="center"/>
              <w:rPr>
                <w:color w:val="auto"/>
              </w:rPr>
            </w:pPr>
            <w:r>
              <w:rPr>
                <w:b/>
                <w:color w:val="auto"/>
                <w:sz w:val="24"/>
                <w:szCs w:val="20"/>
                <w:lang w:bidi="ar"/>
              </w:rPr>
              <w:object>
                <v:shape id="_x0000_i1025" o:spt="75" type="#_x0000_t75" style="height:213.05pt;width:471.05pt;" o:ole="t" filled="f" o:preferrelative="t" stroked="f" coordsize="21600,21600">
                  <v:path/>
                  <v:fill on="f" focussize="0,0"/>
                  <v:stroke on="f"/>
                  <v:imagedata r:id="rId9" o:title=""/>
                  <o:lock v:ext="edit" aspectratio="f"/>
                  <w10:wrap type="none"/>
                  <w10:anchorlock/>
                </v:shape>
                <o:OLEObject Type="Embed" ProgID="Visio.Drawing.11" ShapeID="_x0000_i1025" DrawAspect="Content" ObjectID="_1468075725" r:id="rId8">
                  <o:LockedField>false</o:LockedField>
                </o:OLEObject>
              </w:object>
            </w:r>
            <w:r>
              <w:rPr>
                <w:b/>
                <w:color w:val="auto"/>
                <w:sz w:val="24"/>
                <w:szCs w:val="20"/>
                <w:lang w:bidi="ar"/>
              </w:rPr>
              <w:t>图2</w:t>
            </w:r>
            <w:r>
              <w:rPr>
                <w:rFonts w:hint="eastAsia"/>
                <w:b/>
                <w:color w:val="auto"/>
                <w:sz w:val="24"/>
                <w:szCs w:val="20"/>
                <w:lang w:bidi="ar"/>
              </w:rPr>
              <w:t>.1</w:t>
            </w:r>
            <w:r>
              <w:rPr>
                <w:b/>
                <w:color w:val="auto"/>
                <w:sz w:val="24"/>
                <w:szCs w:val="20"/>
                <w:lang w:bidi="ar"/>
              </w:rPr>
              <w:t>-1 本项目物料平衡图（单位：t/a）</w:t>
            </w:r>
          </w:p>
          <w:p>
            <w:pPr>
              <w:widowControl/>
              <w:spacing w:line="360" w:lineRule="auto"/>
              <w:ind w:firstLine="422" w:firstLineChars="175"/>
              <w:jc w:val="left"/>
              <w:rPr>
                <w:color w:val="auto"/>
              </w:rPr>
            </w:pPr>
            <w:r>
              <w:rPr>
                <w:b/>
                <w:bCs/>
                <w:color w:val="auto"/>
                <w:sz w:val="24"/>
              </w:rPr>
              <w:t>9、</w:t>
            </w:r>
            <w:r>
              <w:rPr>
                <w:b/>
                <w:bCs/>
                <w:color w:val="auto"/>
                <w:kern w:val="0"/>
                <w:sz w:val="24"/>
                <w:lang w:bidi="ar"/>
              </w:rPr>
              <w:t>水平衡分析</w:t>
            </w:r>
          </w:p>
          <w:p>
            <w:pPr>
              <w:pStyle w:val="17"/>
              <w:spacing w:line="360" w:lineRule="auto"/>
              <w:ind w:firstLine="720" w:firstLineChars="300"/>
              <w:rPr>
                <w:rFonts w:ascii="Times New Roman" w:cs="Times New Roman"/>
                <w:b w:val="0"/>
                <w:bCs/>
                <w:color w:val="auto"/>
              </w:rPr>
            </w:pPr>
            <w:r>
              <w:rPr>
                <w:rFonts w:hint="eastAsia" w:ascii="Times New Roman" w:cs="Times New Roman"/>
                <w:b w:val="0"/>
                <w:bCs/>
                <w:color w:val="auto"/>
                <w:lang w:eastAsia="zh-CN"/>
              </w:rPr>
              <w:t>建设项目项目用水主要为生活用水、水性漆调漆和喷枪清洗用水。企业地面、设备无需清洗，主要排水</w:t>
            </w:r>
            <w:r>
              <w:rPr>
                <w:rFonts w:ascii="Times New Roman" w:cs="Times New Roman"/>
                <w:b w:val="0"/>
                <w:bCs/>
                <w:color w:val="auto"/>
              </w:rPr>
              <w:t>为生活用水</w:t>
            </w:r>
            <w:r>
              <w:rPr>
                <w:rFonts w:hint="eastAsia" w:ascii="Times New Roman" w:cs="Times New Roman"/>
                <w:b w:val="0"/>
                <w:bCs/>
                <w:color w:val="auto"/>
                <w:lang w:eastAsia="zh-CN"/>
              </w:rPr>
              <w:t>，水性漆调漆用水全部进入产品不外排，喷漆清洗水回用于调漆工序</w:t>
            </w:r>
            <w:r>
              <w:rPr>
                <w:rFonts w:ascii="Times New Roman" w:cs="Times New Roman"/>
                <w:b w:val="0"/>
                <w:bCs/>
                <w:color w:val="auto"/>
              </w:rPr>
              <w:t>。</w:t>
            </w:r>
          </w:p>
          <w:p>
            <w:pPr>
              <w:pStyle w:val="17"/>
              <w:spacing w:line="360" w:lineRule="auto"/>
              <w:ind w:firstLine="240" w:firstLineChars="100"/>
              <w:rPr>
                <w:rFonts w:ascii="Times New Roman" w:cs="Times New Roman"/>
                <w:b w:val="0"/>
                <w:bCs/>
                <w:color w:val="auto"/>
              </w:rPr>
            </w:pPr>
            <w:r>
              <w:rPr>
                <w:rFonts w:ascii="Times New Roman" w:cs="Times New Roman"/>
                <w:b w:val="0"/>
                <w:bCs/>
                <w:color w:val="auto"/>
              </w:rPr>
              <w:t>（1）生活</w:t>
            </w:r>
            <w:r>
              <w:rPr>
                <w:rFonts w:hint="eastAsia" w:ascii="Times New Roman" w:cs="Times New Roman"/>
                <w:b w:val="0"/>
                <w:bCs/>
                <w:color w:val="auto"/>
              </w:rPr>
              <w:t>用</w:t>
            </w:r>
            <w:r>
              <w:rPr>
                <w:rFonts w:ascii="Times New Roman" w:cs="Times New Roman"/>
                <w:b w:val="0"/>
                <w:bCs/>
                <w:color w:val="auto"/>
              </w:rPr>
              <w:t>水：建设项目共有职工30人，年运行天数300天，参照《建筑给水排水设计标准》（GB50015-2019)，职工用水取50L/人﹒天，则生活用水量450m</w:t>
            </w:r>
            <w:r>
              <w:rPr>
                <w:rFonts w:ascii="Times New Roman" w:cs="Times New Roman"/>
                <w:b w:val="0"/>
                <w:bCs/>
                <w:color w:val="auto"/>
                <w:vertAlign w:val="superscript"/>
              </w:rPr>
              <w:t>3</w:t>
            </w:r>
            <w:r>
              <w:rPr>
                <w:rFonts w:ascii="Times New Roman" w:cs="Times New Roman"/>
                <w:b w:val="0"/>
                <w:bCs/>
                <w:color w:val="auto"/>
              </w:rPr>
              <w:t xml:space="preserve"> /a，排污系数以0.8计，则生活污水产生量为360m</w:t>
            </w:r>
            <w:r>
              <w:rPr>
                <w:rFonts w:ascii="Times New Roman" w:cs="Times New Roman"/>
                <w:b w:val="0"/>
                <w:bCs/>
                <w:color w:val="auto"/>
                <w:vertAlign w:val="superscript"/>
              </w:rPr>
              <w:t>3</w:t>
            </w:r>
            <w:r>
              <w:rPr>
                <w:rFonts w:ascii="Times New Roman" w:cs="Times New Roman"/>
                <w:b w:val="0"/>
                <w:bCs/>
                <w:color w:val="auto"/>
              </w:rPr>
              <w:t xml:space="preserve"> /a。</w:t>
            </w:r>
          </w:p>
          <w:p>
            <w:pPr>
              <w:pStyle w:val="16"/>
              <w:spacing w:line="360" w:lineRule="auto"/>
              <w:ind w:left="0" w:leftChars="0" w:firstLine="240" w:firstLineChars="100"/>
              <w:rPr>
                <w:rFonts w:ascii="Times New Roman" w:hAnsi="Times New Roman"/>
                <w:bCs/>
                <w:color w:val="auto"/>
                <w:kern w:val="2"/>
                <w:sz w:val="24"/>
                <w:szCs w:val="24"/>
              </w:rPr>
            </w:pPr>
            <w:r>
              <w:rPr>
                <w:rFonts w:hint="eastAsia" w:ascii="Times New Roman" w:hAnsi="Times New Roman"/>
                <w:bCs/>
                <w:color w:val="auto"/>
                <w:kern w:val="2"/>
                <w:sz w:val="24"/>
                <w:szCs w:val="24"/>
              </w:rPr>
              <w:t>（2）水性漆调漆用水：本项目水性漆调配比例为5:1，本项目水性漆使用量为</w:t>
            </w:r>
            <w:r>
              <w:rPr>
                <w:rFonts w:hint="eastAsia" w:ascii="Times New Roman" w:hAnsi="Times New Roman"/>
                <w:bCs/>
                <w:color w:val="auto"/>
                <w:kern w:val="2"/>
                <w:sz w:val="24"/>
                <w:szCs w:val="24"/>
                <w:lang w:val="en-US" w:eastAsia="zh-CN"/>
              </w:rPr>
              <w:t>40</w:t>
            </w:r>
            <w:r>
              <w:rPr>
                <w:rFonts w:hint="eastAsia" w:ascii="Times New Roman" w:hAnsi="Times New Roman"/>
                <w:bCs/>
                <w:color w:val="auto"/>
                <w:kern w:val="2"/>
                <w:sz w:val="24"/>
                <w:szCs w:val="24"/>
              </w:rPr>
              <w:t>吨，则水性漆调漆用水使用量为</w:t>
            </w:r>
            <w:r>
              <w:rPr>
                <w:rFonts w:hint="eastAsia" w:ascii="Times New Roman" w:hAnsi="Times New Roman"/>
                <w:bCs/>
                <w:color w:val="auto"/>
                <w:kern w:val="2"/>
                <w:sz w:val="24"/>
                <w:szCs w:val="24"/>
                <w:lang w:val="en-US" w:eastAsia="zh-CN"/>
              </w:rPr>
              <w:t>8</w:t>
            </w:r>
            <w:r>
              <w:rPr>
                <w:rFonts w:hint="eastAsia" w:ascii="Times New Roman" w:hAnsi="Times New Roman"/>
                <w:bCs/>
                <w:color w:val="auto"/>
                <w:kern w:val="2"/>
                <w:sz w:val="24"/>
                <w:szCs w:val="24"/>
              </w:rPr>
              <w:t>t/a，其中</w:t>
            </w:r>
            <w:r>
              <w:rPr>
                <w:rFonts w:hint="eastAsia" w:ascii="Times New Roman" w:hAnsi="Times New Roman"/>
                <w:bCs/>
                <w:color w:val="auto"/>
                <w:kern w:val="2"/>
                <w:sz w:val="24"/>
                <w:szCs w:val="24"/>
                <w:lang w:val="en-US" w:eastAsia="zh-CN"/>
              </w:rPr>
              <w:t>3</w:t>
            </w:r>
            <w:r>
              <w:rPr>
                <w:rFonts w:hint="eastAsia" w:ascii="Times New Roman" w:hAnsi="Times New Roman"/>
                <w:bCs/>
                <w:color w:val="auto"/>
                <w:kern w:val="2"/>
                <w:sz w:val="24"/>
                <w:szCs w:val="24"/>
              </w:rPr>
              <w:t>t为喷枪清洗水回用，水性漆调漆用水全部进入产品不外排。</w:t>
            </w:r>
          </w:p>
          <w:p>
            <w:pPr>
              <w:spacing w:line="360" w:lineRule="auto"/>
              <w:ind w:firstLine="240" w:firstLineChars="100"/>
              <w:rPr>
                <w:color w:val="auto"/>
              </w:rPr>
            </w:pPr>
            <w:r>
              <w:rPr>
                <w:rFonts w:hint="eastAsia"/>
                <w:bCs/>
                <w:color w:val="auto"/>
                <w:sz w:val="24"/>
              </w:rPr>
              <w:t>（3）喷枪清洗水：</w:t>
            </w:r>
            <w:r>
              <w:rPr>
                <w:rFonts w:hint="eastAsia"/>
                <w:color w:val="auto"/>
                <w:sz w:val="24"/>
              </w:rPr>
              <w:t>车间喷涂工段每日结束作业后对喷涂机喷枪进行清洗，每天使用清洗水约10L，则年使用清洗水为</w:t>
            </w:r>
            <w:r>
              <w:rPr>
                <w:rFonts w:hint="eastAsia"/>
                <w:color w:val="auto"/>
                <w:sz w:val="24"/>
                <w:lang w:val="en-US" w:eastAsia="zh-CN"/>
              </w:rPr>
              <w:t>3</w:t>
            </w:r>
            <w:r>
              <w:rPr>
                <w:rFonts w:eastAsiaTheme="minorEastAsia"/>
                <w:color w:val="auto"/>
                <w:sz w:val="24"/>
              </w:rPr>
              <w:t>m</w:t>
            </w:r>
            <w:r>
              <w:rPr>
                <w:rFonts w:eastAsiaTheme="minorEastAsia"/>
                <w:color w:val="auto"/>
                <w:sz w:val="24"/>
                <w:vertAlign w:val="superscript"/>
              </w:rPr>
              <w:t>3</w:t>
            </w:r>
            <w:r>
              <w:rPr>
                <w:rFonts w:eastAsiaTheme="minorEastAsia"/>
                <w:color w:val="auto"/>
                <w:sz w:val="24"/>
              </w:rPr>
              <w:t>/a</w:t>
            </w:r>
            <w:r>
              <w:rPr>
                <w:rFonts w:hint="eastAsia"/>
                <w:color w:val="auto"/>
                <w:sz w:val="24"/>
              </w:rPr>
              <w:t>，每次清洗喷枪会残留漆料固化颗粒，清洗废水回用于调漆工序。</w:t>
            </w:r>
          </w:p>
          <w:p>
            <w:pPr>
              <w:pStyle w:val="17"/>
              <w:spacing w:line="360" w:lineRule="auto"/>
              <w:ind w:firstLine="240" w:firstLineChars="100"/>
              <w:rPr>
                <w:rFonts w:ascii="Times New Roman" w:cs="Times New Roman"/>
                <w:b w:val="0"/>
                <w:bCs/>
                <w:color w:val="auto"/>
              </w:rPr>
            </w:pPr>
            <w:r>
              <w:rPr>
                <w:rFonts w:ascii="Times New Roman" w:cs="Times New Roman"/>
                <w:b w:val="0"/>
                <w:bCs/>
                <w:color w:val="auto"/>
              </w:rPr>
              <w:t>本项目营运期间水平衡图见图 2.1-1。</w:t>
            </w:r>
          </w:p>
          <w:p>
            <w:pPr>
              <w:pStyle w:val="16"/>
              <w:ind w:firstLine="480"/>
              <w:jc w:val="center"/>
              <w:rPr>
                <w:rFonts w:ascii="Times New Roman" w:hAnsi="Times New Roman"/>
                <w:color w:val="auto"/>
              </w:rPr>
            </w:pPr>
            <w:r>
              <w:rPr>
                <w:rFonts w:ascii="Times New Roman" w:hAnsi="Times New Roman"/>
                <w:color w:val="auto"/>
                <w:kern w:val="2"/>
                <w:sz w:val="24"/>
                <w:szCs w:val="24"/>
                <w:lang w:bidi="ar"/>
              </w:rPr>
              <mc:AlternateContent>
                <mc:Choice Requires="wpc">
                  <w:drawing>
                    <wp:anchor distT="0" distB="0" distL="114300" distR="114300" simplePos="0" relativeHeight="251663360" behindDoc="0" locked="1" layoutInCell="1" allowOverlap="1">
                      <wp:simplePos x="0" y="0"/>
                      <wp:positionH relativeFrom="column">
                        <wp:posOffset>377825</wp:posOffset>
                      </wp:positionH>
                      <wp:positionV relativeFrom="paragraph">
                        <wp:posOffset>137795</wp:posOffset>
                      </wp:positionV>
                      <wp:extent cx="4240530" cy="3383915"/>
                      <wp:effectExtent l="81280" t="0" r="2540" b="0"/>
                      <wp:wrapTopAndBottom/>
                      <wp:docPr id="158" name="画布 8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矩形 62"/>
                              <wps:cNvSpPr/>
                              <wps:spPr>
                                <a:xfrm>
                                  <a:off x="6350" y="862965"/>
                                  <a:ext cx="704215" cy="240030"/>
                                </a:xfrm>
                                <a:prstGeom prst="rect">
                                  <a:avLst/>
                                </a:prstGeom>
                                <a:solidFill>
                                  <a:srgbClr val="FFFFFF"/>
                                </a:solidFill>
                                <a:ln>
                                  <a:noFill/>
                                </a:ln>
                              </wps:spPr>
                              <wps:txbx>
                                <w:txbxContent>
                                  <w:p>
                                    <w:pPr>
                                      <w:rPr>
                                        <w:rFonts w:hint="default" w:eastAsia="宋体"/>
                                        <w:lang w:val="en-US" w:eastAsia="zh-CN"/>
                                      </w:rPr>
                                    </w:pPr>
                                    <w:r>
                                      <w:rPr>
                                        <w:rFonts w:hint="eastAsia"/>
                                      </w:rPr>
                                      <w:t>4</w:t>
                                    </w:r>
                                    <w:r>
                                      <w:rPr>
                                        <w:rFonts w:hint="eastAsia"/>
                                        <w:lang w:val="en-US" w:eastAsia="zh-CN"/>
                                      </w:rPr>
                                      <w:t>64</w:t>
                                    </w:r>
                                  </w:p>
                                </w:txbxContent>
                              </wps:txbx>
                              <wps:bodyPr wrap="square" upright="1"/>
                            </wps:wsp>
                            <wps:wsp>
                              <wps:cNvPr id="4" name="矩形 63"/>
                              <wps:cNvSpPr/>
                              <wps:spPr>
                                <a:xfrm>
                                  <a:off x="0" y="550102"/>
                                  <a:ext cx="514094" cy="301479"/>
                                </a:xfrm>
                                <a:prstGeom prst="rect">
                                  <a:avLst/>
                                </a:prstGeom>
                                <a:solidFill>
                                  <a:srgbClr val="FFFFFF"/>
                                </a:solidFill>
                                <a:ln>
                                  <a:noFill/>
                                </a:ln>
                              </wps:spPr>
                              <wps:txbx>
                                <w:txbxContent>
                                  <w:p>
                                    <w:r>
                                      <w:rPr>
                                        <w:rFonts w:hint="eastAsia" w:cs="宋体"/>
                                        <w:lang w:bidi="ar"/>
                                      </w:rPr>
                                      <w:t>新鲜水</w:t>
                                    </w:r>
                                  </w:p>
                                </w:txbxContent>
                              </wps:txbx>
                              <wps:bodyPr wrap="square" lIns="18000" tIns="45720" rIns="91440" bIns="45720" upright="1"/>
                            </wps:wsp>
                            <wps:wsp>
                              <wps:cNvPr id="13" name="直接箭头连接符 64"/>
                              <wps:cNvCnPr/>
                              <wps:spPr>
                                <a:xfrm>
                                  <a:off x="1756411" y="584312"/>
                                  <a:ext cx="586925" cy="599"/>
                                </a:xfrm>
                                <a:prstGeom prst="straightConnector1">
                                  <a:avLst/>
                                </a:prstGeom>
                                <a:ln w="9525" cap="flat" cmpd="sng">
                                  <a:solidFill>
                                    <a:srgbClr val="000000"/>
                                  </a:solidFill>
                                  <a:prstDash val="solid"/>
                                  <a:headEnd type="none" w="med" len="med"/>
                                  <a:tailEnd type="triangle" w="med" len="med"/>
                                </a:ln>
                              </wps:spPr>
                              <wps:bodyPr/>
                            </wps:wsp>
                            <wps:wsp>
                              <wps:cNvPr id="19" name="矩形 65"/>
                              <wps:cNvSpPr/>
                              <wps:spPr>
                                <a:xfrm>
                                  <a:off x="1109980" y="431165"/>
                                  <a:ext cx="750570" cy="280670"/>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cs="宋体"/>
                                        <w:lang w:bidi="ar"/>
                                      </w:rPr>
                                      <w:t>生活用水</w:t>
                                    </w:r>
                                  </w:p>
                                </w:txbxContent>
                              </wps:txbx>
                              <wps:bodyPr wrap="square" upright="1"/>
                            </wps:wsp>
                            <wpg:wgp>
                              <wpg:cNvPr id="21" name="组合 68"/>
                              <wpg:cNvGrpSpPr/>
                              <wpg:grpSpPr>
                                <a:xfrm>
                                  <a:off x="1216385" y="228268"/>
                                  <a:ext cx="358933" cy="203124"/>
                                  <a:chOff x="5573" y="8617"/>
                                  <a:chExt cx="537" cy="304"/>
                                </a:xfrm>
                              </wpg:grpSpPr>
                              <wps:wsp>
                                <wps:cNvPr id="22" name="任意多边形 66"/>
                                <wps:cNvSpPr/>
                                <wps:spPr>
                                  <a:xfrm>
                                    <a:off x="5573" y="8617"/>
                                    <a:ext cx="537" cy="304"/>
                                  </a:xfrm>
                                  <a:custGeom>
                                    <a:avLst/>
                                    <a:gdLst/>
                                    <a:ahLst/>
                                    <a:cxnLst/>
                                    <a:rect l="0" t="0" r="0" b="0"/>
                                    <a:pathLst>
                                      <a:path w="660" h="373">
                                        <a:moveTo>
                                          <a:pt x="0" y="373"/>
                                        </a:moveTo>
                                        <a:cubicBezTo>
                                          <a:pt x="122" y="254"/>
                                          <a:pt x="245" y="135"/>
                                          <a:pt x="315" y="120"/>
                                        </a:cubicBezTo>
                                        <a:cubicBezTo>
                                          <a:pt x="385" y="105"/>
                                          <a:pt x="363" y="305"/>
                                          <a:pt x="420" y="285"/>
                                        </a:cubicBezTo>
                                        <a:cubicBezTo>
                                          <a:pt x="477" y="265"/>
                                          <a:pt x="620" y="47"/>
                                          <a:pt x="660" y="0"/>
                                        </a:cubicBezTo>
                                      </a:path>
                                    </a:pathLst>
                                  </a:custGeom>
                                  <a:noFill/>
                                  <a:ln w="9525" cap="flat" cmpd="sng">
                                    <a:solidFill>
                                      <a:srgbClr val="000000"/>
                                    </a:solidFill>
                                    <a:prstDash val="solid"/>
                                    <a:headEnd type="none" w="med" len="med"/>
                                    <a:tailEnd type="none" w="med" len="med"/>
                                  </a:ln>
                                </wps:spPr>
                                <wps:bodyPr wrap="square" upright="1"/>
                              </wps:wsp>
                              <wps:wsp>
                                <wps:cNvPr id="23" name="直接箭头连接符 67"/>
                                <wps:cNvCnPr/>
                                <wps:spPr>
                                  <a:xfrm flipV="1">
                                    <a:off x="5915" y="8629"/>
                                    <a:ext cx="195" cy="220"/>
                                  </a:xfrm>
                                  <a:prstGeom prst="straightConnector1">
                                    <a:avLst/>
                                  </a:prstGeom>
                                  <a:ln w="9525" cap="flat" cmpd="sng">
                                    <a:solidFill>
                                      <a:srgbClr val="000000"/>
                                    </a:solidFill>
                                    <a:prstDash val="solid"/>
                                    <a:headEnd type="none" w="med" len="med"/>
                                    <a:tailEnd type="triangle" w="med" len="med"/>
                                  </a:ln>
                                </wps:spPr>
                                <wps:bodyPr/>
                              </wps:wsp>
                            </wpg:wgp>
                            <wps:wsp>
                              <wps:cNvPr id="24" name="矩形 69"/>
                              <wps:cNvSpPr/>
                              <wps:spPr>
                                <a:xfrm>
                                  <a:off x="1298575" y="0"/>
                                  <a:ext cx="831215" cy="304800"/>
                                </a:xfrm>
                                <a:prstGeom prst="rect">
                                  <a:avLst/>
                                </a:prstGeom>
                                <a:noFill/>
                                <a:ln>
                                  <a:noFill/>
                                </a:ln>
                              </wps:spPr>
                              <wps:txbx>
                                <w:txbxContent>
                                  <w:p>
                                    <w:r>
                                      <w:rPr>
                                        <w:rFonts w:hint="eastAsia" w:cs="宋体"/>
                                        <w:lang w:bidi="ar"/>
                                      </w:rPr>
                                      <w:t>损耗</w:t>
                                    </w:r>
                                    <w:r>
                                      <w:rPr>
                                        <w:lang w:bidi="ar"/>
                                      </w:rPr>
                                      <w:t>90</w:t>
                                    </w:r>
                                  </w:p>
                                </w:txbxContent>
                              </wps:txbx>
                              <wps:bodyPr wrap="square" upright="1"/>
                            </wps:wsp>
                            <wps:wsp>
                              <wps:cNvPr id="25" name="矩形 70"/>
                              <wps:cNvSpPr/>
                              <wps:spPr>
                                <a:xfrm>
                                  <a:off x="2337435" y="59690"/>
                                  <a:ext cx="782955" cy="1145540"/>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cs="宋体"/>
                                        <w:lang w:bidi="ar"/>
                                      </w:rPr>
                                      <w:t>化粪池</w:t>
                                    </w:r>
                                    <w:r>
                                      <w:rPr>
                                        <w:lang w:bidi="ar"/>
                                      </w:rPr>
                                      <w:t>+</w:t>
                                    </w:r>
                                    <w:r>
                                      <w:rPr>
                                        <w:rFonts w:hint="eastAsia" w:cs="宋体"/>
                                        <w:lang w:bidi="ar"/>
                                      </w:rPr>
                                      <w:t>地埋式一体化污水处理设备</w:t>
                                    </w:r>
                                  </w:p>
                                </w:txbxContent>
                              </wps:txbx>
                              <wps:bodyPr wrap="square" upright="1"/>
                            </wps:wsp>
                            <wps:wsp>
                              <wps:cNvPr id="26" name="矩形 72"/>
                              <wps:cNvSpPr/>
                              <wps:spPr>
                                <a:xfrm flipH="1" flipV="1">
                                  <a:off x="3829050" y="344805"/>
                                  <a:ext cx="411480" cy="1511300"/>
                                </a:xfrm>
                                <a:prstGeom prst="rect">
                                  <a:avLst/>
                                </a:prstGeom>
                                <a:solidFill>
                                  <a:srgbClr val="FFFFFF"/>
                                </a:solidFill>
                                <a:ln>
                                  <a:noFill/>
                                </a:ln>
                              </wps:spPr>
                              <wps:txbx>
                                <w:txbxContent>
                                  <w:p>
                                    <w:r>
                                      <w:rPr>
                                        <w:rFonts w:hint="eastAsia" w:cs="宋体"/>
                                        <w:lang w:bidi="ar"/>
                                      </w:rPr>
                                      <w:t>用于肥田</w:t>
                                    </w:r>
                                  </w:p>
                                </w:txbxContent>
                              </wps:txbx>
                              <wps:bodyPr wrap="square" upright="1"/>
                            </wps:wsp>
                            <wps:wsp>
                              <wps:cNvPr id="27" name="矩形 73"/>
                              <wps:cNvSpPr/>
                              <wps:spPr>
                                <a:xfrm>
                                  <a:off x="1819228" y="314478"/>
                                  <a:ext cx="492613" cy="239900"/>
                                </a:xfrm>
                                <a:prstGeom prst="rect">
                                  <a:avLst/>
                                </a:prstGeom>
                                <a:noFill/>
                                <a:ln>
                                  <a:noFill/>
                                </a:ln>
                              </wps:spPr>
                              <wps:txbx>
                                <w:txbxContent>
                                  <w:p>
                                    <w:r>
                                      <w:rPr>
                                        <w:lang w:bidi="ar"/>
                                      </w:rPr>
                                      <w:t>360</w:t>
                                    </w:r>
                                  </w:p>
                                </w:txbxContent>
                              </wps:txbx>
                              <wps:bodyPr wrap="square" upright="1"/>
                            </wps:wsp>
                            <wps:wsp>
                              <wps:cNvPr id="28" name="直接箭头连接符 74"/>
                              <wps:cNvCnPr/>
                              <wps:spPr>
                                <a:xfrm>
                                  <a:off x="527959" y="597826"/>
                                  <a:ext cx="586840" cy="1283"/>
                                </a:xfrm>
                                <a:prstGeom prst="straightConnector1">
                                  <a:avLst/>
                                </a:prstGeom>
                                <a:ln w="9525" cap="flat" cmpd="sng">
                                  <a:solidFill>
                                    <a:srgbClr val="000000"/>
                                  </a:solidFill>
                                  <a:prstDash val="solid"/>
                                  <a:headEnd type="none" w="med" len="med"/>
                                  <a:tailEnd type="triangle" w="med" len="med"/>
                                </a:ln>
                              </wps:spPr>
                              <wps:bodyPr/>
                            </wps:wsp>
                            <wps:wsp>
                              <wps:cNvPr id="29" name="直接箭头连接符 75"/>
                              <wps:cNvCnPr/>
                              <wps:spPr>
                                <a:xfrm>
                                  <a:off x="15918" y="810956"/>
                                  <a:ext cx="685" cy="684"/>
                                </a:xfrm>
                                <a:prstGeom prst="straightConnector1">
                                  <a:avLst/>
                                </a:prstGeom>
                                <a:ln w="9525" cap="flat" cmpd="sng">
                                  <a:solidFill>
                                    <a:srgbClr val="000000"/>
                                  </a:solidFill>
                                  <a:prstDash val="solid"/>
                                  <a:headEnd type="none" w="med" len="med"/>
                                  <a:tailEnd type="none" w="med" len="med"/>
                                </a:ln>
                              </wps:spPr>
                              <wps:bodyPr/>
                            </wps:wsp>
                            <wps:wsp>
                              <wps:cNvPr id="30" name="矩形 77"/>
                              <wps:cNvSpPr/>
                              <wps:spPr>
                                <a:xfrm>
                                  <a:off x="594542" y="306268"/>
                                  <a:ext cx="406517" cy="240071"/>
                                </a:xfrm>
                                <a:prstGeom prst="rect">
                                  <a:avLst/>
                                </a:prstGeom>
                                <a:solidFill>
                                  <a:srgbClr val="FFFFFF"/>
                                </a:solidFill>
                                <a:ln>
                                  <a:noFill/>
                                </a:ln>
                              </wps:spPr>
                              <wps:txbx>
                                <w:txbxContent>
                                  <w:p>
                                    <w:r>
                                      <w:rPr>
                                        <w:lang w:bidi="ar"/>
                                      </w:rPr>
                                      <w:t>450</w:t>
                                    </w:r>
                                  </w:p>
                                </w:txbxContent>
                              </wps:txbx>
                              <wps:bodyPr wrap="square" upright="1"/>
                            </wps:wsp>
                            <wps:wsp>
                              <wps:cNvPr id="31" name="直接箭头连接符 78_SpCnt_1"/>
                              <wps:cNvCnPr/>
                              <wps:spPr>
                                <a:xfrm>
                                  <a:off x="-81475" y="793423"/>
                                  <a:ext cx="597794" cy="0"/>
                                </a:xfrm>
                                <a:prstGeom prst="straightConnector1">
                                  <a:avLst/>
                                </a:prstGeom>
                                <a:ln w="9525" cap="flat" cmpd="sng">
                                  <a:solidFill>
                                    <a:srgbClr val="000000"/>
                                  </a:solidFill>
                                  <a:prstDash val="solid"/>
                                  <a:headEnd type="none" w="med" len="med"/>
                                  <a:tailEnd type="triangle" w="med" len="med"/>
                                </a:ln>
                              </wps:spPr>
                              <wps:bodyPr/>
                            </wps:wsp>
                            <wps:wsp>
                              <wps:cNvPr id="32" name="直线 2095"/>
                              <wps:cNvCnPr/>
                              <wps:spPr>
                                <a:xfrm flipH="1" flipV="1">
                                  <a:off x="511356" y="734239"/>
                                  <a:ext cx="179381" cy="301393"/>
                                </a:xfrm>
                                <a:prstGeom prst="line">
                                  <a:avLst/>
                                </a:prstGeom>
                                <a:ln>
                                  <a:noFill/>
                                </a:ln>
                              </wps:spPr>
                              <wps:bodyPr/>
                            </wps:wsp>
                            <wps:wsp>
                              <wps:cNvPr id="33" name="直线 2096"/>
                              <wps:cNvCnPr/>
                              <wps:spPr>
                                <a:xfrm flipV="1">
                                  <a:off x="517545" y="595602"/>
                                  <a:ext cx="10160" cy="2091055"/>
                                </a:xfrm>
                                <a:prstGeom prst="line">
                                  <a:avLst/>
                                </a:prstGeom>
                                <a:ln w="9525" cap="flat" cmpd="sng">
                                  <a:solidFill>
                                    <a:srgbClr val="000000"/>
                                  </a:solidFill>
                                  <a:prstDash val="solid"/>
                                  <a:headEnd type="none" w="med" len="med"/>
                                  <a:tailEnd type="none" w="med" len="med"/>
                                </a:ln>
                              </wps:spPr>
                              <wps:bodyPr/>
                            </wps:wsp>
                            <wps:wsp>
                              <wps:cNvPr id="34" name="矩形 73_SpCnt_1"/>
                              <wps:cNvSpPr/>
                              <wps:spPr>
                                <a:xfrm>
                                  <a:off x="3166127" y="361689"/>
                                  <a:ext cx="544562" cy="238959"/>
                                </a:xfrm>
                                <a:prstGeom prst="rect">
                                  <a:avLst/>
                                </a:prstGeom>
                                <a:solidFill>
                                  <a:srgbClr val="FFFFFF"/>
                                </a:solidFill>
                                <a:ln>
                                  <a:noFill/>
                                </a:ln>
                              </wps:spPr>
                              <wps:txbx>
                                <w:txbxContent>
                                  <w:p>
                                    <w:r>
                                      <w:rPr>
                                        <w:lang w:bidi="ar"/>
                                      </w:rPr>
                                      <w:t>360</w:t>
                                    </w:r>
                                  </w:p>
                                </w:txbxContent>
                              </wps:txbx>
                              <wps:bodyPr wrap="square" upright="1"/>
                            </wps:wsp>
                            <wps:wsp>
                              <wps:cNvPr id="35" name="直接箭头连接符 64_SpCnt_1"/>
                              <wps:cNvCnPr/>
                              <wps:spPr>
                                <a:xfrm flipV="1">
                                  <a:off x="3124876" y="569089"/>
                                  <a:ext cx="724970" cy="7099"/>
                                </a:xfrm>
                                <a:prstGeom prst="straightConnector1">
                                  <a:avLst/>
                                </a:prstGeom>
                                <a:ln w="9525" cap="flat" cmpd="sng">
                                  <a:solidFill>
                                    <a:srgbClr val="000000"/>
                                  </a:solidFill>
                                  <a:prstDash val="solid"/>
                                  <a:headEnd type="none" w="med" len="med"/>
                                  <a:tailEnd type="triangle" w="med" len="med"/>
                                </a:ln>
                              </wps:spPr>
                              <wps:bodyPr/>
                            </wps:wsp>
                            <wps:wsp>
                              <wps:cNvPr id="36" name="直线 2729"/>
                              <wps:cNvCnPr/>
                              <wps:spPr>
                                <a:xfrm flipH="1">
                                  <a:off x="1740150" y="1332150"/>
                                  <a:ext cx="896648" cy="599"/>
                                </a:xfrm>
                                <a:prstGeom prst="line">
                                  <a:avLst/>
                                </a:prstGeom>
                                <a:ln>
                                  <a:noFill/>
                                </a:ln>
                              </wps:spPr>
                              <wps:bodyPr/>
                            </wps:wsp>
                            <wpg:wgp>
                              <wpg:cNvPr id="37" name="组合 84"/>
                              <wpg:cNvGrpSpPr/>
                              <wpg:grpSpPr>
                                <a:xfrm>
                                  <a:off x="1253784" y="1864976"/>
                                  <a:ext cx="358676" cy="195512"/>
                                  <a:chOff x="5573" y="8617"/>
                                  <a:chExt cx="537" cy="304"/>
                                </a:xfrm>
                              </wpg:grpSpPr>
                              <wps:wsp>
                                <wps:cNvPr id="38" name="任意多边形 82_SpCnt_1"/>
                                <wps:cNvSpPr/>
                                <wps:spPr>
                                  <a:xfrm>
                                    <a:off x="5573" y="8617"/>
                                    <a:ext cx="537" cy="304"/>
                                  </a:xfrm>
                                  <a:custGeom>
                                    <a:avLst/>
                                    <a:gdLst/>
                                    <a:ahLst/>
                                    <a:cxnLst/>
                                    <a:rect l="0" t="0" r="0" b="0"/>
                                    <a:pathLst>
                                      <a:path w="660" h="373">
                                        <a:moveTo>
                                          <a:pt x="0" y="373"/>
                                        </a:moveTo>
                                        <a:cubicBezTo>
                                          <a:pt x="122" y="254"/>
                                          <a:pt x="245" y="135"/>
                                          <a:pt x="315" y="120"/>
                                        </a:cubicBezTo>
                                        <a:cubicBezTo>
                                          <a:pt x="385" y="105"/>
                                          <a:pt x="363" y="305"/>
                                          <a:pt x="420" y="285"/>
                                        </a:cubicBezTo>
                                        <a:cubicBezTo>
                                          <a:pt x="477" y="265"/>
                                          <a:pt x="620" y="47"/>
                                          <a:pt x="660" y="0"/>
                                        </a:cubicBezTo>
                                      </a:path>
                                    </a:pathLst>
                                  </a:custGeom>
                                  <a:noFill/>
                                  <a:ln w="9525" cap="flat" cmpd="sng">
                                    <a:solidFill>
                                      <a:srgbClr val="000000"/>
                                    </a:solidFill>
                                    <a:prstDash val="solid"/>
                                    <a:headEnd type="none" w="med" len="med"/>
                                    <a:tailEnd type="none" w="med" len="med"/>
                                  </a:ln>
                                </wps:spPr>
                                <wps:bodyPr wrap="square" upright="1"/>
                              </wps:wsp>
                              <wps:wsp>
                                <wps:cNvPr id="39" name="直接箭头连接符 83_SpCnt_1"/>
                                <wps:cNvCnPr/>
                                <wps:spPr>
                                  <a:xfrm flipV="1">
                                    <a:off x="5915" y="8629"/>
                                    <a:ext cx="195" cy="220"/>
                                  </a:xfrm>
                                  <a:prstGeom prst="straightConnector1">
                                    <a:avLst/>
                                  </a:prstGeom>
                                  <a:ln w="9525" cap="flat" cmpd="sng">
                                    <a:solidFill>
                                      <a:srgbClr val="000000"/>
                                    </a:solidFill>
                                    <a:prstDash val="solid"/>
                                    <a:headEnd type="none" w="med" len="med"/>
                                    <a:tailEnd type="triangle" w="med" len="med"/>
                                  </a:ln>
                                </wps:spPr>
                                <wps:bodyPr/>
                              </wps:wsp>
                            </wpg:wgp>
                            <wps:wsp>
                              <wps:cNvPr id="40" name="矩形 65_SpCnt_2"/>
                              <wps:cNvSpPr/>
                              <wps:spPr>
                                <a:xfrm>
                                  <a:off x="1123315" y="2049780"/>
                                  <a:ext cx="925830" cy="271780"/>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cs="宋体"/>
                                        <w:lang w:bidi="ar"/>
                                      </w:rPr>
                                      <w:t>水性漆配水</w:t>
                                    </w:r>
                                  </w:p>
                                </w:txbxContent>
                              </wps:txbx>
                              <wps:bodyPr wrap="square" upright="1"/>
                            </wps:wsp>
                            <wps:wsp>
                              <wps:cNvPr id="41" name="矩形 77_SpCnt_2"/>
                              <wps:cNvSpPr/>
                              <wps:spPr>
                                <a:xfrm>
                                  <a:off x="579907" y="1908423"/>
                                  <a:ext cx="543449" cy="238959"/>
                                </a:xfrm>
                                <a:prstGeom prst="rect">
                                  <a:avLst/>
                                </a:prstGeom>
                                <a:solidFill>
                                  <a:srgbClr val="FFFFFF"/>
                                </a:solidFill>
                                <a:ln>
                                  <a:noFill/>
                                </a:ln>
                              </wps:spPr>
                              <wps:txbx>
                                <w:txbxContent>
                                  <w:p>
                                    <w:pPr>
                                      <w:rPr>
                                        <w:rFonts w:hint="default" w:eastAsia="宋体"/>
                                        <w:lang w:val="en-US" w:eastAsia="zh-CN"/>
                                      </w:rPr>
                                    </w:pPr>
                                    <w:r>
                                      <w:rPr>
                                        <w:rFonts w:hint="eastAsia"/>
                                        <w:lang w:val="en-US" w:eastAsia="zh-CN"/>
                                      </w:rPr>
                                      <w:t>11</w:t>
                                    </w:r>
                                  </w:p>
                                </w:txbxContent>
                              </wps:txbx>
                              <wps:bodyPr wrap="square" upright="1"/>
                            </wps:wsp>
                            <wps:wsp>
                              <wps:cNvPr id="42" name="矩形 69_SpCnt_3"/>
                              <wps:cNvSpPr/>
                              <wps:spPr>
                                <a:xfrm>
                                  <a:off x="1275715" y="1652270"/>
                                  <a:ext cx="826135" cy="285115"/>
                                </a:xfrm>
                                <a:prstGeom prst="rect">
                                  <a:avLst/>
                                </a:prstGeom>
                                <a:noFill/>
                                <a:ln>
                                  <a:noFill/>
                                </a:ln>
                              </wps:spPr>
                              <wps:txbx>
                                <w:txbxContent>
                                  <w:p>
                                    <w:pPr>
                                      <w:rPr>
                                        <w:rFonts w:hint="default" w:eastAsia="宋体"/>
                                        <w:lang w:val="en-US" w:eastAsia="zh-CN"/>
                                      </w:rPr>
                                    </w:pPr>
                                    <w:r>
                                      <w:rPr>
                                        <w:rFonts w:hint="eastAsia" w:cs="宋体"/>
                                        <w:lang w:bidi="ar"/>
                                      </w:rPr>
                                      <w:t>损耗</w:t>
                                    </w:r>
                                    <w:r>
                                      <w:rPr>
                                        <w:rFonts w:hint="eastAsia" w:cs="宋体"/>
                                        <w:lang w:val="en-US" w:eastAsia="zh-CN" w:bidi="ar"/>
                                      </w:rPr>
                                      <w:t>11</w:t>
                                    </w:r>
                                  </w:p>
                                </w:txbxContent>
                              </wps:txbx>
                              <wps:bodyPr wrap="square" upright="1"/>
                            </wps:wsp>
                            <wps:wsp>
                              <wps:cNvPr id="43" name="直接箭头连接符 78_SpCnt_2"/>
                              <wps:cNvCnPr/>
                              <wps:spPr>
                                <a:xfrm>
                                  <a:off x="534805" y="2196731"/>
                                  <a:ext cx="597794" cy="0"/>
                                </a:xfrm>
                                <a:prstGeom prst="straightConnector1">
                                  <a:avLst/>
                                </a:prstGeom>
                                <a:ln w="9525" cap="flat" cmpd="sng">
                                  <a:solidFill>
                                    <a:srgbClr val="000000"/>
                                  </a:solidFill>
                                  <a:prstDash val="solid"/>
                                  <a:headEnd type="none" w="med" len="med"/>
                                  <a:tailEnd type="triangle" w="med" len="med"/>
                                </a:ln>
                              </wps:spPr>
                              <wps:bodyPr/>
                            </wps:wsp>
                            <wps:wsp>
                              <wps:cNvPr id="44" name="矩形 65_SpCnt_3"/>
                              <wps:cNvSpPr/>
                              <wps:spPr>
                                <a:xfrm>
                                  <a:off x="1122045" y="2545715"/>
                                  <a:ext cx="1084580" cy="271780"/>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cs="宋体"/>
                                        <w:lang w:bidi="ar"/>
                                      </w:rPr>
                                      <w:t>喷枪清洗用水</w:t>
                                    </w:r>
                                  </w:p>
                                </w:txbxContent>
                              </wps:txbx>
                              <wps:bodyPr wrap="square" upright="1"/>
                            </wps:wsp>
                            <wps:wsp>
                              <wps:cNvPr id="45" name="矩形 77_SpCnt_3"/>
                              <wps:cNvSpPr/>
                              <wps:spPr>
                                <a:xfrm>
                                  <a:off x="596168" y="2404217"/>
                                  <a:ext cx="461975" cy="238959"/>
                                </a:xfrm>
                                <a:prstGeom prst="rect">
                                  <a:avLst/>
                                </a:prstGeom>
                                <a:solidFill>
                                  <a:srgbClr val="FFFFFF"/>
                                </a:solidFill>
                                <a:ln>
                                  <a:noFill/>
                                </a:ln>
                              </wps:spPr>
                              <wps:txbx>
                                <w:txbxContent>
                                  <w:p>
                                    <w:pPr>
                                      <w:rPr>
                                        <w:rFonts w:hint="eastAsia" w:eastAsia="宋体"/>
                                        <w:lang w:val="en-US" w:eastAsia="zh-CN"/>
                                      </w:rPr>
                                    </w:pPr>
                                    <w:r>
                                      <w:rPr>
                                        <w:rFonts w:hint="eastAsia"/>
                                        <w:lang w:val="en-US" w:eastAsia="zh-CN" w:bidi="ar"/>
                                      </w:rPr>
                                      <w:t>3</w:t>
                                    </w:r>
                                  </w:p>
                                </w:txbxContent>
                              </wps:txbx>
                              <wps:bodyPr wrap="square" upright="1"/>
                            </wps:wsp>
                            <wps:wsp>
                              <wps:cNvPr id="46" name="直接箭头连接符 78_SpCnt_3"/>
                              <wps:cNvCnPr/>
                              <wps:spPr>
                                <a:xfrm>
                                  <a:off x="526589" y="2677985"/>
                                  <a:ext cx="597794" cy="0"/>
                                </a:xfrm>
                                <a:prstGeom prst="straightConnector1">
                                  <a:avLst/>
                                </a:prstGeom>
                                <a:ln w="9525" cap="flat" cmpd="sng">
                                  <a:solidFill>
                                    <a:srgbClr val="000000"/>
                                  </a:solidFill>
                                  <a:prstDash val="solid"/>
                                  <a:headEnd type="none" w="med" len="med"/>
                                  <a:tailEnd type="triangle" w="med" len="med"/>
                                </a:ln>
                              </wps:spPr>
                              <wps:bodyPr/>
                            </wps:wsp>
                            <wps:wsp>
                              <wps:cNvPr id="47" name="直线 2742"/>
                              <wps:cNvCnPr/>
                              <wps:spPr>
                                <a:xfrm flipH="1" flipV="1">
                                  <a:off x="1466799" y="2314586"/>
                                  <a:ext cx="8130" cy="226472"/>
                                </a:xfrm>
                                <a:prstGeom prst="line">
                                  <a:avLst/>
                                </a:prstGeom>
                                <a:ln w="9525" cap="flat" cmpd="sng">
                                  <a:solidFill>
                                    <a:srgbClr val="000000"/>
                                  </a:solidFill>
                                  <a:prstDash val="solid"/>
                                  <a:headEnd type="none" w="med" len="med"/>
                                  <a:tailEnd type="triangle" w="med" len="med"/>
                                </a:ln>
                              </wps:spPr>
                              <wps:bodyPr/>
                            </wps:wsp>
                            <wps:wsp>
                              <wps:cNvPr id="48" name="矩形 77_SpCnt_4"/>
                              <wps:cNvSpPr/>
                              <wps:spPr>
                                <a:xfrm>
                                  <a:off x="1521460" y="2331720"/>
                                  <a:ext cx="543560" cy="243840"/>
                                </a:xfrm>
                                <a:prstGeom prst="rect">
                                  <a:avLst/>
                                </a:prstGeom>
                                <a:noFill/>
                                <a:ln>
                                  <a:noFill/>
                                </a:ln>
                              </wps:spPr>
                              <wps:txbx>
                                <w:txbxContent>
                                  <w:p>
                                    <w:pPr>
                                      <w:rPr>
                                        <w:rFonts w:hint="eastAsia" w:eastAsia="宋体"/>
                                        <w:lang w:val="en-US" w:eastAsia="zh-CN"/>
                                      </w:rPr>
                                    </w:pPr>
                                    <w:r>
                                      <w:rPr>
                                        <w:rFonts w:hint="eastAsia"/>
                                        <w:lang w:val="en-US" w:eastAsia="zh-CN" w:bidi="ar"/>
                                      </w:rPr>
                                      <w:t>3</w:t>
                                    </w:r>
                                  </w:p>
                                </w:txbxContent>
                              </wps:txbx>
                              <wps:bodyPr wrap="square" upright="1"/>
                            </wps:wsp>
                          </wpc:wpc>
                        </a:graphicData>
                      </a:graphic>
                    </wp:anchor>
                  </w:drawing>
                </mc:Choice>
                <mc:Fallback>
                  <w:pict>
                    <v:group id="画布 87" o:spid="_x0000_s1026" o:spt="203" style="position:absolute;left:0pt;margin-left:29.75pt;margin-top:10.85pt;height:266.45pt;width:333.9pt;mso-wrap-distance-bottom:0pt;mso-wrap-distance-top:0pt;z-index:251663360;mso-width-relative:page;mso-height-relative:page;" coordsize="4240530,3383915" editas="canvas" o:gfxdata="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">
                      <o:lock v:ext="edit" aspectratio="f"/>
                      <v:shape id="画布 87" o:spid="_x0000_s1026" style="position:absolute;left:0;top:0;height:3383915;width:4240530;" filled="f" stroked="f" coordsize="21600,21600" o:gfxdata="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">
                        <v:fill on="f" focussize="0,0"/>
                        <v:stroke on="f"/>
                        <v:imagedata o:title=""/>
                        <o:lock v:ext="edit" aspectratio="t"/>
                      </v:shape>
                      <v:rect id="矩形 62" o:spid="_x0000_s1026" o:spt="1" style="position:absolute;left:6350;top:862965;height:240030;width:704215;" fillcolor="#FFFFFF" filled="t" stroked="f" coordsize="21600,21600" o:gfxdata="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&#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T09H1wAAAAkBAAAPAAAAAAAAAAEAIAAAACIAAABk&#10;cnMvZG93bnJldi54bWxQSwECFAAUAAAACACHTuJAbpPL9s4BAACAAwAADgAAAAAAAAABACAAAAAm&#10;AQAAZHJzL2Uyb0RvYy54bWxQSwUGAAAAAAYABgBZAQAAZgUAAAAA&#10;">
                        <v:fill on="t" focussize="0,0"/>
                        <v:stroke on="f"/>
                        <v:imagedata o:title=""/>
                        <o:lock v:ext="edit" aspectratio="f"/>
                        <v:textbox>
                          <w:txbxContent>
                            <w:p>
                              <w:pPr>
                                <w:rPr>
                                  <w:rFonts w:hint="default" w:eastAsia="宋体"/>
                                  <w:lang w:val="en-US" w:eastAsia="zh-CN"/>
                                </w:rPr>
                              </w:pPr>
                              <w:r>
                                <w:rPr>
                                  <w:rFonts w:hint="eastAsia"/>
                                </w:rPr>
                                <w:t>4</w:t>
                              </w:r>
                              <w:r>
                                <w:rPr>
                                  <w:rFonts w:hint="eastAsia"/>
                                  <w:lang w:val="en-US" w:eastAsia="zh-CN"/>
                                </w:rPr>
                                <w:t>64</w:t>
                              </w:r>
                            </w:p>
                          </w:txbxContent>
                        </v:textbox>
                      </v:rect>
                      <v:rect id="矩形 63" o:spid="_x0000_s1026" o:spt="1" style="position:absolute;left:0;top:550102;height:301479;width:514094;" fillcolor="#FFFFFF" filled="t" stroked="f" coordsize="21600,21600" o:gfxdata="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I2qIx3ZAAAACQEA&#10;AA8AAAAAAAAAAQAgAAAAIgAAAGRycy9kb3ducmV2LnhtbFBLAQIUABQAAAAIAIdO4kAoKYn24AEA&#10;ALEDAAAOAAAAAAAAAAEAIAAAACgBAABkcnMvZTJvRG9jLnhtbFBLBQYAAAAABgAGAFkBAAB6BQAA&#10;AAA=&#10;">
                        <v:fill on="t" focussize="0,0"/>
                        <v:stroke on="f"/>
                        <v:imagedata o:title=""/>
                        <o:lock v:ext="edit" aspectratio="f"/>
                        <v:textbox inset="0.5mm,1.27mm,2.54mm,1.27mm">
                          <w:txbxContent>
                            <w:p>
                              <w:r>
                                <w:rPr>
                                  <w:rFonts w:hint="eastAsia" w:cs="宋体"/>
                                  <w:lang w:bidi="ar"/>
                                </w:rPr>
                                <w:t>新鲜水</w:t>
                              </w:r>
                            </w:p>
                          </w:txbxContent>
                        </v:textbox>
                      </v:rect>
                      <v:shape id="直接箭头连接符 64" o:spid="_x0000_s1026" o:spt="32" type="#_x0000_t32" style="position:absolute;left:1756411;top:584312;height:599;width:586925;" filled="f" stroked="t" coordsize="21600,21600" o:gfxdata="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va7XS2gAAAAkBAAAPAAAA&#10;AAAAAAEAIAAAACIAAABkcnMvZG93bnJldi54bWxQSwECFAAUAAAACACHTuJAWrTzFRMCAAD+AwAA&#10;DgAAAAAAAAABACAAAAApAQAAZHJzL2Uyb0RvYy54bWxQSwUGAAAAAAYABgBZAQAArgUAAAAA&#10;">
                        <v:fill on="f" focussize="0,0"/>
                        <v:stroke color="#000000" joinstyle="round" endarrow="block"/>
                        <v:imagedata o:title=""/>
                        <o:lock v:ext="edit" aspectratio="f"/>
                      </v:shape>
                      <v:rect id="矩形 65" o:spid="_x0000_s1026" o:spt="1" style="position:absolute;left:1109980;top:431165;height:280670;width:750570;" fillcolor="#FFFFFF" filled="t" stroked="t" coordsize="21600,21600" o:gfxdata="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HZQVlLXAAAACQEAAA8AAAAA&#10;AAAAAQAgAAAAIgAAAGRycy9kb3ducmV2LnhtbFBLAQIUABQAAAAIAIdO4kBLPHyrFQIAAEMEAAAO&#10;AAAAAAAAAAEAIAAAACYBAABkcnMvZTJvRG9jLnhtbFBLBQYAAAAABgAGAFkBAACtBQAAAAA=&#10;">
                        <v:fill on="t" focussize="0,0"/>
                        <v:stroke color="#000000" joinstyle="miter"/>
                        <v:imagedata o:title=""/>
                        <o:lock v:ext="edit" aspectratio="f"/>
                        <v:textbox>
                          <w:txbxContent>
                            <w:p>
                              <w:r>
                                <w:rPr>
                                  <w:rFonts w:hint="eastAsia" w:cs="宋体"/>
                                  <w:lang w:bidi="ar"/>
                                </w:rPr>
                                <w:t>生活用水</w:t>
                              </w:r>
                            </w:p>
                          </w:txbxContent>
                        </v:textbox>
                      </v:rect>
                      <v:group id="组合 68" o:spid="_x0000_s1026" o:spt="203" style="position:absolute;left:1216385;top:228268;height:203124;width:358933;" coordorigin="5573,8617" coordsize="537,304" o:gfxdata="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">
                        <o:lock v:ext="edit" aspectratio="f"/>
                        <v:shape id="任意多边形 66" o:spid="_x0000_s1026" o:spt="100" style="position:absolute;left:5573;top:8617;height:304;width:537;" filled="f" stroked="t" coordsize="660,373" o:gfxdata="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ak9pO8AAAA&#10;2wAAAA8AAAAAAAAAAQAgAAAAIgAAAGRycy9kb3ducmV2LnhtbFBLAQIUABQAAAAIAIdO4kAzLwWe&#10;OwAAADkAAAAQAAAAAAAAAAEAIAAAAAsBAABkcnMvc2hhcGV4bWwueG1sUEsFBgAAAAAGAAYAWwEA&#10;ALUDAAAAAA==&#10;" path="m0,373c122,254,245,135,315,120c385,105,363,305,420,285c477,265,620,47,660,0e">
                          <v:fill on="f" focussize="0,0"/>
                          <v:stroke color="#000000" joinstyle="round"/>
                          <v:imagedata o:title=""/>
                          <o:lock v:ext="edit" aspectratio="f"/>
                        </v:shape>
                        <v:shape id="直接箭头连接符 67" o:spid="_x0000_s1026" o:spt="32" type="#_x0000_t32" style="position:absolute;left:5915;top:8629;flip:y;height:220;width:195;" filled="f" stroked="t" coordsize="21600,21600" o:gfxdata="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1Q+ie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shape>
                      </v:group>
                      <v:rect id="矩形 69" o:spid="_x0000_s1026" o:spt="1" style="position:absolute;left:1298575;top:0;height:304800;width:831215;" filled="f" stroked="f" coordsize="21600,21600" o:gfxdata="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DiWYYd2gAAAAkBAAAPAAAAAAAAAAEAIAAAACIAAABkcnMvZG93bnJldi54bWxQSwECFAAUAAAA&#10;CACHTuJA6nG9ybMBAABWAwAADgAAAAAAAAABACAAAAApAQAAZHJzL2Uyb0RvYy54bWxQSwUGAAAA&#10;AAYABgBZAQAATgUAAAAA&#10;">
                        <v:fill on="f" focussize="0,0"/>
                        <v:stroke on="f"/>
                        <v:imagedata o:title=""/>
                        <o:lock v:ext="edit" aspectratio="f"/>
                        <v:textbox>
                          <w:txbxContent>
                            <w:p>
                              <w:r>
                                <w:rPr>
                                  <w:rFonts w:hint="eastAsia" w:cs="宋体"/>
                                  <w:lang w:bidi="ar"/>
                                </w:rPr>
                                <w:t>损耗</w:t>
                              </w:r>
                              <w:r>
                                <w:rPr>
                                  <w:lang w:bidi="ar"/>
                                </w:rPr>
                                <w:t>90</w:t>
                              </w:r>
                            </w:p>
                          </w:txbxContent>
                        </v:textbox>
                      </v:rect>
                      <v:rect id="矩形 70" o:spid="_x0000_s1026" o:spt="1" style="position:absolute;left:2337435;top:59690;height:1145540;width:782955;" fillcolor="#FFFFFF" filled="t" stroked="t" coordsize="21600,21600" o:gfxdata="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dlBWUtcAAAAJAQAADwAA&#10;AAAAAAABACAAAAAiAAAAZHJzL2Rvd25yZXYueG1sUEsBAhQAFAAAAAgAh07iQOOvstwXAgAAQwQA&#10;AA4AAAAAAAAAAQAgAAAAJgEAAGRycy9lMm9Eb2MueG1sUEsFBgAAAAAGAAYAWQEAAK8FAAAAAA==&#10;">
                        <v:fill on="t" focussize="0,0"/>
                        <v:stroke color="#000000" joinstyle="miter"/>
                        <v:imagedata o:title=""/>
                        <o:lock v:ext="edit" aspectratio="f"/>
                        <v:textbox>
                          <w:txbxContent>
                            <w:p>
                              <w:r>
                                <w:rPr>
                                  <w:rFonts w:hint="eastAsia" w:cs="宋体"/>
                                  <w:lang w:bidi="ar"/>
                                </w:rPr>
                                <w:t>化粪池</w:t>
                              </w:r>
                              <w:r>
                                <w:rPr>
                                  <w:lang w:bidi="ar"/>
                                </w:rPr>
                                <w:t>+</w:t>
                              </w:r>
                              <w:r>
                                <w:rPr>
                                  <w:rFonts w:hint="eastAsia" w:cs="宋体"/>
                                  <w:lang w:bidi="ar"/>
                                </w:rPr>
                                <w:t>地埋式一体化污水处理设备</w:t>
                              </w:r>
                            </w:p>
                          </w:txbxContent>
                        </v:textbox>
                      </v:rect>
                      <v:rect id="矩形 72" o:spid="_x0000_s1026" o:spt="1" style="position:absolute;left:3829050;top:344805;flip:x y;height:1511300;width:411480;" fillcolor="#FFFFFF" filled="t" stroked="f" coordsize="21600,21600" o:gfxdata="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PKIhf2QAAAAkBAAAPAAAA&#10;AAAAAAEAIAAAACIAAABkcnMvZG93bnJldi54bWxQSwECFAAUAAAACACHTuJAXr+8q9sBAACZAwAA&#10;DgAAAAAAAAABACAAAAAoAQAAZHJzL2Uyb0RvYy54bWxQSwUGAAAAAAYABgBZAQAAdQUAAAAA&#10;">
                        <v:fill on="t" focussize="0,0"/>
                        <v:stroke on="f"/>
                        <v:imagedata o:title=""/>
                        <o:lock v:ext="edit" aspectratio="f"/>
                        <v:textbox>
                          <w:txbxContent>
                            <w:p>
                              <w:r>
                                <w:rPr>
                                  <w:rFonts w:hint="eastAsia" w:cs="宋体"/>
                                  <w:lang w:bidi="ar"/>
                                </w:rPr>
                                <w:t>用于肥田</w:t>
                              </w:r>
                            </w:p>
                          </w:txbxContent>
                        </v:textbox>
                      </v:rect>
                      <v:rect id="矩形 73" o:spid="_x0000_s1026" o:spt="1" style="position:absolute;left:1819228;top:314478;height:239900;width:492613;" filled="f" stroked="f" coordsize="21600,21600" o:gfxdata="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OJZhh3aAAAACQEAAA8AAAAAAAAAAQAgAAAAIgAAAGRycy9kb3ducmV2LnhtbFBL&#10;AQIUABQAAAAIAIdO4kBa5ThguwEAAFsDAAAOAAAAAAAAAAEAIAAAACkBAABkcnMvZTJvRG9jLnht&#10;bFBLBQYAAAAABgAGAFkBAABWBQAAAAA=&#10;">
                        <v:fill on="f" focussize="0,0"/>
                        <v:stroke on="f"/>
                        <v:imagedata o:title=""/>
                        <o:lock v:ext="edit" aspectratio="f"/>
                        <v:textbox>
                          <w:txbxContent>
                            <w:p>
                              <w:r>
                                <w:rPr>
                                  <w:lang w:bidi="ar"/>
                                </w:rPr>
                                <w:t>360</w:t>
                              </w:r>
                            </w:p>
                          </w:txbxContent>
                        </v:textbox>
                      </v:rect>
                      <v:shape id="直接箭头连接符 74" o:spid="_x0000_s1026" o:spt="32" type="#_x0000_t32" style="position:absolute;left:527959;top:597826;height:1283;width:586840;" filled="f" stroked="t" coordsize="21600,21600" o:gfxdata="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va7XS2gAAAAkBAAAPAAAA&#10;AAAAAAEAIAAAACIAAABkcnMvZG93bnJldi54bWxQSwECFAAUAAAACACHTuJAcLpOVxMCAAD+AwAA&#10;DgAAAAAAAAABACAAAAApAQAAZHJzL2Uyb0RvYy54bWxQSwUGAAAAAAYABgBZAQAArgUAAAAA&#10;">
                        <v:fill on="f" focussize="0,0"/>
                        <v:stroke color="#000000" joinstyle="round" endarrow="block"/>
                        <v:imagedata o:title=""/>
                        <o:lock v:ext="edit" aspectratio="f"/>
                      </v:shape>
                      <v:shape id="直接箭头连接符 75" o:spid="_x0000_s1026" o:spt="32" type="#_x0000_t32" style="position:absolute;left:15918;top:810956;height:684;width:685;" filled="f" stroked="t" coordsize="21600,21600" o:gfxdata="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8MC8DdgAAAAJAQAADwAAAAAAAAABACAAAAAiAAAA&#10;ZHJzL2Rvd25yZXYueG1sUEsBAhQAFAAAAAgAh07iQHluoJwHAgAA9QMAAA4AAAAAAAAAAQAgAAAA&#10;JwEAAGRycy9lMm9Eb2MueG1sUEsFBgAAAAAGAAYAWQEAAKAFAAAAAA==&#10;">
                        <v:fill on="f" focussize="0,0"/>
                        <v:stroke color="#000000" joinstyle="round"/>
                        <v:imagedata o:title=""/>
                        <o:lock v:ext="edit" aspectratio="f"/>
                      </v:shape>
                      <v:rect id="矩形 77" o:spid="_x0000_s1026" o:spt="1" style="position:absolute;left:594542;top:306268;height:240071;width:406517;" fillcolor="#FFFFFF" filled="t" stroked="f" coordsize="21600,21600" o:gfxdata="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P09PR9cAAAAJAQAADwAAAAAAAAABACAAAAAiAAAAZHJz&#10;L2Rvd25yZXYueG1sUEsBAhQAFAAAAAgAh07iQPbSNXXMAQAAgwMAAA4AAAAAAAAAAQAgAAAAJgEA&#10;AGRycy9lMm9Eb2MueG1sUEsFBgAAAAAGAAYAWQEAAGQFAAAAAA==&#10;">
                        <v:fill on="t" focussize="0,0"/>
                        <v:stroke on="f"/>
                        <v:imagedata o:title=""/>
                        <o:lock v:ext="edit" aspectratio="f"/>
                        <v:textbox>
                          <w:txbxContent>
                            <w:p>
                              <w:r>
                                <w:rPr>
                                  <w:lang w:bidi="ar"/>
                                </w:rPr>
                                <w:t>450</w:t>
                              </w:r>
                            </w:p>
                          </w:txbxContent>
                        </v:textbox>
                      </v:rect>
                      <v:shape id="直接箭头连接符 78_SpCnt_1" o:spid="_x0000_s1026" o:spt="32" type="#_x0000_t32" style="position:absolute;left:-81475;top:793423;height:0;width:597794;" filled="f" stroked="t" coordsize="21600,21600" o:gfxdata="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va7XS2gAA&#10;AAkBAAAPAAAAAAAAAAEAIAAAACIAAABkcnMvZG93bnJldi54bWxQSwECFAAUAAAACACHTuJAYxoA&#10;yRwCAAADBAAADgAAAAAAAAABACAAAAApAQAAZHJzL2Uyb0RvYy54bWxQSwUGAAAAAAYABgBZAQAA&#10;twUAAAAA&#10;">
                        <v:fill on="f" focussize="0,0"/>
                        <v:stroke color="#000000" joinstyle="round" endarrow="block"/>
                        <v:imagedata o:title=""/>
                        <o:lock v:ext="edit" aspectratio="f"/>
                      </v:shape>
                      <v:line id="直线 2095" o:spid="_x0000_s1026" o:spt="20" style="position:absolute;left:511356;top:734239;flip:x y;height:301393;width:179381;" filled="f" stroked="f" coordsize="21600,21600" o:gfxdata="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MiQAIPXAAAA&#10;CQEAAA8AAAAAAAAAAQAgAAAAIgAAAGRycy9kb3ducmV2LnhtbFBLAQIUABQAAAAIAIdO4kAkQEnl&#10;rAEAAEADAAAOAAAAAAAAAAEAIAAAACYBAABkcnMvZTJvRG9jLnhtbFBLBQYAAAAABgAGAFkBAABE&#10;BQAAAAA=&#10;">
                        <v:fill on="f" focussize="0,0"/>
                        <v:stroke on="f"/>
                        <v:imagedata o:title=""/>
                        <o:lock v:ext="edit" aspectratio="f"/>
                      </v:line>
                      <v:line id="直线 2096" o:spid="_x0000_s1026" o:spt="20" style="position:absolute;left:517545;top:595602;flip:y;height:2091055;width:10160;" filled="f" stroked="t" coordsize="21600,21600" o:gfxdata="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9C5u61wAAAAkBAAAPAAAAAAAAAAEAIAAAACIAAABkcnMvZG93bnJldi54bWxQ&#10;SwECFAAUAAAACACHTuJAnMBNDvgBAADrAwAADgAAAAAAAAABACAAAAAmAQAAZHJzL2Uyb0RvYy54&#10;bWxQSwUGAAAAAAYABgBZAQAAkAUAAAAA&#10;">
                        <v:fill on="f" focussize="0,0"/>
                        <v:stroke color="#000000" joinstyle="round"/>
                        <v:imagedata o:title=""/>
                        <o:lock v:ext="edit" aspectratio="f"/>
                      </v:line>
                      <v:rect id="矩形 73_SpCnt_1" o:spid="_x0000_s1026" o:spt="1" style="position:absolute;left:3166127;top:361689;height:238959;width:544562;" fillcolor="#FFFFFF" filled="t" stroked="f" coordsize="21600,21600" o:gfxdata="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T09H1wAAAAkBAAAPAAAAAAAAAAEA&#10;IAAAACIAAABkcnMvZG93bnJldi54bWxQSwECFAAUAAAACACHTuJA2fDQ8dcBAACMAwAADgAAAAAA&#10;AAABACAAAAAmAQAAZHJzL2Uyb0RvYy54bWxQSwUGAAAAAAYABgBZAQAAbwUAAAAA&#10;">
                        <v:fill on="t" focussize="0,0"/>
                        <v:stroke on="f"/>
                        <v:imagedata o:title=""/>
                        <o:lock v:ext="edit" aspectratio="f"/>
                        <v:textbox>
                          <w:txbxContent>
                            <w:p>
                              <w:r>
                                <w:rPr>
                                  <w:lang w:bidi="ar"/>
                                </w:rPr>
                                <w:t>360</w:t>
                              </w:r>
                            </w:p>
                          </w:txbxContent>
                        </v:textbox>
                      </v:rect>
                      <v:shape id="直接箭头连接符 64_SpCnt_1" o:spid="_x0000_s1026" o:spt="32" type="#_x0000_t32" style="position:absolute;left:3124876;top:569089;flip:y;height:7099;width:724970;" filled="f" stroked="t" coordsize="21600,21600" o:gfxdata="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iyB3PNgAAAAJAQAADwAAAAAAAAABACAAAAAiAAAAZHJzL2Rvd25yZXYueG1sUEsBAhQAFAAAAAgA&#10;h07iQHkQ3sMlAgAAEQQAAA4AAAAAAAAAAQAgAAAAJwEAAGRycy9lMm9Eb2MueG1sUEsFBgAAAAAG&#10;AAYAWQEAAL4FAAAAAA==&#10;">
                        <v:fill on="f" focussize="0,0"/>
                        <v:stroke color="#000000" joinstyle="round" endarrow="block"/>
                        <v:imagedata o:title=""/>
                        <o:lock v:ext="edit" aspectratio="f"/>
                      </v:shape>
                      <v:line id="直线 2729" o:spid="_x0000_s1026" o:spt="20" style="position:absolute;left:1740150;top:1332150;flip:x;height:599;width:896648;" filled="f" stroked="f" coordsize="21600,21600" o:gfxdata="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gx5BRNkAAAAJAQAA&#10;DwAAAAAAAAABACAAAAAiAAAAZHJzL2Rvd25yZXYueG1sUEsBAhQAFAAAAAgAh07iQB1rCfamAQAA&#10;NQMAAA4AAAAAAAAAAQAgAAAAKAEAAGRycy9lMm9Eb2MueG1sUEsFBgAAAAAGAAYAWQEAAEAFAAAA&#10;AA==&#10;">
                        <v:fill on="f" focussize="0,0"/>
                        <v:stroke on="f"/>
                        <v:imagedata o:title=""/>
                        <o:lock v:ext="edit" aspectratio="f"/>
                      </v:line>
                      <v:group id="组合 84" o:spid="_x0000_s1026" o:spt="203" style="position:absolute;left:1253784;top:1864976;height:195512;width:358676;" coordorigin="5573,8617" coordsize="537,304" o:gfxdata="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">
                        <o:lock v:ext="edit" aspectratio="f"/>
                        <v:shape id="任意多边形 82_SpCnt_1" o:spid="_x0000_s1026" o:spt="100" style="position:absolute;left:5573;top:8617;height:304;width:537;" filled="f" stroked="t" coordsize="660,373" o:gfxdata="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pVXpLgAAADbAAAA&#10;DwAAAAAAAAABACAAAAAiAAAAZHJzL2Rvd25yZXYueG1sUEsBAhQAFAAAAAgAh07iQDMvBZ47AAAA&#10;OQAAABAAAAAAAAAAAQAgAAAABwEAAGRycy9zaGFwZXhtbC54bWxQSwUGAAAAAAYABgBbAQAAsQMA&#10;AAAA&#10;" path="m0,373c122,254,245,135,315,120c385,105,363,305,420,285c477,265,620,47,660,0e">
                          <v:fill on="f" focussize="0,0"/>
                          <v:stroke color="#000000" joinstyle="round"/>
                          <v:imagedata o:title=""/>
                          <o:lock v:ext="edit" aspectratio="f"/>
                        </v:shape>
                        <v:shape id="直接箭头连接符 83_SpCnt_1" o:spid="_x0000_s1026" o:spt="32" type="#_x0000_t32" style="position:absolute;left:5915;top:8629;flip:y;height:220;width:195;" filled="f" stroked="t" coordsize="21600,21600" o:gfxdata="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XJJq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group>
                      <v:rect id="矩形 65_SpCnt_2" o:spid="_x0000_s1026" o:spt="1" style="position:absolute;left:1123315;top:2049780;height:271780;width:925830;" fillcolor="#FFFFFF" filled="t" stroked="t" coordsize="21600,21600" o:gfxdata="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dlBWUtcA&#10;AAAJAQAADwAAAAAAAAABACAAAAAiAAAAZHJzL2Rvd25yZXYueG1sUEsBAhQAFAAAAAgAh07iQAXK&#10;VQkgAgAATAQAAA4AAAAAAAAAAQAgAAAAJgEAAGRycy9lMm9Eb2MueG1sUEsFBgAAAAAGAAYAWQEA&#10;ALgFAAAAAA==&#10;">
                        <v:fill on="t" focussize="0,0"/>
                        <v:stroke color="#000000" joinstyle="miter"/>
                        <v:imagedata o:title=""/>
                        <o:lock v:ext="edit" aspectratio="f"/>
                        <v:textbox>
                          <w:txbxContent>
                            <w:p>
                              <w:r>
                                <w:rPr>
                                  <w:rFonts w:hint="eastAsia" w:cs="宋体"/>
                                  <w:lang w:bidi="ar"/>
                                </w:rPr>
                                <w:t>水性漆配水</w:t>
                              </w:r>
                            </w:p>
                          </w:txbxContent>
                        </v:textbox>
                      </v:rect>
                      <v:rect id="矩形 77_SpCnt_2" o:spid="_x0000_s1026" o:spt="1" style="position:absolute;left:579907;top:1908423;height:238959;width:543449;" fillcolor="#FFFFFF" filled="t" stroked="f" coordsize="21600,21600" o:gfxdata="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D9PT0fXAAAACQEAAA8AAAAAAAAAAQAg&#10;AAAAIgAAAGRycy9kb3ducmV2LnhtbFBLAQIUABQAAAAIAIdO4kBpM39X1gEAAIwDAAAOAAAAAAAA&#10;AAEAIAAAACYBAABkcnMvZTJvRG9jLnhtbFBLBQYAAAAABgAGAFkBAABuBQAAAAA=&#10;">
                        <v:fill on="t" focussize="0,0"/>
                        <v:stroke on="f"/>
                        <v:imagedata o:title=""/>
                        <o:lock v:ext="edit" aspectratio="f"/>
                        <v:textbox>
                          <w:txbxContent>
                            <w:p>
                              <w:pPr>
                                <w:rPr>
                                  <w:rFonts w:hint="default" w:eastAsia="宋体"/>
                                  <w:lang w:val="en-US" w:eastAsia="zh-CN"/>
                                </w:rPr>
                              </w:pPr>
                              <w:r>
                                <w:rPr>
                                  <w:rFonts w:hint="eastAsia"/>
                                  <w:lang w:val="en-US" w:eastAsia="zh-CN"/>
                                </w:rPr>
                                <w:t>11</w:t>
                              </w:r>
                            </w:p>
                          </w:txbxContent>
                        </v:textbox>
                      </v:rect>
                      <v:rect id="矩形 69_SpCnt_3" o:spid="_x0000_s1026" o:spt="1" style="position:absolute;left:1275715;top:1652270;height:285115;width:826135;" filled="f" stroked="f" coordsize="21600,21600" o:gfxdata="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OJZhh3aAAAACQEAAA8AAAAAAAAAAQAgAAAAIgAAAGRycy9kb3ducmV2&#10;LnhtbFBLAQIUABQAAAAIAIdO4kDLiSQ5wQEAAGQDAAAOAAAAAAAAAAEAIAAAACkBAABkcnMvZTJv&#10;RG9jLnhtbFBLBQYAAAAABgAGAFkBAABcBQAAAAA=&#10;">
                        <v:fill on="f" focussize="0,0"/>
                        <v:stroke on="f"/>
                        <v:imagedata o:title=""/>
                        <o:lock v:ext="edit" aspectratio="f"/>
                        <v:textbox>
                          <w:txbxContent>
                            <w:p>
                              <w:pPr>
                                <w:rPr>
                                  <w:rFonts w:hint="default" w:eastAsia="宋体"/>
                                  <w:lang w:val="en-US" w:eastAsia="zh-CN"/>
                                </w:rPr>
                              </w:pPr>
                              <w:r>
                                <w:rPr>
                                  <w:rFonts w:hint="eastAsia" w:cs="宋体"/>
                                  <w:lang w:bidi="ar"/>
                                </w:rPr>
                                <w:t>损耗</w:t>
                              </w:r>
                              <w:r>
                                <w:rPr>
                                  <w:rFonts w:hint="eastAsia" w:cs="宋体"/>
                                  <w:lang w:val="en-US" w:eastAsia="zh-CN" w:bidi="ar"/>
                                </w:rPr>
                                <w:t>11</w:t>
                              </w:r>
                            </w:p>
                          </w:txbxContent>
                        </v:textbox>
                      </v:rect>
                      <v:shape id="直接箭头连接符 78_SpCnt_2" o:spid="_x0000_s1026" o:spt="32" type="#_x0000_t32" style="position:absolute;left:534805;top:2196731;height:0;width:597794;" filled="f" stroked="t" coordsize="21600,21600" o:gfxdata="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va7XS2gAA&#10;AAkBAAAPAAAAAAAAAAEAIAAAACIAAABkcnMvZG93bnJldi54bWxQSwECFAAUAAAACACHTuJAsGig&#10;zRwCAAAEBAAADgAAAAAAAAABACAAAAApAQAAZHJzL2Uyb0RvYy54bWxQSwUGAAAAAAYABgBZAQAA&#10;twUAAAAA&#10;">
                        <v:fill on="f" focussize="0,0"/>
                        <v:stroke color="#000000" joinstyle="round" endarrow="block"/>
                        <v:imagedata o:title=""/>
                        <o:lock v:ext="edit" aspectratio="f"/>
                      </v:shape>
                      <v:rect id="矩形 65_SpCnt_3" o:spid="_x0000_s1026" o:spt="1" style="position:absolute;left:1122045;top:2545715;height:271780;width:1084580;" fillcolor="#FFFFFF" filled="t" stroked="t" coordsize="21600,21600" o:gfxdata="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2UFZS1wAA&#10;AAkBAAAPAAAAAAAAAAEAIAAAACIAAABkcnMvZG93bnJldi54bWxQSwECFAAUAAAACACHTuJAP8kT&#10;RB8CAABNBAAADgAAAAAAAAABACAAAAAmAQAAZHJzL2Uyb0RvYy54bWxQSwUGAAAAAAYABgBZAQAA&#10;twUAAAAA&#10;">
                        <v:fill on="t" focussize="0,0"/>
                        <v:stroke color="#000000" joinstyle="miter"/>
                        <v:imagedata o:title=""/>
                        <o:lock v:ext="edit" aspectratio="f"/>
                        <v:textbox>
                          <w:txbxContent>
                            <w:p>
                              <w:r>
                                <w:rPr>
                                  <w:rFonts w:hint="eastAsia" w:cs="宋体"/>
                                  <w:lang w:bidi="ar"/>
                                </w:rPr>
                                <w:t>喷枪清洗用水</w:t>
                              </w:r>
                            </w:p>
                          </w:txbxContent>
                        </v:textbox>
                      </v:rect>
                      <v:rect id="矩形 77_SpCnt_3" o:spid="_x0000_s1026" o:spt="1" style="position:absolute;left:596168;top:2404217;height:238959;width:461975;" fillcolor="#FFFFFF" filled="t" stroked="f" coordsize="21600,21600" o:gfxdata="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D9PT0fXAAAACQEAAA8AAAAAAAAAAQAg&#10;AAAAIgAAAGRycy9kb3ducmV2LnhtbFBLAQIUABQAAAAIAIdO4kBmnEbj1gEAAIwDAAAOAAAAAAAA&#10;AAEAIAAAACYBAABkcnMvZTJvRG9jLnhtbFBLBQYAAAAABgAGAFkBAABuBQAAAAA=&#10;">
                        <v:fill on="t" focussize="0,0"/>
                        <v:stroke on="f"/>
                        <v:imagedata o:title=""/>
                        <o:lock v:ext="edit" aspectratio="f"/>
                        <v:textbox>
                          <w:txbxContent>
                            <w:p>
                              <w:pPr>
                                <w:rPr>
                                  <w:rFonts w:hint="eastAsia" w:eastAsia="宋体"/>
                                  <w:lang w:val="en-US" w:eastAsia="zh-CN"/>
                                </w:rPr>
                              </w:pPr>
                              <w:r>
                                <w:rPr>
                                  <w:rFonts w:hint="eastAsia"/>
                                  <w:lang w:val="en-US" w:eastAsia="zh-CN" w:bidi="ar"/>
                                </w:rPr>
                                <w:t>3</w:t>
                              </w:r>
                            </w:p>
                          </w:txbxContent>
                        </v:textbox>
                      </v:rect>
                      <v:shape id="直接箭头连接符 78_SpCnt_3" o:spid="_x0000_s1026" o:spt="32" type="#_x0000_t32" style="position:absolute;left:526589;top:2677985;height:0;width:597794;" filled="f" stroked="t" coordsize="21600,21600" o:gfxdata="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C9rtdLaAAAA&#10;CQEAAA8AAAAAAAAAAQAgAAAAIgAAAGRycy9kb3ducmV2LnhtbFBLAQIUABQAAAAIAIdO4kDY12R3&#10;GwIAAAQEAAAOAAAAAAAAAAEAIAAAACkBAABkcnMvZTJvRG9jLnhtbFBLBQYAAAAABgAGAFkBAAC2&#10;BQAAAAA=&#10;">
                        <v:fill on="f" focussize="0,0"/>
                        <v:stroke color="#000000" joinstyle="round" endarrow="block"/>
                        <v:imagedata o:title=""/>
                        <o:lock v:ext="edit" aspectratio="f"/>
                      </v:shape>
                      <v:line id="直线 2742" o:spid="_x0000_s1026" o:spt="20" style="position:absolute;left:1466799;top:2314586;flip:x y;height:226472;width:8130;" filled="f" stroked="t" coordsize="21600,21600" o:gfxdata="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BI8A2QAAAAkBAAAPAAAAAAAAAAEAIAAAACIA&#10;AABkcnMvZG93bnJldi54bWxQSwECFAAUAAAACACHTuJAPduIYAgCAAD5AwAADgAAAAAAAAABACAA&#10;AAAoAQAAZHJzL2Uyb0RvYy54bWxQSwUGAAAAAAYABgBZAQAAogUAAAAA&#10;">
                        <v:fill on="f" focussize="0,0"/>
                        <v:stroke color="#000000" joinstyle="round" endarrow="block"/>
                        <v:imagedata o:title=""/>
                        <o:lock v:ext="edit" aspectratio="f"/>
                      </v:line>
                      <v:rect id="矩形 77_SpCnt_4" o:spid="_x0000_s1026" o:spt="1" style="position:absolute;left:1521460;top:2331720;height:243840;width:543560;" filled="f" stroked="f" coordsize="21600,21600" o:gfxdata="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OJZhh3aAAAACQEAAA8AAAAAAAAAAQAgAAAAIgAAAGRycy9kb3ducmV2&#10;LnhtbFBLAQIUABQAAAAIAIdO4kDNpzeqwQEAAGQDAAAOAAAAAAAAAAEAIAAAACkBAABkcnMvZTJv&#10;RG9jLnhtbFBLBQYAAAAABgAGAFkBAABcBQAAAAA=&#10;">
                        <v:fill on="f" focussize="0,0"/>
                        <v:stroke on="f"/>
                        <v:imagedata o:title=""/>
                        <o:lock v:ext="edit" aspectratio="f"/>
                        <v:textbox>
                          <w:txbxContent>
                            <w:p>
                              <w:pPr>
                                <w:rPr>
                                  <w:rFonts w:hint="eastAsia" w:eastAsia="宋体"/>
                                  <w:lang w:val="en-US" w:eastAsia="zh-CN"/>
                                </w:rPr>
                              </w:pPr>
                              <w:r>
                                <w:rPr>
                                  <w:rFonts w:hint="eastAsia"/>
                                  <w:lang w:val="en-US" w:eastAsia="zh-CN" w:bidi="ar"/>
                                </w:rPr>
                                <w:t>3</w:t>
                              </w:r>
                            </w:p>
                          </w:txbxContent>
                        </v:textbox>
                      </v:rect>
                      <w10:wrap type="topAndBottom"/>
                      <w10:anchorlock/>
                    </v:group>
                  </w:pict>
                </mc:Fallback>
              </mc:AlternateContent>
            </w:r>
            <w:r>
              <w:rPr>
                <w:rFonts w:ascii="Times New Roman" w:hAnsi="Times New Roman"/>
                <w:b/>
                <w:bCs/>
                <w:color w:val="auto"/>
                <w:kern w:val="2"/>
                <w:sz w:val="24"/>
                <w:szCs w:val="24"/>
              </w:rPr>
              <w:t>图 2.1-2建设项目水平衡图（单位：m</w:t>
            </w:r>
            <w:r>
              <w:rPr>
                <w:rFonts w:ascii="Times New Roman" w:hAnsi="Times New Roman"/>
                <w:b/>
                <w:bCs/>
                <w:color w:val="auto"/>
                <w:kern w:val="2"/>
                <w:sz w:val="24"/>
                <w:szCs w:val="24"/>
                <w:vertAlign w:val="superscript"/>
              </w:rPr>
              <w:t>3</w:t>
            </w:r>
            <w:r>
              <w:rPr>
                <w:rFonts w:ascii="Times New Roman" w:hAnsi="Times New Roman"/>
                <w:b/>
                <w:bCs/>
                <w:color w:val="auto"/>
                <w:kern w:val="2"/>
                <w:sz w:val="24"/>
                <w:szCs w:val="24"/>
              </w:rPr>
              <w: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975" w:hRule="atLeast"/>
        </w:trPr>
        <w:tc>
          <w:tcPr>
            <w:tcW w:w="789" w:type="dxa"/>
            <w:gridSpan w:val="2"/>
            <w:vAlign w:val="center"/>
          </w:tcPr>
          <w:p>
            <w:pPr>
              <w:wordWrap w:val="0"/>
              <w:jc w:val="center"/>
              <w:rPr>
                <w:color w:val="auto"/>
                <w:szCs w:val="21"/>
              </w:rPr>
            </w:pPr>
            <w:r>
              <w:rPr>
                <w:b/>
                <w:bCs/>
                <w:color w:val="auto"/>
                <w:kern w:val="0"/>
                <w:sz w:val="24"/>
              </w:rPr>
              <w:br w:type="page"/>
            </w:r>
            <w:r>
              <w:rPr>
                <w:b/>
                <w:bCs/>
                <w:color w:val="auto"/>
                <w:kern w:val="0"/>
                <w:sz w:val="24"/>
              </w:rPr>
              <w:t>工艺流程和产排污环节</w:t>
            </w:r>
          </w:p>
        </w:tc>
        <w:tc>
          <w:tcPr>
            <w:tcW w:w="8346" w:type="dxa"/>
          </w:tcPr>
          <w:p>
            <w:pPr>
              <w:spacing w:line="360" w:lineRule="auto"/>
              <w:ind w:firstLine="482" w:firstLineChars="200"/>
              <w:rPr>
                <w:b/>
                <w:color w:val="auto"/>
                <w:sz w:val="24"/>
              </w:rPr>
            </w:pPr>
            <w:r>
              <w:rPr>
                <w:b/>
                <w:color w:val="auto"/>
                <w:sz w:val="24"/>
              </w:rPr>
              <w:t>一、施工期工艺流程及产污分析</w:t>
            </w:r>
          </w:p>
          <w:p>
            <w:pPr>
              <w:spacing w:line="360" w:lineRule="auto"/>
              <w:ind w:firstLine="484" w:firstLineChars="200"/>
              <w:rPr>
                <w:color w:val="auto"/>
                <w:sz w:val="24"/>
              </w:rPr>
            </w:pPr>
            <w:r>
              <w:rPr>
                <w:color w:val="auto"/>
                <w:spacing w:val="1"/>
                <w:sz w:val="24"/>
              </w:rPr>
              <w:t>本项目主要建筑为生产厂房、办公楼及其生产配套建筑，</w:t>
            </w:r>
            <w:r>
              <w:rPr>
                <w:color w:val="auto"/>
                <w:spacing w:val="3"/>
                <w:sz w:val="24"/>
              </w:rPr>
              <w:t>建设项目施工建设流程及产污环节见下图。</w:t>
            </w:r>
          </w:p>
          <w:p>
            <w:pPr>
              <w:spacing w:line="360" w:lineRule="auto"/>
              <w:jc w:val="center"/>
              <w:textAlignment w:val="center"/>
              <w:rPr>
                <w:color w:val="auto"/>
                <w:szCs w:val="21"/>
              </w:rPr>
            </w:pPr>
          </w:p>
          <w:p>
            <w:pPr>
              <w:spacing w:line="360" w:lineRule="auto"/>
              <w:jc w:val="center"/>
              <w:rPr>
                <w:color w:val="auto"/>
                <w:szCs w:val="21"/>
              </w:rPr>
            </w:pPr>
            <w:r>
              <w:rPr>
                <w:color w:val="auto"/>
                <w:szCs w:val="21"/>
              </w:rPr>
              <w:drawing>
                <wp:inline distT="0" distB="0" distL="114300" distR="114300">
                  <wp:extent cx="4963160" cy="1090930"/>
                  <wp:effectExtent l="0" t="0" r="8890" b="13970"/>
                  <wp:docPr id="6" name="图片 2"/>
                  <wp:cNvGraphicFramePr/>
                  <a:graphic xmlns:a="http://schemas.openxmlformats.org/drawingml/2006/main">
                    <a:graphicData uri="http://schemas.openxmlformats.org/drawingml/2006/picture">
                      <pic:pic xmlns:pic="http://schemas.openxmlformats.org/drawingml/2006/picture">
                        <pic:nvPicPr>
                          <pic:cNvPr id="6" name="图片 2"/>
                          <pic:cNvPicPr/>
                        </pic:nvPicPr>
                        <pic:blipFill>
                          <a:blip r:embed="rId10"/>
                          <a:stretch>
                            <a:fillRect/>
                          </a:stretch>
                        </pic:blipFill>
                        <pic:spPr>
                          <a:xfrm>
                            <a:off x="0" y="0"/>
                            <a:ext cx="4963160" cy="1090930"/>
                          </a:xfrm>
                          <a:prstGeom prst="rect">
                            <a:avLst/>
                          </a:prstGeom>
                          <a:noFill/>
                          <a:ln>
                            <a:noFill/>
                          </a:ln>
                        </pic:spPr>
                      </pic:pic>
                    </a:graphicData>
                  </a:graphic>
                </wp:inline>
              </w:drawing>
            </w:r>
          </w:p>
          <w:p>
            <w:pPr>
              <w:spacing w:line="360" w:lineRule="auto"/>
              <w:jc w:val="center"/>
              <w:rPr>
                <w:color w:val="auto"/>
                <w:sz w:val="23"/>
                <w:szCs w:val="23"/>
              </w:rPr>
            </w:pPr>
            <w:r>
              <w:rPr>
                <w:b/>
                <w:bCs/>
                <w:color w:val="auto"/>
                <w:spacing w:val="8"/>
                <w:szCs w:val="21"/>
              </w:rPr>
              <w:t>图2.1-3</w:t>
            </w:r>
            <w:r>
              <w:rPr>
                <w:b/>
                <w:bCs/>
                <w:color w:val="auto"/>
                <w:spacing w:val="4"/>
                <w:szCs w:val="21"/>
              </w:rPr>
              <w:t>建设项目施工建设流程及产污环节</w:t>
            </w:r>
          </w:p>
          <w:p>
            <w:pPr>
              <w:spacing w:line="360" w:lineRule="auto"/>
              <w:ind w:firstLine="542" w:firstLineChars="200"/>
              <w:rPr>
                <w:b/>
                <w:bCs/>
                <w:color w:val="auto"/>
                <w:sz w:val="24"/>
              </w:rPr>
            </w:pPr>
            <w:r>
              <w:rPr>
                <w:b/>
                <w:bCs/>
                <w:color w:val="auto"/>
                <w:spacing w:val="15"/>
                <w:sz w:val="24"/>
              </w:rPr>
              <w:t>施工期工艺流程简述</w:t>
            </w:r>
            <w:r>
              <w:rPr>
                <w:b/>
                <w:bCs/>
                <w:color w:val="auto"/>
                <w:spacing w:val="14"/>
                <w:sz w:val="24"/>
              </w:rPr>
              <w:t>：</w:t>
            </w:r>
          </w:p>
          <w:p>
            <w:pPr>
              <w:spacing w:line="360" w:lineRule="auto"/>
              <w:ind w:firstLine="484" w:firstLineChars="200"/>
              <w:rPr>
                <w:color w:val="auto"/>
                <w:spacing w:val="1"/>
                <w:sz w:val="24"/>
              </w:rPr>
            </w:pPr>
            <w:r>
              <w:rPr>
                <w:color w:val="auto"/>
                <w:spacing w:val="1"/>
                <w:sz w:val="24"/>
              </w:rPr>
              <w:t>①土方工程：土方工程包括一切土的挖掘、填筑和运输等过程以及排水、降水、土壁支撑等准备和辅助工程，通常有：场地平整、基坑(槽)开挖、地坪填土、路基填筑及基坑回填土等。</w:t>
            </w:r>
          </w:p>
          <w:p>
            <w:pPr>
              <w:spacing w:line="360" w:lineRule="auto"/>
              <w:ind w:firstLine="484" w:firstLineChars="200"/>
              <w:rPr>
                <w:color w:val="auto"/>
                <w:spacing w:val="1"/>
                <w:sz w:val="24"/>
              </w:rPr>
            </w:pPr>
            <w:r>
              <w:rPr>
                <w:color w:val="auto"/>
                <w:spacing w:val="1"/>
                <w:sz w:val="24"/>
              </w:rPr>
              <w:t>②基础工程：本项目采用深基础中常用的桩基础，施工拟采用回填、深层搅拌桩、静力压桩，利用无振动、无噪声的静压力将钢筋混凝土预制桩压入土中。</w:t>
            </w:r>
          </w:p>
          <w:p>
            <w:pPr>
              <w:spacing w:line="360" w:lineRule="auto"/>
              <w:ind w:firstLine="484" w:firstLineChars="200"/>
              <w:rPr>
                <w:color w:val="auto"/>
                <w:spacing w:val="1"/>
                <w:sz w:val="24"/>
              </w:rPr>
            </w:pPr>
            <w:r>
              <w:rPr>
                <w:color w:val="auto"/>
                <w:spacing w:val="1"/>
                <w:sz w:val="24"/>
              </w:rPr>
              <w:t>③混凝土(结构)工程：混凝土(结构)工程在建筑施工中占主导地位。拟建项目主要采用现浇混凝土(结构)工程，其主要内容有混凝土制备、运输、浇筑捣实和养护，以及结构砌筑。</w:t>
            </w:r>
          </w:p>
          <w:p>
            <w:pPr>
              <w:spacing w:line="360" w:lineRule="auto"/>
              <w:ind w:firstLine="484" w:firstLineChars="200"/>
              <w:rPr>
                <w:color w:val="auto"/>
                <w:spacing w:val="1"/>
                <w:sz w:val="24"/>
              </w:rPr>
            </w:pPr>
            <w:r>
              <w:rPr>
                <w:color w:val="auto"/>
                <w:spacing w:val="1"/>
                <w:sz w:val="24"/>
              </w:rPr>
              <w:t>④装修及现场清理：主要指门窗安装、墙体粉刷、水电安装、装饰装修等。</w:t>
            </w:r>
          </w:p>
          <w:p>
            <w:pPr>
              <w:wordWrap w:val="0"/>
              <w:spacing w:line="360" w:lineRule="auto"/>
              <w:ind w:left="420" w:leftChars="200"/>
              <w:rPr>
                <w:color w:val="auto"/>
              </w:rPr>
            </w:pPr>
            <w:r>
              <w:rPr>
                <w:b/>
                <w:color w:val="auto"/>
                <w:sz w:val="24"/>
              </w:rPr>
              <w:t>二、运营期工艺</w:t>
            </w:r>
            <w:r>
              <w:rPr>
                <w:b/>
                <w:color w:val="auto"/>
                <w:sz w:val="24"/>
                <w:szCs w:val="22"/>
              </w:rPr>
              <w:t>流程</w:t>
            </w:r>
            <w:r>
              <w:rPr>
                <w:b/>
                <w:color w:val="auto"/>
                <w:sz w:val="24"/>
                <w:szCs w:val="22"/>
                <w:lang w:val="zh-CN"/>
              </w:rPr>
              <w:t>及产污分析：</w:t>
            </w:r>
          </w:p>
          <w:p>
            <w:pPr>
              <w:spacing w:line="360" w:lineRule="auto"/>
              <w:ind w:firstLine="508" w:firstLineChars="200"/>
              <w:rPr>
                <w:color w:val="auto"/>
                <w:sz w:val="24"/>
              </w:rPr>
            </w:pPr>
            <w:r>
              <w:rPr>
                <w:color w:val="auto"/>
                <w:spacing w:val="7"/>
                <w:sz w:val="24"/>
              </w:rPr>
              <w:t>主要生产工艺流程及污染物产生环节见图</w:t>
            </w:r>
            <w:r>
              <w:rPr>
                <w:color w:val="auto"/>
                <w:sz w:val="24"/>
              </w:rPr>
              <w:t>2.1-3，</w:t>
            </w:r>
            <w:r>
              <w:rPr>
                <w:color w:val="auto"/>
                <w:spacing w:val="7"/>
                <w:sz w:val="24"/>
              </w:rPr>
              <w:t>（其中</w:t>
            </w:r>
            <w:r>
              <w:rPr>
                <w:color w:val="auto"/>
                <w:sz w:val="24"/>
              </w:rPr>
              <w:t>G-废气、S—固废、N</w:t>
            </w:r>
            <w:r>
              <w:rPr>
                <w:color w:val="auto"/>
                <w:spacing w:val="7"/>
                <w:sz w:val="24"/>
              </w:rPr>
              <w:t>—噪声）</w:t>
            </w:r>
            <w:r>
              <w:rPr>
                <w:color w:val="auto"/>
                <w:sz w:val="24"/>
              </w:rPr>
              <w:t>。</w:t>
            </w:r>
          </w:p>
          <w:p>
            <w:pPr>
              <w:spacing w:line="360" w:lineRule="auto"/>
              <w:ind w:firstLine="480" w:firstLineChars="200"/>
              <w:rPr>
                <w:color w:val="auto"/>
                <w:sz w:val="24"/>
              </w:rPr>
            </w:pPr>
          </w:p>
          <w:p>
            <w:pPr>
              <w:spacing w:line="360" w:lineRule="auto"/>
              <w:ind w:firstLine="480" w:firstLineChars="200"/>
              <w:rPr>
                <w:color w:val="auto"/>
                <w:sz w:val="24"/>
              </w:rPr>
            </w:pPr>
          </w:p>
          <w:p>
            <w:pPr>
              <w:spacing w:line="360" w:lineRule="auto"/>
              <w:ind w:firstLine="480" w:firstLineChars="200"/>
              <w:rPr>
                <w:color w:val="auto"/>
                <w:sz w:val="24"/>
              </w:rPr>
            </w:pPr>
          </w:p>
          <w:p>
            <w:pPr>
              <w:spacing w:line="360" w:lineRule="auto"/>
              <w:ind w:firstLine="480" w:firstLineChars="200"/>
              <w:rPr>
                <w:color w:val="auto"/>
                <w:sz w:val="24"/>
              </w:rPr>
            </w:pPr>
          </w:p>
          <w:p>
            <w:pPr>
              <w:spacing w:line="360" w:lineRule="auto"/>
              <w:ind w:firstLine="480" w:firstLineChars="200"/>
              <w:rPr>
                <w:color w:val="auto"/>
                <w:sz w:val="24"/>
              </w:rPr>
            </w:pPr>
          </w:p>
          <w:p>
            <w:pPr>
              <w:spacing w:line="360" w:lineRule="auto"/>
              <w:ind w:firstLine="480" w:firstLineChars="200"/>
              <w:rPr>
                <w:color w:val="auto"/>
                <w:sz w:val="24"/>
              </w:rPr>
            </w:pPr>
          </w:p>
          <w:p>
            <w:pPr>
              <w:spacing w:line="360" w:lineRule="auto"/>
              <w:ind w:firstLine="480" w:firstLineChars="200"/>
              <w:rPr>
                <w:color w:val="auto"/>
                <w:sz w:val="24"/>
              </w:rPr>
            </w:pPr>
          </w:p>
          <w:p>
            <w:pPr>
              <w:spacing w:line="360" w:lineRule="auto"/>
              <w:ind w:firstLine="480" w:firstLineChars="200"/>
              <w:rPr>
                <w:color w:val="auto"/>
                <w:sz w:val="24"/>
              </w:rPr>
            </w:pPr>
          </w:p>
          <w:p>
            <w:pPr>
              <w:spacing w:line="360" w:lineRule="auto"/>
              <w:ind w:firstLine="480" w:firstLineChars="200"/>
              <w:rPr>
                <w:color w:val="auto"/>
                <w:sz w:val="24"/>
              </w:rPr>
            </w:pPr>
          </w:p>
          <w:p>
            <w:pPr>
              <w:spacing w:line="360" w:lineRule="auto"/>
              <w:ind w:firstLine="482" w:firstLineChars="200"/>
              <w:jc w:val="center"/>
              <w:rPr>
                <w:b/>
                <w:bCs/>
                <w:color w:val="auto"/>
              </w:rPr>
            </w:pPr>
            <w:r>
              <w:rPr>
                <w:b/>
                <w:bCs/>
                <w:color w:val="auto"/>
                <w:sz w:val="24"/>
              </w:rPr>
              <w:pict>
                <v:shape id="_x0000_s2050" o:spid="_x0000_s2050" o:spt="75" type="#_x0000_t75" style="position:absolute;left:0pt;margin-left:-2.4pt;margin-top:-510.55pt;height:468.2pt;width:363.8pt;mso-wrap-distance-bottom:0pt;mso-wrap-distance-top:0pt;z-index:251662336;mso-width-relative:page;mso-height-relative:page;" o:ole="t" filled="f" o:preferrelative="t" stroked="f" coordsize="21600,21600">
                  <v:path/>
                  <v:fill on="f" focussize="0,0"/>
                  <v:stroke on="f"/>
                  <v:imagedata r:id="rId12" o:title=""/>
                  <o:lock v:ext="edit" aspectratio="f"/>
                  <w10:wrap type="topAndBottom"/>
                </v:shape>
                <o:OLEObject Type="Embed" ProgID="Visio.Drawing.11" ShapeID="_x0000_s2050" DrawAspect="Content" ObjectID="_1468075726" r:id="rId11">
                  <o:LockedField>false</o:LockedField>
                </o:OLEObject>
              </w:pict>
            </w:r>
            <w:r>
              <w:rPr>
                <w:b/>
                <w:bCs/>
                <w:color w:val="auto"/>
              </w:rPr>
              <w:t>图2.1-4 生产工艺流程图</w:t>
            </w:r>
          </w:p>
          <w:p>
            <w:pPr>
              <w:tabs>
                <w:tab w:val="left" w:pos="8278"/>
              </w:tabs>
              <w:wordWrap w:val="0"/>
              <w:spacing w:line="360" w:lineRule="auto"/>
              <w:ind w:firstLine="482" w:firstLineChars="200"/>
              <w:rPr>
                <w:rFonts w:hint="eastAsia" w:eastAsia="宋体"/>
                <w:b/>
                <w:bCs/>
                <w:color w:val="auto"/>
                <w:sz w:val="24"/>
                <w:lang w:eastAsia="zh-CN"/>
              </w:rPr>
            </w:pPr>
            <w:r>
              <w:rPr>
                <w:b/>
                <w:bCs/>
                <w:color w:val="auto"/>
                <w:sz w:val="24"/>
              </w:rPr>
              <w:t>生产工艺流程简述：</w:t>
            </w:r>
            <w:r>
              <w:rPr>
                <w:rFonts w:hint="eastAsia"/>
                <w:b/>
                <w:bCs/>
                <w:color w:val="auto"/>
                <w:sz w:val="24"/>
                <w:lang w:eastAsia="zh-CN"/>
              </w:rPr>
              <w:tab/>
            </w:r>
          </w:p>
          <w:p>
            <w:pPr>
              <w:numPr>
                <w:ilvl w:val="0"/>
                <w:numId w:val="3"/>
              </w:numPr>
              <w:adjustRightInd w:val="0"/>
              <w:snapToGrid w:val="0"/>
              <w:spacing w:line="360" w:lineRule="auto"/>
              <w:ind w:firstLine="480" w:firstLineChars="200"/>
              <w:rPr>
                <w:color w:val="auto"/>
                <w:sz w:val="24"/>
              </w:rPr>
            </w:pPr>
            <w:r>
              <w:rPr>
                <w:bCs/>
                <w:color w:val="auto"/>
                <w:sz w:val="24"/>
              </w:rPr>
              <w:t>下料</w:t>
            </w:r>
            <w:r>
              <w:rPr>
                <w:color w:val="auto"/>
                <w:sz w:val="24"/>
              </w:rPr>
              <w:t>：将钢板投放至下料机加工口，根据客户要求，等离子切割机结合剪板机将钢板分成段。该工序产生G1切割粉尘、噪声N、废边角料S1</w:t>
            </w:r>
            <w:r>
              <w:rPr>
                <w:rFonts w:hint="eastAsia"/>
                <w:color w:val="auto"/>
                <w:sz w:val="24"/>
                <w:lang w:eastAsia="zh-CN"/>
              </w:rPr>
              <w:t>、废金属屑</w:t>
            </w:r>
            <w:r>
              <w:rPr>
                <w:rFonts w:hint="eastAsia"/>
                <w:color w:val="auto"/>
                <w:sz w:val="24"/>
                <w:lang w:val="en-US" w:eastAsia="zh-CN"/>
              </w:rPr>
              <w:t>S2</w:t>
            </w:r>
            <w:r>
              <w:rPr>
                <w:color w:val="auto"/>
                <w:sz w:val="24"/>
              </w:rPr>
              <w:t>。</w:t>
            </w:r>
          </w:p>
          <w:p>
            <w:pPr>
              <w:numPr>
                <w:ilvl w:val="0"/>
                <w:numId w:val="3"/>
              </w:numPr>
              <w:adjustRightInd w:val="0"/>
              <w:snapToGrid w:val="0"/>
              <w:spacing w:line="360" w:lineRule="auto"/>
              <w:ind w:firstLine="480" w:firstLineChars="200"/>
              <w:rPr>
                <w:color w:val="auto"/>
                <w:sz w:val="24"/>
              </w:rPr>
            </w:pPr>
            <w:r>
              <w:rPr>
                <w:color w:val="auto"/>
                <w:sz w:val="24"/>
              </w:rPr>
              <w:t>组立：根据产品要求，将剪切成型的不同钢板按照要求进行拼装组立，此工序产生噪声N。</w:t>
            </w:r>
          </w:p>
          <w:p>
            <w:pPr>
              <w:numPr>
                <w:ilvl w:val="0"/>
                <w:numId w:val="3"/>
              </w:numPr>
              <w:adjustRightInd w:val="0"/>
              <w:snapToGrid w:val="0"/>
              <w:spacing w:line="360" w:lineRule="auto"/>
              <w:ind w:firstLine="480" w:firstLineChars="200"/>
              <w:rPr>
                <w:color w:val="auto"/>
                <w:sz w:val="24"/>
              </w:rPr>
            </w:pPr>
            <w:r>
              <w:rPr>
                <w:color w:val="auto"/>
                <w:sz w:val="24"/>
              </w:rPr>
              <w:t>埋弧焊接：将组立好的组立件送至焊接设备焊接成型，根据处理工件焊接面积、焊缝大小，本工序选择使用埋弧焊，原料是埋弧焊丝和焊剂（固体），本工序产生焊接烟尘G1、</w:t>
            </w:r>
            <w:r>
              <w:rPr>
                <w:rFonts w:hint="eastAsia"/>
                <w:color w:val="auto"/>
                <w:sz w:val="24"/>
                <w:lang w:eastAsia="zh-CN"/>
              </w:rPr>
              <w:t>废</w:t>
            </w:r>
            <w:r>
              <w:rPr>
                <w:color w:val="auto"/>
                <w:sz w:val="24"/>
              </w:rPr>
              <w:t>焊渣S</w:t>
            </w:r>
            <w:r>
              <w:rPr>
                <w:rFonts w:hint="eastAsia"/>
                <w:color w:val="auto"/>
                <w:sz w:val="24"/>
                <w:lang w:val="en-US" w:eastAsia="zh-CN"/>
              </w:rPr>
              <w:t>3</w:t>
            </w:r>
            <w:r>
              <w:rPr>
                <w:color w:val="auto"/>
                <w:sz w:val="24"/>
              </w:rPr>
              <w:t>、噪声N。</w:t>
            </w:r>
          </w:p>
          <w:p>
            <w:pPr>
              <w:numPr>
                <w:ilvl w:val="0"/>
                <w:numId w:val="3"/>
              </w:numPr>
              <w:adjustRightInd w:val="0"/>
              <w:snapToGrid w:val="0"/>
              <w:spacing w:line="360" w:lineRule="auto"/>
              <w:ind w:firstLine="480" w:firstLineChars="200"/>
              <w:rPr>
                <w:color w:val="auto"/>
                <w:sz w:val="24"/>
              </w:rPr>
            </w:pPr>
            <w:r>
              <w:rPr>
                <w:color w:val="auto"/>
                <w:sz w:val="24"/>
              </w:rPr>
              <w:t>拼装焊接：组立件经埋弧焊焊接后，使用焊剂将产品所需的各组立件用焊丝焊接成钢结构半成品，焊接保护气体主要为二氧化碳，该工序产生焊接烟尘G2、</w:t>
            </w:r>
            <w:r>
              <w:rPr>
                <w:rFonts w:hint="eastAsia"/>
                <w:color w:val="auto"/>
                <w:sz w:val="24"/>
                <w:lang w:eastAsia="zh-CN"/>
              </w:rPr>
              <w:t>废</w:t>
            </w:r>
            <w:r>
              <w:rPr>
                <w:color w:val="auto"/>
                <w:sz w:val="24"/>
              </w:rPr>
              <w:t>焊渣S</w:t>
            </w:r>
            <w:r>
              <w:rPr>
                <w:rFonts w:hint="eastAsia"/>
                <w:color w:val="auto"/>
                <w:sz w:val="24"/>
                <w:lang w:val="en-US" w:eastAsia="zh-CN"/>
              </w:rPr>
              <w:t>4</w:t>
            </w:r>
            <w:r>
              <w:rPr>
                <w:color w:val="auto"/>
                <w:sz w:val="24"/>
              </w:rPr>
              <w:t>、噪声N。</w:t>
            </w:r>
          </w:p>
          <w:p>
            <w:pPr>
              <w:numPr>
                <w:ilvl w:val="0"/>
                <w:numId w:val="3"/>
              </w:numPr>
              <w:adjustRightInd w:val="0"/>
              <w:snapToGrid w:val="0"/>
              <w:spacing w:line="360" w:lineRule="auto"/>
              <w:ind w:firstLine="480" w:firstLineChars="200"/>
              <w:rPr>
                <w:color w:val="auto"/>
                <w:sz w:val="24"/>
              </w:rPr>
            </w:pPr>
            <w:r>
              <w:rPr>
                <w:color w:val="auto"/>
                <w:sz w:val="24"/>
              </w:rPr>
              <w:t>打磨：利用打磨机通过人工的方式对钢结构半成品焊接区域进行打磨，根据企业提供的资料，打磨区域约占原材料的5%，该工序产生G3打磨粉尘、N噪声</w:t>
            </w:r>
            <w:r>
              <w:rPr>
                <w:rFonts w:hint="eastAsia"/>
                <w:color w:val="auto"/>
                <w:sz w:val="24"/>
                <w:lang w:eastAsia="zh-CN"/>
              </w:rPr>
              <w:t>、废金属屑</w:t>
            </w:r>
            <w:r>
              <w:rPr>
                <w:rFonts w:hint="eastAsia"/>
                <w:color w:val="auto"/>
                <w:sz w:val="24"/>
                <w:lang w:val="en-US" w:eastAsia="zh-CN"/>
              </w:rPr>
              <w:t>S5、废砂轮片S6</w:t>
            </w:r>
            <w:r>
              <w:rPr>
                <w:color w:val="auto"/>
                <w:sz w:val="24"/>
              </w:rPr>
              <w:t>。</w:t>
            </w:r>
          </w:p>
          <w:p>
            <w:pPr>
              <w:numPr>
                <w:ilvl w:val="0"/>
                <w:numId w:val="3"/>
              </w:numPr>
              <w:adjustRightInd w:val="0"/>
              <w:snapToGrid w:val="0"/>
              <w:spacing w:line="360" w:lineRule="auto"/>
              <w:ind w:firstLine="480" w:firstLineChars="200"/>
              <w:rPr>
                <w:color w:val="auto"/>
                <w:sz w:val="24"/>
              </w:rPr>
            </w:pPr>
            <w:r>
              <w:rPr>
                <w:color w:val="auto"/>
                <w:sz w:val="24"/>
              </w:rPr>
              <w:t>抛丸：打磨完成后的钢结构半成品送至抛丸清理机去除工件表面的残余铁锈，抛丸除锈是利用高速旋转的抛丸（钢珠）机叶轮将磨料抛向钢铁表面来达到除锈目的，使钢材表面提高抗拉抗压的强度。该工序会产生G4抛丸粉尘、N噪声、S</w:t>
            </w:r>
            <w:r>
              <w:rPr>
                <w:rFonts w:hint="eastAsia"/>
                <w:color w:val="auto"/>
                <w:sz w:val="24"/>
                <w:lang w:val="en-US" w:eastAsia="zh-CN"/>
              </w:rPr>
              <w:t>7</w:t>
            </w:r>
            <w:r>
              <w:rPr>
                <w:color w:val="auto"/>
                <w:sz w:val="24"/>
              </w:rPr>
              <w:t>废钢丸</w:t>
            </w:r>
            <w:r>
              <w:rPr>
                <w:rFonts w:hint="eastAsia"/>
                <w:color w:val="auto"/>
                <w:sz w:val="24"/>
                <w:lang w:eastAsia="zh-CN"/>
              </w:rPr>
              <w:t>、</w:t>
            </w:r>
            <w:r>
              <w:rPr>
                <w:rFonts w:hint="eastAsia"/>
                <w:color w:val="auto"/>
                <w:sz w:val="24"/>
                <w:lang w:val="en-US" w:eastAsia="zh-CN"/>
              </w:rPr>
              <w:t>S8废金属屑</w:t>
            </w:r>
            <w:r>
              <w:rPr>
                <w:color w:val="auto"/>
                <w:sz w:val="24"/>
              </w:rPr>
              <w:t>。</w:t>
            </w:r>
          </w:p>
          <w:p>
            <w:pPr>
              <w:numPr>
                <w:ilvl w:val="0"/>
                <w:numId w:val="3"/>
              </w:numPr>
              <w:adjustRightInd w:val="0"/>
              <w:snapToGrid w:val="0"/>
              <w:spacing w:line="360" w:lineRule="auto"/>
              <w:ind w:firstLine="480" w:firstLineChars="200"/>
              <w:rPr>
                <w:color w:val="auto"/>
                <w:sz w:val="24"/>
              </w:rPr>
            </w:pPr>
            <w:r>
              <w:rPr>
                <w:color w:val="auto"/>
                <w:sz w:val="24"/>
              </w:rPr>
              <w:t>调漆：本项目采用压送式空气喷枪，喷漆使用的水性漆需加水调漆，</w:t>
            </w:r>
            <w:r>
              <w:rPr>
                <w:rFonts w:hint="eastAsia"/>
                <w:color w:val="auto"/>
                <w:sz w:val="24"/>
              </w:rPr>
              <w:t>调漆比例为5:1，</w:t>
            </w:r>
            <w:r>
              <w:rPr>
                <w:color w:val="auto"/>
                <w:sz w:val="24"/>
              </w:rPr>
              <w:t>喷漆后的喷枪使用水进行清洗，清洗液回用于调漆，调漆过程中产生G</w:t>
            </w:r>
            <w:r>
              <w:rPr>
                <w:rStyle w:val="24"/>
                <w:rFonts w:hint="eastAsia"/>
                <w:color w:val="auto"/>
                <w:kern w:val="0"/>
                <w:szCs w:val="20"/>
              </w:rPr>
              <w:t>6</w:t>
            </w:r>
            <w:r>
              <w:rPr>
                <w:color w:val="auto"/>
                <w:sz w:val="24"/>
              </w:rPr>
              <w:t>调漆废气。</w:t>
            </w:r>
          </w:p>
          <w:p>
            <w:pPr>
              <w:numPr>
                <w:ilvl w:val="0"/>
                <w:numId w:val="3"/>
              </w:numPr>
              <w:adjustRightInd w:val="0"/>
              <w:snapToGrid w:val="0"/>
              <w:spacing w:line="360" w:lineRule="auto"/>
              <w:ind w:firstLine="480" w:firstLineChars="200"/>
              <w:rPr>
                <w:color w:val="auto"/>
                <w:sz w:val="24"/>
              </w:rPr>
            </w:pPr>
            <w:r>
              <w:rPr>
                <w:color w:val="auto"/>
                <w:sz w:val="24"/>
              </w:rPr>
              <w:t>喷漆:将抛丸后的钢结构半成品送至车间</w:t>
            </w:r>
            <w:r>
              <w:rPr>
                <w:rFonts w:hint="eastAsia"/>
                <w:color w:val="auto"/>
                <w:sz w:val="24"/>
              </w:rPr>
              <w:t>二</w:t>
            </w:r>
            <w:r>
              <w:rPr>
                <w:color w:val="auto"/>
                <w:sz w:val="24"/>
              </w:rPr>
              <w:t>喷漆房，使用水性面漆进行喷漆喷漆厚度均为0.04mm，喷涂均采用高压高雾化喷枪，上漆率70%，喷漆工作时保持喷漆室处于密闭状态。喷漆工序连续进行，在喷面漆过程产生G</w:t>
            </w:r>
            <w:r>
              <w:rPr>
                <w:rFonts w:hint="eastAsia"/>
                <w:color w:val="auto"/>
                <w:sz w:val="24"/>
              </w:rPr>
              <w:t>7</w:t>
            </w:r>
            <w:r>
              <w:rPr>
                <w:color w:val="auto"/>
                <w:sz w:val="24"/>
              </w:rPr>
              <w:t>喷漆废气、N噪声、S</w:t>
            </w:r>
            <w:r>
              <w:rPr>
                <w:rFonts w:hint="eastAsia"/>
                <w:color w:val="auto"/>
                <w:sz w:val="24"/>
                <w:lang w:val="en-US" w:eastAsia="zh-CN"/>
              </w:rPr>
              <w:t>9废</w:t>
            </w:r>
            <w:r>
              <w:rPr>
                <w:color w:val="auto"/>
                <w:sz w:val="24"/>
              </w:rPr>
              <w:t>漆渣。</w:t>
            </w:r>
          </w:p>
          <w:p>
            <w:pPr>
              <w:numPr>
                <w:ilvl w:val="0"/>
                <w:numId w:val="3"/>
              </w:numPr>
              <w:adjustRightInd w:val="0"/>
              <w:snapToGrid w:val="0"/>
              <w:spacing w:line="360" w:lineRule="auto"/>
              <w:ind w:firstLine="480" w:firstLineChars="200"/>
              <w:rPr>
                <w:color w:val="auto"/>
                <w:sz w:val="24"/>
              </w:rPr>
            </w:pPr>
            <w:r>
              <w:rPr>
                <w:color w:val="auto"/>
                <w:sz w:val="24"/>
              </w:rPr>
              <w:t>晾干：喷漆完成后的钢结构放置晾干房中晾干，晾干后既为钢结构成品，本项目采用自然晾干的方式，晾干过程产生晾干废气G</w:t>
            </w:r>
            <w:r>
              <w:rPr>
                <w:rFonts w:hint="eastAsia"/>
                <w:color w:val="auto"/>
                <w:sz w:val="24"/>
              </w:rPr>
              <w:t>8</w:t>
            </w:r>
            <w:r>
              <w:rPr>
                <w:color w:val="auto"/>
                <w:sz w:val="24"/>
              </w:rPr>
              <w:t>。</w:t>
            </w:r>
          </w:p>
          <w:p>
            <w:pPr>
              <w:numPr>
                <w:ilvl w:val="0"/>
                <w:numId w:val="3"/>
              </w:numPr>
              <w:adjustRightInd w:val="0"/>
              <w:snapToGrid w:val="0"/>
              <w:spacing w:line="360" w:lineRule="auto"/>
              <w:ind w:firstLine="480" w:firstLineChars="200"/>
              <w:rPr>
                <w:color w:val="auto"/>
                <w:sz w:val="24"/>
              </w:rPr>
            </w:pPr>
            <w:r>
              <w:rPr>
                <w:color w:val="auto"/>
                <w:sz w:val="24"/>
              </w:rPr>
              <w:t>码放：将晾干后的成品进行码放，此过程产生噪声N。</w:t>
            </w:r>
          </w:p>
          <w:p>
            <w:pPr>
              <w:adjustRightInd w:val="0"/>
              <w:snapToGrid w:val="0"/>
              <w:spacing w:line="360" w:lineRule="auto"/>
              <w:ind w:firstLine="480" w:firstLineChars="200"/>
              <w:rPr>
                <w:bCs/>
                <w:color w:val="auto"/>
                <w:sz w:val="24"/>
              </w:rPr>
            </w:pPr>
            <w:r>
              <w:rPr>
                <w:bCs/>
                <w:color w:val="auto"/>
                <w:sz w:val="24"/>
              </w:rPr>
              <w:t>2、其他产污环节分析</w:t>
            </w:r>
          </w:p>
          <w:p>
            <w:pPr>
              <w:adjustRightInd w:val="0"/>
              <w:snapToGrid w:val="0"/>
              <w:spacing w:line="360" w:lineRule="auto"/>
              <w:ind w:firstLine="480" w:firstLineChars="200"/>
              <w:rPr>
                <w:color w:val="auto"/>
                <w:sz w:val="24"/>
              </w:rPr>
            </w:pPr>
            <w:r>
              <w:rPr>
                <w:color w:val="auto"/>
                <w:sz w:val="24"/>
              </w:rPr>
              <w:t>本项目其他主要产污环节为生活污水W</w:t>
            </w:r>
            <w:r>
              <w:rPr>
                <w:color w:val="auto"/>
                <w:sz w:val="24"/>
                <w:vertAlign w:val="subscript"/>
              </w:rPr>
              <w:t>1</w:t>
            </w:r>
            <w:r>
              <w:rPr>
                <w:color w:val="auto"/>
                <w:sz w:val="24"/>
              </w:rPr>
              <w:t>。废油桶S</w:t>
            </w:r>
            <w:r>
              <w:rPr>
                <w:rFonts w:hint="eastAsia"/>
                <w:color w:val="auto"/>
                <w:sz w:val="24"/>
                <w:lang w:val="en-US" w:eastAsia="zh-CN"/>
              </w:rPr>
              <w:t>10</w:t>
            </w:r>
            <w:r>
              <w:rPr>
                <w:rFonts w:hint="eastAsia"/>
                <w:color w:val="auto"/>
                <w:sz w:val="24"/>
                <w:lang w:eastAsia="zh-CN"/>
              </w:rPr>
              <w:t>，</w:t>
            </w:r>
            <w:r>
              <w:rPr>
                <w:bCs/>
                <w:color w:val="auto"/>
                <w:sz w:val="24"/>
              </w:rPr>
              <w:t>废气处理过程产生的</w:t>
            </w:r>
            <w:r>
              <w:rPr>
                <w:rFonts w:hint="eastAsia"/>
                <w:bCs/>
                <w:color w:val="auto"/>
                <w:sz w:val="24"/>
                <w:lang w:eastAsia="zh-CN"/>
              </w:rPr>
              <w:t>烟粉尘</w:t>
            </w:r>
            <w:r>
              <w:rPr>
                <w:rFonts w:hint="eastAsia"/>
                <w:bCs/>
                <w:color w:val="auto"/>
                <w:sz w:val="24"/>
                <w:lang w:val="en-US" w:eastAsia="zh-CN"/>
              </w:rPr>
              <w:t>S11、废过滤棉S12、</w:t>
            </w:r>
            <w:r>
              <w:rPr>
                <w:bCs/>
                <w:color w:val="auto"/>
                <w:sz w:val="24"/>
              </w:rPr>
              <w:t>废活性炭</w:t>
            </w:r>
            <w:r>
              <w:rPr>
                <w:color w:val="auto"/>
                <w:sz w:val="24"/>
              </w:rPr>
              <w:t>S1</w:t>
            </w:r>
            <w:r>
              <w:rPr>
                <w:rFonts w:hint="eastAsia"/>
                <w:color w:val="auto"/>
                <w:sz w:val="24"/>
                <w:lang w:val="en-US" w:eastAsia="zh-CN"/>
              </w:rPr>
              <w:t>3</w:t>
            </w:r>
            <w:r>
              <w:rPr>
                <w:color w:val="auto"/>
                <w:szCs w:val="21"/>
              </w:rPr>
              <w:t>、</w:t>
            </w:r>
            <w:r>
              <w:rPr>
                <w:rFonts w:hint="eastAsia"/>
                <w:color w:val="auto"/>
                <w:szCs w:val="21"/>
                <w:lang w:eastAsia="zh-CN"/>
              </w:rPr>
              <w:t>废漆桶</w:t>
            </w:r>
            <w:r>
              <w:rPr>
                <w:rFonts w:hint="eastAsia"/>
                <w:color w:val="auto"/>
                <w:szCs w:val="21"/>
                <w:lang w:val="en-US" w:eastAsia="zh-CN"/>
              </w:rPr>
              <w:t>S14、</w:t>
            </w:r>
            <w:r>
              <w:rPr>
                <w:color w:val="auto"/>
                <w:sz w:val="24"/>
              </w:rPr>
              <w:t>设备维修保养产生的废润滑油S1</w:t>
            </w:r>
            <w:r>
              <w:rPr>
                <w:rFonts w:hint="eastAsia"/>
                <w:color w:val="auto"/>
                <w:sz w:val="24"/>
                <w:lang w:val="en-US" w:eastAsia="zh-CN"/>
              </w:rPr>
              <w:t>5</w:t>
            </w:r>
            <w:r>
              <w:rPr>
                <w:color w:val="auto"/>
                <w:sz w:val="24"/>
                <w:vertAlign w:val="subscript"/>
              </w:rPr>
              <w:t>、</w:t>
            </w:r>
            <w:r>
              <w:rPr>
                <w:rFonts w:hint="eastAsia"/>
                <w:color w:val="auto"/>
                <w:sz w:val="24"/>
                <w:vertAlign w:val="baseline"/>
                <w:lang w:eastAsia="zh-CN"/>
              </w:rPr>
              <w:t>清洗废喷枪枪头</w:t>
            </w:r>
            <w:r>
              <w:rPr>
                <w:rFonts w:hint="eastAsia"/>
                <w:color w:val="auto"/>
                <w:sz w:val="24"/>
                <w:vertAlign w:val="baseline"/>
                <w:lang w:val="en-US" w:eastAsia="zh-CN"/>
              </w:rPr>
              <w:t>S16</w:t>
            </w:r>
            <w:r>
              <w:rPr>
                <w:color w:val="auto"/>
                <w:sz w:val="24"/>
              </w:rPr>
              <w:t>、</w:t>
            </w:r>
            <w:r>
              <w:rPr>
                <w:rFonts w:hint="eastAsia"/>
                <w:color w:val="auto"/>
                <w:sz w:val="24"/>
                <w:lang w:eastAsia="zh-CN"/>
              </w:rPr>
              <w:t>化粪池污泥</w:t>
            </w:r>
            <w:r>
              <w:rPr>
                <w:rFonts w:hint="eastAsia"/>
                <w:color w:val="auto"/>
                <w:sz w:val="24"/>
                <w:lang w:val="en-US" w:eastAsia="zh-CN"/>
              </w:rPr>
              <w:t>S17</w:t>
            </w:r>
            <w:r>
              <w:rPr>
                <w:rFonts w:hint="eastAsia"/>
                <w:color w:val="auto"/>
                <w:sz w:val="24"/>
                <w:lang w:eastAsia="zh-CN"/>
              </w:rPr>
              <w:t>、</w:t>
            </w:r>
            <w:r>
              <w:rPr>
                <w:color w:val="auto"/>
                <w:sz w:val="24"/>
              </w:rPr>
              <w:t>员工生活垃圾S</w:t>
            </w:r>
            <w:r>
              <w:rPr>
                <w:rFonts w:hint="eastAsia"/>
                <w:color w:val="auto"/>
                <w:sz w:val="24"/>
                <w:lang w:val="en-US" w:eastAsia="zh-CN"/>
              </w:rPr>
              <w:t>18</w:t>
            </w:r>
            <w:r>
              <w:rPr>
                <w:color w:val="auto"/>
                <w:sz w:val="24"/>
              </w:rPr>
              <w:t>。</w:t>
            </w:r>
          </w:p>
          <w:p>
            <w:pPr>
              <w:wordWrap w:val="0"/>
              <w:adjustRightInd w:val="0"/>
              <w:snapToGrid w:val="0"/>
              <w:spacing w:line="360" w:lineRule="auto"/>
              <w:ind w:firstLine="480" w:firstLineChars="200"/>
              <w:jc w:val="left"/>
              <w:rPr>
                <w:bCs/>
                <w:color w:val="auto"/>
                <w:sz w:val="24"/>
              </w:rPr>
            </w:pPr>
            <w:r>
              <w:rPr>
                <w:bCs/>
                <w:color w:val="auto"/>
                <w:sz w:val="24"/>
              </w:rPr>
              <w:t>本项目建成后，运营期产排污情况如下表：</w:t>
            </w:r>
          </w:p>
          <w:p>
            <w:pPr>
              <w:wordWrap w:val="0"/>
              <w:spacing w:line="360" w:lineRule="auto"/>
              <w:jc w:val="center"/>
              <w:rPr>
                <w:b/>
                <w:bCs/>
                <w:color w:val="auto"/>
                <w:szCs w:val="21"/>
              </w:rPr>
            </w:pPr>
            <w:r>
              <w:rPr>
                <w:b/>
                <w:bCs/>
                <w:color w:val="auto"/>
                <w:szCs w:val="21"/>
              </w:rPr>
              <w:t>表2.1-</w:t>
            </w:r>
            <w:r>
              <w:rPr>
                <w:rFonts w:hint="eastAsia"/>
                <w:b/>
                <w:bCs/>
                <w:color w:val="auto"/>
                <w:szCs w:val="21"/>
              </w:rPr>
              <w:t>11</w:t>
            </w:r>
            <w:r>
              <w:rPr>
                <w:b/>
                <w:bCs/>
                <w:color w:val="auto"/>
                <w:szCs w:val="21"/>
              </w:rPr>
              <w:t xml:space="preserve"> 本项目主要产污环节</w:t>
            </w:r>
          </w:p>
          <w:tbl>
            <w:tblPr>
              <w:tblStyle w:val="20"/>
              <w:tblW w:w="4998" w:type="pct"/>
              <w:jc w:val="center"/>
              <w:tblBorders>
                <w:top w:val="single" w:color="auto" w:sz="12" w:space="0"/>
                <w:left w:val="none" w:color="auto" w:sz="6" w:space="0"/>
                <w:bottom w:val="single" w:color="auto" w:sz="12" w:space="0"/>
                <w:right w:val="none" w:color="auto" w:sz="6" w:space="0"/>
                <w:insideH w:val="single" w:color="auto" w:sz="4" w:space="0"/>
                <w:insideV w:val="single" w:color="auto" w:sz="4" w:space="0"/>
              </w:tblBorders>
              <w:tblLayout w:type="autofit"/>
              <w:tblCellMar>
                <w:top w:w="0" w:type="dxa"/>
                <w:left w:w="108" w:type="dxa"/>
                <w:bottom w:w="0" w:type="dxa"/>
                <w:right w:w="108" w:type="dxa"/>
              </w:tblCellMar>
            </w:tblPr>
            <w:tblGrid>
              <w:gridCol w:w="1403"/>
              <w:gridCol w:w="2535"/>
              <w:gridCol w:w="2947"/>
              <w:gridCol w:w="2296"/>
            </w:tblGrid>
            <w:tr>
              <w:tblPrEx>
                <w:tblBorders>
                  <w:top w:val="single" w:color="auto" w:sz="12" w:space="0"/>
                  <w:left w:val="none" w:color="auto" w:sz="6" w:space="0"/>
                  <w:bottom w:val="single" w:color="auto" w:sz="12" w:space="0"/>
                  <w:right w:val="none" w:color="auto" w:sz="6" w:space="0"/>
                  <w:insideH w:val="single" w:color="auto" w:sz="4" w:space="0"/>
                  <w:insideV w:val="single" w:color="auto" w:sz="4" w:space="0"/>
                </w:tblBorders>
                <w:tblCellMar>
                  <w:top w:w="0" w:type="dxa"/>
                  <w:left w:w="108" w:type="dxa"/>
                  <w:bottom w:w="0" w:type="dxa"/>
                  <w:right w:w="108" w:type="dxa"/>
                </w:tblCellMar>
              </w:tblPrEx>
              <w:trPr>
                <w:jc w:val="center"/>
              </w:trPr>
              <w:tc>
                <w:tcPr>
                  <w:tcW w:w="764" w:type="pct"/>
                  <w:tcBorders>
                    <w:top w:val="single" w:color="auto" w:sz="12" w:space="0"/>
                    <w:left w:val="nil"/>
                    <w:bottom w:val="single" w:color="auto" w:sz="12" w:space="0"/>
                    <w:right w:val="single" w:color="auto" w:sz="4" w:space="0"/>
                  </w:tcBorders>
                  <w:shd w:val="clear" w:color="auto" w:fill="auto"/>
                  <w:vAlign w:val="center"/>
                </w:tcPr>
                <w:p>
                  <w:pPr>
                    <w:pStyle w:val="13"/>
                    <w:tabs>
                      <w:tab w:val="left" w:pos="2830"/>
                    </w:tabs>
                    <w:jc w:val="center"/>
                    <w:rPr>
                      <w:rFonts w:ascii="Times New Roman" w:hAnsi="Times New Roman"/>
                      <w:b/>
                      <w:bCs/>
                      <w:color w:val="auto"/>
                      <w:sz w:val="21"/>
                      <w:szCs w:val="21"/>
                    </w:rPr>
                  </w:pPr>
                  <w:r>
                    <w:rPr>
                      <w:rFonts w:ascii="Times New Roman" w:hAnsi="Times New Roman"/>
                      <w:b/>
                      <w:bCs/>
                      <w:color w:val="auto"/>
                      <w:sz w:val="21"/>
                      <w:szCs w:val="21"/>
                    </w:rPr>
                    <w:t>污染物类别</w:t>
                  </w:r>
                </w:p>
              </w:tc>
              <w:tc>
                <w:tcPr>
                  <w:tcW w:w="1380" w:type="pct"/>
                  <w:tcBorders>
                    <w:top w:val="single" w:color="auto" w:sz="12" w:space="0"/>
                    <w:left w:val="single" w:color="auto" w:sz="4" w:space="0"/>
                    <w:bottom w:val="single" w:color="auto" w:sz="12" w:space="0"/>
                    <w:right w:val="single" w:color="auto" w:sz="4" w:space="0"/>
                  </w:tcBorders>
                  <w:shd w:val="clear" w:color="auto" w:fill="auto"/>
                  <w:vAlign w:val="center"/>
                </w:tcPr>
                <w:p>
                  <w:pPr>
                    <w:pStyle w:val="13"/>
                    <w:tabs>
                      <w:tab w:val="left" w:pos="2830"/>
                    </w:tabs>
                    <w:jc w:val="center"/>
                    <w:rPr>
                      <w:rFonts w:ascii="Times New Roman" w:hAnsi="Times New Roman"/>
                      <w:b/>
                      <w:bCs/>
                      <w:color w:val="auto"/>
                      <w:sz w:val="21"/>
                      <w:szCs w:val="21"/>
                    </w:rPr>
                  </w:pPr>
                  <w:r>
                    <w:rPr>
                      <w:rFonts w:ascii="Times New Roman" w:hAnsi="Times New Roman"/>
                      <w:b/>
                      <w:bCs/>
                      <w:color w:val="auto"/>
                      <w:sz w:val="21"/>
                      <w:szCs w:val="21"/>
                    </w:rPr>
                    <w:t>编号</w:t>
                  </w:r>
                </w:p>
              </w:tc>
              <w:tc>
                <w:tcPr>
                  <w:tcW w:w="1604" w:type="pct"/>
                  <w:tcBorders>
                    <w:top w:val="single" w:color="auto" w:sz="12" w:space="0"/>
                    <w:left w:val="single" w:color="auto" w:sz="4" w:space="0"/>
                    <w:bottom w:val="single" w:color="auto" w:sz="12" w:space="0"/>
                    <w:right w:val="single" w:color="auto" w:sz="4" w:space="0"/>
                  </w:tcBorders>
                  <w:shd w:val="clear" w:color="auto" w:fill="auto"/>
                  <w:vAlign w:val="center"/>
                </w:tcPr>
                <w:p>
                  <w:pPr>
                    <w:pStyle w:val="13"/>
                    <w:tabs>
                      <w:tab w:val="left" w:pos="2830"/>
                    </w:tabs>
                    <w:jc w:val="center"/>
                    <w:rPr>
                      <w:rFonts w:ascii="Times New Roman" w:hAnsi="Times New Roman"/>
                      <w:b/>
                      <w:bCs/>
                      <w:color w:val="auto"/>
                      <w:sz w:val="21"/>
                      <w:szCs w:val="21"/>
                    </w:rPr>
                  </w:pPr>
                  <w:r>
                    <w:rPr>
                      <w:rFonts w:ascii="Times New Roman" w:hAnsi="Times New Roman"/>
                      <w:b/>
                      <w:bCs/>
                      <w:color w:val="auto"/>
                      <w:sz w:val="21"/>
                      <w:szCs w:val="21"/>
                    </w:rPr>
                    <w:t>排放源</w:t>
                  </w:r>
                </w:p>
              </w:tc>
              <w:tc>
                <w:tcPr>
                  <w:tcW w:w="1250" w:type="pct"/>
                  <w:tcBorders>
                    <w:top w:val="single" w:color="auto" w:sz="12" w:space="0"/>
                    <w:left w:val="single" w:color="auto" w:sz="4" w:space="0"/>
                    <w:bottom w:val="single" w:color="auto" w:sz="12" w:space="0"/>
                    <w:right w:val="nil"/>
                  </w:tcBorders>
                  <w:shd w:val="clear" w:color="auto" w:fill="auto"/>
                  <w:vAlign w:val="center"/>
                </w:tcPr>
                <w:p>
                  <w:pPr>
                    <w:pStyle w:val="13"/>
                    <w:tabs>
                      <w:tab w:val="left" w:pos="2830"/>
                    </w:tabs>
                    <w:jc w:val="center"/>
                    <w:rPr>
                      <w:rFonts w:ascii="Times New Roman" w:hAnsi="Times New Roman"/>
                      <w:b/>
                      <w:bCs/>
                      <w:color w:val="auto"/>
                      <w:sz w:val="21"/>
                      <w:szCs w:val="21"/>
                    </w:rPr>
                  </w:pPr>
                  <w:r>
                    <w:rPr>
                      <w:rFonts w:ascii="Times New Roman" w:hAnsi="Times New Roman"/>
                      <w:b/>
                      <w:bCs/>
                      <w:color w:val="auto"/>
                      <w:sz w:val="21"/>
                      <w:szCs w:val="21"/>
                    </w:rPr>
                    <w:t>污染物名称</w:t>
                  </w:r>
                </w:p>
              </w:tc>
            </w:tr>
            <w:tr>
              <w:tblPrEx>
                <w:tblBorders>
                  <w:top w:val="single" w:color="auto" w:sz="12" w:space="0"/>
                  <w:left w:val="none" w:color="auto" w:sz="6" w:space="0"/>
                  <w:bottom w:val="single" w:color="auto" w:sz="12" w:space="0"/>
                  <w:right w:val="none" w:color="auto" w:sz="6"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764" w:type="pct"/>
                  <w:vMerge w:val="restart"/>
                  <w:tcBorders>
                    <w:top w:val="single" w:color="auto" w:sz="4" w:space="0"/>
                    <w:left w:val="nil"/>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废气</w:t>
                  </w:r>
                </w:p>
              </w:tc>
              <w:tc>
                <w:tcPr>
                  <w:tcW w:w="138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G1</w:t>
                  </w:r>
                </w:p>
              </w:tc>
              <w:tc>
                <w:tcPr>
                  <w:tcW w:w="160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切割粉尘</w:t>
                  </w:r>
                </w:p>
              </w:tc>
              <w:tc>
                <w:tcPr>
                  <w:tcW w:w="1250" w:type="pct"/>
                  <w:tcBorders>
                    <w:top w:val="single" w:color="auto" w:sz="4" w:space="0"/>
                    <w:left w:val="single" w:color="auto" w:sz="4" w:space="0"/>
                    <w:bottom w:val="single" w:color="auto" w:sz="4" w:space="0"/>
                    <w:right w:val="nil"/>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颗粒物</w:t>
                  </w:r>
                </w:p>
              </w:tc>
            </w:tr>
            <w:tr>
              <w:tblPrEx>
                <w:tblBorders>
                  <w:top w:val="single" w:color="auto" w:sz="12" w:space="0"/>
                  <w:left w:val="none" w:color="auto" w:sz="6" w:space="0"/>
                  <w:bottom w:val="single" w:color="auto" w:sz="12" w:space="0"/>
                  <w:right w:val="none" w:color="auto" w:sz="6"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764" w:type="pct"/>
                  <w:vMerge w:val="continue"/>
                  <w:tcBorders>
                    <w:left w:val="nil"/>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p>
              </w:tc>
              <w:tc>
                <w:tcPr>
                  <w:tcW w:w="138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G2</w:t>
                  </w:r>
                </w:p>
              </w:tc>
              <w:tc>
                <w:tcPr>
                  <w:tcW w:w="160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焊接粉尘</w:t>
                  </w:r>
                </w:p>
              </w:tc>
              <w:tc>
                <w:tcPr>
                  <w:tcW w:w="1250" w:type="pct"/>
                  <w:tcBorders>
                    <w:top w:val="single" w:color="auto" w:sz="4" w:space="0"/>
                    <w:left w:val="single" w:color="auto" w:sz="4" w:space="0"/>
                    <w:bottom w:val="single" w:color="auto" w:sz="4" w:space="0"/>
                    <w:right w:val="nil"/>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颗粒物</w:t>
                  </w:r>
                </w:p>
              </w:tc>
            </w:tr>
            <w:tr>
              <w:tblPrEx>
                <w:tblBorders>
                  <w:top w:val="single" w:color="auto" w:sz="12" w:space="0"/>
                  <w:left w:val="none" w:color="auto" w:sz="6" w:space="0"/>
                  <w:bottom w:val="single" w:color="auto" w:sz="12" w:space="0"/>
                  <w:right w:val="none" w:color="auto" w:sz="6"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764" w:type="pct"/>
                  <w:vMerge w:val="continue"/>
                  <w:tcBorders>
                    <w:left w:val="nil"/>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p>
              </w:tc>
              <w:tc>
                <w:tcPr>
                  <w:tcW w:w="138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G3</w:t>
                  </w:r>
                </w:p>
              </w:tc>
              <w:tc>
                <w:tcPr>
                  <w:tcW w:w="160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焊接粉尘</w:t>
                  </w:r>
                </w:p>
              </w:tc>
              <w:tc>
                <w:tcPr>
                  <w:tcW w:w="1250" w:type="pct"/>
                  <w:tcBorders>
                    <w:top w:val="single" w:color="auto" w:sz="4" w:space="0"/>
                    <w:left w:val="single" w:color="auto" w:sz="4" w:space="0"/>
                    <w:bottom w:val="single" w:color="auto" w:sz="4" w:space="0"/>
                    <w:right w:val="nil"/>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颗粒物</w:t>
                  </w:r>
                </w:p>
              </w:tc>
            </w:tr>
            <w:tr>
              <w:tblPrEx>
                <w:tblBorders>
                  <w:top w:val="single" w:color="auto" w:sz="12" w:space="0"/>
                  <w:left w:val="none" w:color="auto" w:sz="6" w:space="0"/>
                  <w:bottom w:val="single" w:color="auto" w:sz="12" w:space="0"/>
                  <w:right w:val="non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4" w:type="pct"/>
                  <w:vMerge w:val="continue"/>
                  <w:tcBorders>
                    <w:left w:val="nil"/>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p>
              </w:tc>
              <w:tc>
                <w:tcPr>
                  <w:tcW w:w="138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G4</w:t>
                  </w:r>
                </w:p>
              </w:tc>
              <w:tc>
                <w:tcPr>
                  <w:tcW w:w="160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打磨粉尘</w:t>
                  </w:r>
                </w:p>
              </w:tc>
              <w:tc>
                <w:tcPr>
                  <w:tcW w:w="1250" w:type="pct"/>
                  <w:tcBorders>
                    <w:top w:val="single" w:color="auto" w:sz="4" w:space="0"/>
                    <w:left w:val="single" w:color="auto" w:sz="4" w:space="0"/>
                    <w:bottom w:val="single" w:color="auto" w:sz="4" w:space="0"/>
                    <w:right w:val="nil"/>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颗粒物</w:t>
                  </w:r>
                </w:p>
              </w:tc>
            </w:tr>
            <w:tr>
              <w:tblPrEx>
                <w:tblBorders>
                  <w:top w:val="single" w:color="auto" w:sz="12" w:space="0"/>
                  <w:left w:val="none" w:color="auto" w:sz="6" w:space="0"/>
                  <w:bottom w:val="single" w:color="auto" w:sz="12" w:space="0"/>
                  <w:right w:val="none" w:color="auto" w:sz="6" w:space="0"/>
                  <w:insideH w:val="single" w:color="auto" w:sz="4" w:space="0"/>
                  <w:insideV w:val="single" w:color="auto" w:sz="4" w:space="0"/>
                </w:tblBorders>
                <w:tblCellMar>
                  <w:top w:w="0" w:type="dxa"/>
                  <w:left w:w="108" w:type="dxa"/>
                  <w:bottom w:w="0" w:type="dxa"/>
                  <w:right w:w="108" w:type="dxa"/>
                </w:tblCellMar>
              </w:tblPrEx>
              <w:trPr>
                <w:jc w:val="center"/>
              </w:trPr>
              <w:tc>
                <w:tcPr>
                  <w:tcW w:w="764" w:type="pct"/>
                  <w:vMerge w:val="continue"/>
                  <w:tcBorders>
                    <w:left w:val="nil"/>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p>
              </w:tc>
              <w:tc>
                <w:tcPr>
                  <w:tcW w:w="138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G5</w:t>
                  </w:r>
                </w:p>
              </w:tc>
              <w:tc>
                <w:tcPr>
                  <w:tcW w:w="160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抛丸粉尘</w:t>
                  </w:r>
                </w:p>
              </w:tc>
              <w:tc>
                <w:tcPr>
                  <w:tcW w:w="1250" w:type="pct"/>
                  <w:tcBorders>
                    <w:top w:val="single" w:color="auto" w:sz="4" w:space="0"/>
                    <w:left w:val="single" w:color="auto" w:sz="4" w:space="0"/>
                    <w:bottom w:val="single" w:color="auto" w:sz="4" w:space="0"/>
                    <w:right w:val="nil"/>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颗粒物</w:t>
                  </w:r>
                </w:p>
              </w:tc>
            </w:tr>
            <w:tr>
              <w:tblPrEx>
                <w:tblBorders>
                  <w:top w:val="single" w:color="auto" w:sz="12" w:space="0"/>
                  <w:left w:val="none" w:color="auto" w:sz="6" w:space="0"/>
                  <w:bottom w:val="single" w:color="auto" w:sz="12" w:space="0"/>
                  <w:right w:val="none" w:color="auto" w:sz="6" w:space="0"/>
                  <w:insideH w:val="single" w:color="auto" w:sz="4" w:space="0"/>
                  <w:insideV w:val="single" w:color="auto" w:sz="4" w:space="0"/>
                </w:tblBorders>
                <w:tblCellMar>
                  <w:top w:w="0" w:type="dxa"/>
                  <w:left w:w="108" w:type="dxa"/>
                  <w:bottom w:w="0" w:type="dxa"/>
                  <w:right w:w="108" w:type="dxa"/>
                </w:tblCellMar>
              </w:tblPrEx>
              <w:trPr>
                <w:jc w:val="center"/>
              </w:trPr>
              <w:tc>
                <w:tcPr>
                  <w:tcW w:w="764" w:type="pct"/>
                  <w:vMerge w:val="continue"/>
                  <w:tcBorders>
                    <w:left w:val="nil"/>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p>
              </w:tc>
              <w:tc>
                <w:tcPr>
                  <w:tcW w:w="138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G6</w:t>
                  </w:r>
                </w:p>
              </w:tc>
              <w:tc>
                <w:tcPr>
                  <w:tcW w:w="160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调漆废气</w:t>
                  </w:r>
                </w:p>
              </w:tc>
              <w:tc>
                <w:tcPr>
                  <w:tcW w:w="1250" w:type="pct"/>
                  <w:tcBorders>
                    <w:top w:val="single" w:color="auto" w:sz="4" w:space="0"/>
                    <w:left w:val="single" w:color="auto" w:sz="4" w:space="0"/>
                    <w:bottom w:val="single" w:color="auto" w:sz="4" w:space="0"/>
                    <w:right w:val="nil"/>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非甲烷总烃</w:t>
                  </w:r>
                </w:p>
              </w:tc>
            </w:tr>
            <w:tr>
              <w:tblPrEx>
                <w:tblBorders>
                  <w:top w:val="single" w:color="auto" w:sz="12" w:space="0"/>
                  <w:left w:val="none" w:color="auto" w:sz="6" w:space="0"/>
                  <w:bottom w:val="single" w:color="auto" w:sz="12" w:space="0"/>
                  <w:right w:val="none" w:color="auto" w:sz="6" w:space="0"/>
                  <w:insideH w:val="single" w:color="auto" w:sz="4" w:space="0"/>
                  <w:insideV w:val="single" w:color="auto" w:sz="4" w:space="0"/>
                </w:tblBorders>
                <w:tblCellMar>
                  <w:top w:w="0" w:type="dxa"/>
                  <w:left w:w="108" w:type="dxa"/>
                  <w:bottom w:w="0" w:type="dxa"/>
                  <w:right w:w="108" w:type="dxa"/>
                </w:tblCellMar>
              </w:tblPrEx>
              <w:trPr>
                <w:jc w:val="center"/>
              </w:trPr>
              <w:tc>
                <w:tcPr>
                  <w:tcW w:w="764" w:type="pct"/>
                  <w:vMerge w:val="continue"/>
                  <w:tcBorders>
                    <w:left w:val="nil"/>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p>
              </w:tc>
              <w:tc>
                <w:tcPr>
                  <w:tcW w:w="138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G7</w:t>
                  </w:r>
                </w:p>
              </w:tc>
              <w:tc>
                <w:tcPr>
                  <w:tcW w:w="160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喷漆废气</w:t>
                  </w:r>
                </w:p>
              </w:tc>
              <w:tc>
                <w:tcPr>
                  <w:tcW w:w="1250" w:type="pct"/>
                  <w:tcBorders>
                    <w:top w:val="single" w:color="auto" w:sz="4" w:space="0"/>
                    <w:left w:val="single" w:color="auto" w:sz="4" w:space="0"/>
                    <w:bottom w:val="single" w:color="auto" w:sz="4" w:space="0"/>
                    <w:right w:val="nil"/>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非甲烷总烃</w:t>
                  </w:r>
                </w:p>
              </w:tc>
            </w:tr>
            <w:tr>
              <w:tblPrEx>
                <w:tblBorders>
                  <w:top w:val="single" w:color="auto" w:sz="12" w:space="0"/>
                  <w:left w:val="none" w:color="auto" w:sz="6" w:space="0"/>
                  <w:bottom w:val="single" w:color="auto" w:sz="12" w:space="0"/>
                  <w:right w:val="non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4" w:type="pct"/>
                  <w:vMerge w:val="continue"/>
                  <w:tcBorders>
                    <w:left w:val="nil"/>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p>
              </w:tc>
              <w:tc>
                <w:tcPr>
                  <w:tcW w:w="1380" w:type="pct"/>
                  <w:tcBorders>
                    <w:top w:val="single" w:color="auto" w:sz="4" w:space="0"/>
                    <w:left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G8</w:t>
                  </w:r>
                </w:p>
              </w:tc>
              <w:tc>
                <w:tcPr>
                  <w:tcW w:w="1604" w:type="pct"/>
                  <w:tcBorders>
                    <w:top w:val="single" w:color="auto" w:sz="4" w:space="0"/>
                    <w:left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晾干废气</w:t>
                  </w:r>
                </w:p>
              </w:tc>
              <w:tc>
                <w:tcPr>
                  <w:tcW w:w="1250" w:type="pct"/>
                  <w:tcBorders>
                    <w:top w:val="single" w:color="auto" w:sz="4" w:space="0"/>
                    <w:left w:val="single" w:color="auto" w:sz="4" w:space="0"/>
                    <w:bottom w:val="single" w:color="auto" w:sz="4" w:space="0"/>
                    <w:right w:val="nil"/>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非甲烷总烃</w:t>
                  </w:r>
                </w:p>
              </w:tc>
            </w:tr>
            <w:tr>
              <w:tblPrEx>
                <w:tblBorders>
                  <w:top w:val="single" w:color="auto" w:sz="12" w:space="0"/>
                  <w:left w:val="none" w:color="auto" w:sz="6" w:space="0"/>
                  <w:bottom w:val="single" w:color="auto" w:sz="12" w:space="0"/>
                  <w:right w:val="none" w:color="auto" w:sz="6"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764" w:type="pct"/>
                  <w:vMerge w:val="continue"/>
                  <w:tcBorders>
                    <w:left w:val="nil"/>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p>
              </w:tc>
              <w:tc>
                <w:tcPr>
                  <w:tcW w:w="1380" w:type="pct"/>
                  <w:tcBorders>
                    <w:top w:val="single" w:color="auto" w:sz="4" w:space="0"/>
                    <w:left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G9</w:t>
                  </w:r>
                </w:p>
              </w:tc>
              <w:tc>
                <w:tcPr>
                  <w:tcW w:w="1604" w:type="pct"/>
                  <w:tcBorders>
                    <w:top w:val="single" w:color="auto" w:sz="4" w:space="0"/>
                    <w:left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危废仓库</w:t>
                  </w:r>
                </w:p>
              </w:tc>
              <w:tc>
                <w:tcPr>
                  <w:tcW w:w="1250" w:type="pct"/>
                  <w:tcBorders>
                    <w:top w:val="single" w:color="auto" w:sz="4" w:space="0"/>
                    <w:left w:val="single" w:color="auto" w:sz="4" w:space="0"/>
                    <w:bottom w:val="single" w:color="auto" w:sz="4" w:space="0"/>
                    <w:right w:val="nil"/>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非甲烷总烃</w:t>
                  </w:r>
                </w:p>
              </w:tc>
            </w:tr>
            <w:tr>
              <w:tblPrEx>
                <w:tblBorders>
                  <w:top w:val="single" w:color="auto" w:sz="12" w:space="0"/>
                  <w:left w:val="none" w:color="auto" w:sz="6" w:space="0"/>
                  <w:bottom w:val="single" w:color="auto" w:sz="12" w:space="0"/>
                  <w:right w:val="none" w:color="auto" w:sz="6" w:space="0"/>
                  <w:insideH w:val="single" w:color="auto" w:sz="4" w:space="0"/>
                  <w:insideV w:val="single" w:color="auto" w:sz="4" w:space="0"/>
                </w:tblBorders>
                <w:tblCellMar>
                  <w:top w:w="0" w:type="dxa"/>
                  <w:left w:w="108" w:type="dxa"/>
                  <w:bottom w:w="0" w:type="dxa"/>
                  <w:right w:w="108" w:type="dxa"/>
                </w:tblCellMar>
              </w:tblPrEx>
              <w:trPr>
                <w:jc w:val="center"/>
              </w:trPr>
              <w:tc>
                <w:tcPr>
                  <w:tcW w:w="764" w:type="pct"/>
                  <w:tcBorders>
                    <w:top w:val="single" w:color="auto" w:sz="4" w:space="0"/>
                    <w:left w:val="nil"/>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噪声</w:t>
                  </w:r>
                </w:p>
              </w:tc>
              <w:tc>
                <w:tcPr>
                  <w:tcW w:w="138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N1-N8</w:t>
                  </w:r>
                </w:p>
              </w:tc>
              <w:tc>
                <w:tcPr>
                  <w:tcW w:w="160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设备</w:t>
                  </w:r>
                </w:p>
              </w:tc>
              <w:tc>
                <w:tcPr>
                  <w:tcW w:w="1250" w:type="pct"/>
                  <w:tcBorders>
                    <w:top w:val="single" w:color="auto" w:sz="4" w:space="0"/>
                    <w:left w:val="single" w:color="auto" w:sz="4" w:space="0"/>
                    <w:bottom w:val="single" w:color="auto" w:sz="4" w:space="0"/>
                    <w:right w:val="nil"/>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噪声</w:t>
                  </w:r>
                </w:p>
              </w:tc>
            </w:tr>
            <w:tr>
              <w:tblPrEx>
                <w:tblBorders>
                  <w:top w:val="single" w:color="auto" w:sz="12" w:space="0"/>
                  <w:left w:val="none" w:color="auto" w:sz="6" w:space="0"/>
                  <w:bottom w:val="single" w:color="auto" w:sz="12" w:space="0"/>
                  <w:right w:val="non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4" w:type="pct"/>
                  <w:vMerge w:val="restart"/>
                  <w:tcBorders>
                    <w:top w:val="single" w:color="auto" w:sz="4" w:space="0"/>
                    <w:left w:val="nil"/>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固废</w:t>
                  </w:r>
                </w:p>
              </w:tc>
              <w:tc>
                <w:tcPr>
                  <w:tcW w:w="138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S1</w:t>
                  </w:r>
                </w:p>
              </w:tc>
              <w:tc>
                <w:tcPr>
                  <w:tcW w:w="160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下料</w:t>
                  </w:r>
                </w:p>
              </w:tc>
              <w:tc>
                <w:tcPr>
                  <w:tcW w:w="1250" w:type="pct"/>
                  <w:tcBorders>
                    <w:top w:val="single" w:color="auto" w:sz="4" w:space="0"/>
                    <w:left w:val="single" w:color="auto" w:sz="4" w:space="0"/>
                    <w:bottom w:val="single" w:color="auto" w:sz="4" w:space="0"/>
                    <w:right w:val="nil"/>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废边角料</w:t>
                  </w:r>
                </w:p>
              </w:tc>
            </w:tr>
            <w:tr>
              <w:tblPrEx>
                <w:tblBorders>
                  <w:top w:val="single" w:color="auto" w:sz="12" w:space="0"/>
                  <w:left w:val="none" w:color="auto" w:sz="6" w:space="0"/>
                  <w:bottom w:val="single" w:color="auto" w:sz="12" w:space="0"/>
                  <w:right w:val="none" w:color="auto" w:sz="6" w:space="0"/>
                  <w:insideH w:val="single" w:color="auto" w:sz="4" w:space="0"/>
                  <w:insideV w:val="single" w:color="auto" w:sz="4" w:space="0"/>
                </w:tblBorders>
                <w:tblCellMar>
                  <w:top w:w="0" w:type="dxa"/>
                  <w:left w:w="108" w:type="dxa"/>
                  <w:bottom w:w="0" w:type="dxa"/>
                  <w:right w:w="108" w:type="dxa"/>
                </w:tblCellMar>
              </w:tblPrEx>
              <w:trPr>
                <w:jc w:val="center"/>
              </w:trPr>
              <w:tc>
                <w:tcPr>
                  <w:tcW w:w="764" w:type="pct"/>
                  <w:vMerge w:val="continue"/>
                  <w:tcBorders>
                    <w:left w:val="nil"/>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p>
              </w:tc>
              <w:tc>
                <w:tcPr>
                  <w:tcW w:w="138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S2</w:t>
                  </w:r>
                </w:p>
              </w:tc>
              <w:tc>
                <w:tcPr>
                  <w:tcW w:w="160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lang w:eastAsia="zh-CN"/>
                    </w:rPr>
                    <w:t>切割</w:t>
                  </w:r>
                </w:p>
              </w:tc>
              <w:tc>
                <w:tcPr>
                  <w:tcW w:w="1250" w:type="pct"/>
                  <w:tcBorders>
                    <w:top w:val="single" w:color="auto" w:sz="4" w:space="0"/>
                    <w:left w:val="single" w:color="auto" w:sz="4" w:space="0"/>
                    <w:bottom w:val="single" w:color="auto" w:sz="4" w:space="0"/>
                    <w:right w:val="nil"/>
                  </w:tcBorders>
                  <w:shd w:val="clear" w:color="auto" w:fill="auto"/>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lang w:eastAsia="zh-CN"/>
                    </w:rPr>
                    <w:t>废金属屑</w:t>
                  </w:r>
                </w:p>
              </w:tc>
            </w:tr>
            <w:tr>
              <w:tblPrEx>
                <w:tblBorders>
                  <w:top w:val="single" w:color="auto" w:sz="12" w:space="0"/>
                  <w:left w:val="none" w:color="auto" w:sz="6" w:space="0"/>
                  <w:bottom w:val="single" w:color="auto" w:sz="12" w:space="0"/>
                  <w:right w:val="none" w:color="auto" w:sz="6"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764" w:type="pct"/>
                  <w:vMerge w:val="continue"/>
                  <w:tcBorders>
                    <w:left w:val="nil"/>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p>
              </w:tc>
              <w:tc>
                <w:tcPr>
                  <w:tcW w:w="138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hint="default" w:ascii="Times New Roman" w:hAnsi="Times New Roman" w:eastAsia="宋体"/>
                      <w:color w:val="auto"/>
                      <w:sz w:val="21"/>
                      <w:szCs w:val="21"/>
                      <w:lang w:val="en-US" w:eastAsia="zh-CN"/>
                    </w:rPr>
                  </w:pPr>
                  <w:r>
                    <w:rPr>
                      <w:rFonts w:ascii="Times New Roman" w:hAnsi="Times New Roman"/>
                      <w:color w:val="auto"/>
                      <w:sz w:val="21"/>
                      <w:szCs w:val="21"/>
                    </w:rPr>
                    <w:t>S3</w:t>
                  </w:r>
                  <w:r>
                    <w:rPr>
                      <w:rFonts w:hint="eastAsia" w:ascii="Times New Roman" w:hAnsi="Times New Roman"/>
                      <w:color w:val="auto"/>
                      <w:sz w:val="21"/>
                      <w:szCs w:val="21"/>
                      <w:lang w:eastAsia="zh-CN"/>
                    </w:rPr>
                    <w:t>、</w:t>
                  </w:r>
                  <w:r>
                    <w:rPr>
                      <w:rFonts w:hint="eastAsia" w:ascii="Times New Roman" w:hAnsi="Times New Roman"/>
                      <w:color w:val="auto"/>
                      <w:sz w:val="21"/>
                      <w:szCs w:val="21"/>
                      <w:lang w:val="en-US" w:eastAsia="zh-CN"/>
                    </w:rPr>
                    <w:t>S4</w:t>
                  </w:r>
                </w:p>
              </w:tc>
              <w:tc>
                <w:tcPr>
                  <w:tcW w:w="160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焊接</w:t>
                  </w:r>
                </w:p>
              </w:tc>
              <w:tc>
                <w:tcPr>
                  <w:tcW w:w="1250" w:type="pct"/>
                  <w:tcBorders>
                    <w:top w:val="single" w:color="auto" w:sz="4" w:space="0"/>
                    <w:left w:val="single" w:color="auto" w:sz="4" w:space="0"/>
                    <w:bottom w:val="single" w:color="auto" w:sz="4" w:space="0"/>
                    <w:right w:val="nil"/>
                  </w:tcBorders>
                  <w:shd w:val="clear" w:color="auto" w:fill="auto"/>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lang w:eastAsia="zh-CN"/>
                    </w:rPr>
                    <w:t>废</w:t>
                  </w:r>
                  <w:r>
                    <w:rPr>
                      <w:rFonts w:ascii="Times New Roman" w:hAnsi="Times New Roman"/>
                      <w:color w:val="auto"/>
                      <w:sz w:val="21"/>
                      <w:szCs w:val="21"/>
                    </w:rPr>
                    <w:t>焊渣</w:t>
                  </w:r>
                </w:p>
              </w:tc>
            </w:tr>
            <w:tr>
              <w:tblPrEx>
                <w:tblBorders>
                  <w:top w:val="single" w:color="auto" w:sz="12" w:space="0"/>
                  <w:left w:val="none" w:color="auto" w:sz="6" w:space="0"/>
                  <w:bottom w:val="single" w:color="auto" w:sz="12" w:space="0"/>
                  <w:right w:val="none" w:color="auto" w:sz="6"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764" w:type="pct"/>
                  <w:vMerge w:val="continue"/>
                  <w:tcBorders>
                    <w:left w:val="nil"/>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p>
              </w:tc>
              <w:tc>
                <w:tcPr>
                  <w:tcW w:w="138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hint="default"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S5</w:t>
                  </w:r>
                </w:p>
              </w:tc>
              <w:tc>
                <w:tcPr>
                  <w:tcW w:w="160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hint="default" w:ascii="Times New Roman" w:hAnsi="Times New Roman" w:eastAsia="宋体"/>
                      <w:color w:val="auto"/>
                      <w:sz w:val="21"/>
                      <w:szCs w:val="21"/>
                      <w:lang w:val="en-US" w:eastAsia="zh-CN"/>
                    </w:rPr>
                  </w:pPr>
                  <w:r>
                    <w:rPr>
                      <w:rFonts w:hint="eastAsia" w:ascii="Times New Roman" w:hAnsi="Times New Roman"/>
                      <w:color w:val="auto"/>
                      <w:sz w:val="21"/>
                      <w:szCs w:val="21"/>
                      <w:lang w:eastAsia="zh-CN"/>
                    </w:rPr>
                    <w:t>打磨</w:t>
                  </w:r>
                </w:p>
              </w:tc>
              <w:tc>
                <w:tcPr>
                  <w:tcW w:w="1250" w:type="pct"/>
                  <w:tcBorders>
                    <w:top w:val="single" w:color="auto" w:sz="4" w:space="0"/>
                    <w:left w:val="single" w:color="auto" w:sz="4" w:space="0"/>
                    <w:bottom w:val="single" w:color="auto" w:sz="4" w:space="0"/>
                    <w:right w:val="nil"/>
                  </w:tcBorders>
                  <w:shd w:val="clear" w:color="auto" w:fill="auto"/>
                  <w:vAlign w:val="center"/>
                </w:tcPr>
                <w:p>
                  <w:pPr>
                    <w:pStyle w:val="13"/>
                    <w:tabs>
                      <w:tab w:val="left" w:pos="2830"/>
                    </w:tabs>
                    <w:jc w:val="center"/>
                    <w:rPr>
                      <w:rFonts w:hint="eastAsia" w:ascii="Times New Roman" w:hAnsi="Times New Roman"/>
                      <w:color w:val="auto"/>
                      <w:sz w:val="21"/>
                      <w:szCs w:val="21"/>
                      <w:lang w:eastAsia="zh-CN"/>
                    </w:rPr>
                  </w:pPr>
                  <w:r>
                    <w:rPr>
                      <w:rFonts w:hint="eastAsia" w:ascii="Times New Roman" w:hAnsi="Times New Roman"/>
                      <w:color w:val="auto"/>
                      <w:sz w:val="21"/>
                      <w:szCs w:val="21"/>
                      <w:lang w:eastAsia="zh-CN"/>
                    </w:rPr>
                    <w:t>废金属屑</w:t>
                  </w:r>
                </w:p>
              </w:tc>
            </w:tr>
            <w:tr>
              <w:tblPrEx>
                <w:tblBorders>
                  <w:top w:val="single" w:color="auto" w:sz="12" w:space="0"/>
                  <w:left w:val="none" w:color="auto" w:sz="6" w:space="0"/>
                  <w:bottom w:val="single" w:color="auto" w:sz="12" w:space="0"/>
                  <w:right w:val="none" w:color="auto" w:sz="6"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764" w:type="pct"/>
                  <w:vMerge w:val="continue"/>
                  <w:tcBorders>
                    <w:left w:val="nil"/>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p>
              </w:tc>
              <w:tc>
                <w:tcPr>
                  <w:tcW w:w="138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hint="eastAsia" w:ascii="Times New Roman" w:hAnsi="Times New Roman" w:eastAsia="宋体" w:cs="Times New Roman"/>
                      <w:color w:val="auto"/>
                      <w:kern w:val="0"/>
                      <w:sz w:val="21"/>
                      <w:szCs w:val="21"/>
                      <w:lang w:val="en-US" w:eastAsia="zh-CN" w:bidi="ar-SA"/>
                    </w:rPr>
                  </w:pPr>
                  <w:r>
                    <w:rPr>
                      <w:rFonts w:ascii="Times New Roman" w:hAnsi="Times New Roman"/>
                      <w:color w:val="auto"/>
                      <w:sz w:val="21"/>
                      <w:szCs w:val="21"/>
                    </w:rPr>
                    <w:t>S</w:t>
                  </w:r>
                  <w:r>
                    <w:rPr>
                      <w:rFonts w:hint="eastAsia" w:ascii="Times New Roman" w:hAnsi="Times New Roman"/>
                      <w:color w:val="auto"/>
                      <w:sz w:val="21"/>
                      <w:szCs w:val="21"/>
                      <w:lang w:val="en-US" w:eastAsia="zh-CN"/>
                    </w:rPr>
                    <w:t>6</w:t>
                  </w:r>
                </w:p>
              </w:tc>
              <w:tc>
                <w:tcPr>
                  <w:tcW w:w="160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hint="eastAsia" w:ascii="Times New Roman" w:hAnsi="Times New Roman" w:eastAsia="宋体" w:cs="Times New Roman"/>
                      <w:color w:val="auto"/>
                      <w:kern w:val="0"/>
                      <w:sz w:val="21"/>
                      <w:szCs w:val="21"/>
                      <w:lang w:val="en-US" w:eastAsia="zh-CN" w:bidi="ar-SA"/>
                    </w:rPr>
                  </w:pPr>
                  <w:r>
                    <w:rPr>
                      <w:rFonts w:ascii="Times New Roman" w:hAnsi="Times New Roman"/>
                      <w:color w:val="auto"/>
                      <w:sz w:val="21"/>
                      <w:szCs w:val="21"/>
                    </w:rPr>
                    <w:t>打磨</w:t>
                  </w:r>
                </w:p>
              </w:tc>
              <w:tc>
                <w:tcPr>
                  <w:tcW w:w="1250" w:type="pct"/>
                  <w:tcBorders>
                    <w:top w:val="single" w:color="auto" w:sz="4" w:space="0"/>
                    <w:left w:val="single" w:color="auto" w:sz="4" w:space="0"/>
                    <w:bottom w:val="single" w:color="auto" w:sz="4" w:space="0"/>
                    <w:right w:val="nil"/>
                  </w:tcBorders>
                  <w:shd w:val="clear" w:color="auto" w:fill="auto"/>
                  <w:vAlign w:val="center"/>
                </w:tcPr>
                <w:p>
                  <w:pPr>
                    <w:pStyle w:val="13"/>
                    <w:tabs>
                      <w:tab w:val="left" w:pos="2830"/>
                    </w:tabs>
                    <w:jc w:val="center"/>
                    <w:rPr>
                      <w:rFonts w:hint="eastAsia" w:ascii="Times New Roman" w:hAnsi="Times New Roman" w:eastAsia="宋体" w:cs="Times New Roman"/>
                      <w:color w:val="auto"/>
                      <w:kern w:val="0"/>
                      <w:sz w:val="21"/>
                      <w:szCs w:val="21"/>
                      <w:lang w:val="en-US" w:eastAsia="zh-CN" w:bidi="ar-SA"/>
                    </w:rPr>
                  </w:pPr>
                  <w:r>
                    <w:rPr>
                      <w:rFonts w:ascii="Times New Roman" w:hAnsi="Times New Roman"/>
                      <w:color w:val="auto"/>
                      <w:sz w:val="21"/>
                      <w:szCs w:val="21"/>
                    </w:rPr>
                    <w:t>废砂轮片</w:t>
                  </w:r>
                </w:p>
              </w:tc>
            </w:tr>
            <w:tr>
              <w:tblPrEx>
                <w:tblBorders>
                  <w:top w:val="single" w:color="auto" w:sz="12" w:space="0"/>
                  <w:left w:val="none" w:color="auto" w:sz="6" w:space="0"/>
                  <w:bottom w:val="single" w:color="auto" w:sz="12" w:space="0"/>
                  <w:right w:val="none" w:color="auto" w:sz="6"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764" w:type="pct"/>
                  <w:vMerge w:val="continue"/>
                  <w:tcBorders>
                    <w:left w:val="nil"/>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p>
              </w:tc>
              <w:tc>
                <w:tcPr>
                  <w:tcW w:w="138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hint="eastAsia" w:ascii="Times New Roman" w:hAnsi="Times New Roman" w:eastAsia="宋体"/>
                      <w:color w:val="auto"/>
                      <w:sz w:val="21"/>
                      <w:szCs w:val="21"/>
                      <w:lang w:eastAsia="zh-CN"/>
                    </w:rPr>
                  </w:pPr>
                  <w:r>
                    <w:rPr>
                      <w:rFonts w:ascii="Times New Roman" w:hAnsi="Times New Roman"/>
                      <w:color w:val="auto"/>
                      <w:sz w:val="21"/>
                      <w:szCs w:val="21"/>
                    </w:rPr>
                    <w:t>S</w:t>
                  </w:r>
                  <w:r>
                    <w:rPr>
                      <w:rFonts w:hint="eastAsia" w:ascii="Times New Roman" w:hAnsi="Times New Roman"/>
                      <w:color w:val="auto"/>
                      <w:sz w:val="21"/>
                      <w:szCs w:val="21"/>
                      <w:lang w:val="en-US" w:eastAsia="zh-CN"/>
                    </w:rPr>
                    <w:t>7</w:t>
                  </w:r>
                </w:p>
              </w:tc>
              <w:tc>
                <w:tcPr>
                  <w:tcW w:w="160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抛丸</w:t>
                  </w:r>
                </w:p>
              </w:tc>
              <w:tc>
                <w:tcPr>
                  <w:tcW w:w="1250" w:type="pct"/>
                  <w:tcBorders>
                    <w:top w:val="single" w:color="auto" w:sz="4" w:space="0"/>
                    <w:left w:val="single" w:color="auto" w:sz="4" w:space="0"/>
                    <w:bottom w:val="single" w:color="auto" w:sz="4" w:space="0"/>
                    <w:right w:val="nil"/>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废钢丸</w:t>
                  </w:r>
                </w:p>
              </w:tc>
            </w:tr>
            <w:tr>
              <w:tblPrEx>
                <w:tblBorders>
                  <w:top w:val="single" w:color="auto" w:sz="12" w:space="0"/>
                  <w:left w:val="none" w:color="auto" w:sz="6" w:space="0"/>
                  <w:bottom w:val="single" w:color="auto" w:sz="12" w:space="0"/>
                  <w:right w:val="none" w:color="auto" w:sz="6"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764" w:type="pct"/>
                  <w:vMerge w:val="continue"/>
                  <w:tcBorders>
                    <w:left w:val="nil"/>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p>
              </w:tc>
              <w:tc>
                <w:tcPr>
                  <w:tcW w:w="138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lang w:val="en-US" w:eastAsia="zh-CN"/>
                    </w:rPr>
                    <w:t>S8</w:t>
                  </w:r>
                </w:p>
              </w:tc>
              <w:tc>
                <w:tcPr>
                  <w:tcW w:w="160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tabs>
                      <w:tab w:val="left" w:pos="2830"/>
                    </w:tabs>
                    <w:jc w:val="center"/>
                    <w:rPr>
                      <w:rFonts w:hint="default" w:ascii="Times New Roman" w:hAnsi="Times New Roman" w:eastAsia="宋体" w:cs="Times New Roman"/>
                      <w:color w:val="auto"/>
                      <w:kern w:val="0"/>
                      <w:sz w:val="21"/>
                      <w:szCs w:val="21"/>
                      <w:lang w:val="en-US" w:eastAsia="zh-CN" w:bidi="ar-SA"/>
                    </w:rPr>
                  </w:pPr>
                  <w:r>
                    <w:rPr>
                      <w:rFonts w:hint="eastAsia" w:ascii="Times New Roman" w:hAnsi="Times New Roman"/>
                      <w:color w:val="auto"/>
                      <w:sz w:val="21"/>
                      <w:szCs w:val="21"/>
                      <w:lang w:eastAsia="zh-CN"/>
                    </w:rPr>
                    <w:t>抛丸</w:t>
                  </w:r>
                </w:p>
              </w:tc>
              <w:tc>
                <w:tcPr>
                  <w:tcW w:w="1250" w:type="pct"/>
                  <w:tcBorders>
                    <w:top w:val="single" w:color="auto" w:sz="4" w:space="0"/>
                    <w:left w:val="single" w:color="auto" w:sz="4" w:space="0"/>
                    <w:bottom w:val="single" w:color="auto" w:sz="4" w:space="0"/>
                    <w:right w:val="nil"/>
                  </w:tcBorders>
                  <w:shd w:val="clear" w:color="auto" w:fill="auto"/>
                  <w:vAlign w:val="center"/>
                </w:tcPr>
                <w:p>
                  <w:pPr>
                    <w:pStyle w:val="13"/>
                    <w:tabs>
                      <w:tab w:val="left" w:pos="2830"/>
                    </w:tabs>
                    <w:jc w:val="center"/>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color w:val="auto"/>
                      <w:sz w:val="21"/>
                      <w:szCs w:val="21"/>
                      <w:lang w:eastAsia="zh-CN"/>
                    </w:rPr>
                    <w:t>废金属屑</w:t>
                  </w:r>
                </w:p>
              </w:tc>
            </w:tr>
            <w:tr>
              <w:tblPrEx>
                <w:tblBorders>
                  <w:top w:val="single" w:color="auto" w:sz="12" w:space="0"/>
                  <w:left w:val="none" w:color="auto" w:sz="6" w:space="0"/>
                  <w:bottom w:val="single" w:color="auto" w:sz="12" w:space="0"/>
                  <w:right w:val="non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4" w:type="pct"/>
                  <w:vMerge w:val="continue"/>
                  <w:tcBorders>
                    <w:left w:val="nil"/>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p>
              </w:tc>
              <w:tc>
                <w:tcPr>
                  <w:tcW w:w="1380" w:type="pct"/>
                  <w:tcBorders>
                    <w:top w:val="single" w:color="auto" w:sz="4" w:space="0"/>
                    <w:left w:val="single" w:color="auto" w:sz="4" w:space="0"/>
                    <w:right w:val="single" w:color="auto" w:sz="4" w:space="0"/>
                  </w:tcBorders>
                  <w:shd w:val="clear" w:color="auto" w:fill="auto"/>
                  <w:vAlign w:val="center"/>
                </w:tcPr>
                <w:p>
                  <w:pPr>
                    <w:pStyle w:val="13"/>
                    <w:tabs>
                      <w:tab w:val="left" w:pos="2830"/>
                    </w:tabs>
                    <w:jc w:val="center"/>
                    <w:rPr>
                      <w:rFonts w:hint="eastAsia" w:ascii="Times New Roman" w:hAnsi="Times New Roman" w:eastAsia="宋体"/>
                      <w:color w:val="auto"/>
                      <w:sz w:val="21"/>
                      <w:szCs w:val="21"/>
                      <w:lang w:eastAsia="zh-CN"/>
                    </w:rPr>
                  </w:pPr>
                  <w:r>
                    <w:rPr>
                      <w:rFonts w:ascii="Times New Roman" w:hAnsi="Times New Roman"/>
                      <w:color w:val="auto"/>
                      <w:sz w:val="21"/>
                      <w:szCs w:val="21"/>
                    </w:rPr>
                    <w:t>S</w:t>
                  </w:r>
                  <w:r>
                    <w:rPr>
                      <w:rFonts w:hint="eastAsia" w:ascii="Times New Roman" w:hAnsi="Times New Roman"/>
                      <w:color w:val="auto"/>
                      <w:sz w:val="21"/>
                      <w:szCs w:val="21"/>
                      <w:lang w:val="en-US" w:eastAsia="zh-CN"/>
                    </w:rPr>
                    <w:t>9</w:t>
                  </w:r>
                </w:p>
              </w:tc>
              <w:tc>
                <w:tcPr>
                  <w:tcW w:w="1604" w:type="pct"/>
                  <w:tcBorders>
                    <w:top w:val="single" w:color="auto" w:sz="4" w:space="0"/>
                    <w:left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喷漆</w:t>
                  </w:r>
                </w:p>
              </w:tc>
              <w:tc>
                <w:tcPr>
                  <w:tcW w:w="1250" w:type="pct"/>
                  <w:tcBorders>
                    <w:top w:val="single" w:color="auto" w:sz="4" w:space="0"/>
                    <w:left w:val="single" w:color="auto" w:sz="4" w:space="0"/>
                    <w:bottom w:val="single" w:color="auto" w:sz="4" w:space="0"/>
                    <w:right w:val="nil"/>
                  </w:tcBorders>
                  <w:shd w:val="clear" w:color="auto" w:fill="auto"/>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lang w:eastAsia="zh-CN"/>
                    </w:rPr>
                    <w:t>废</w:t>
                  </w:r>
                  <w:r>
                    <w:rPr>
                      <w:rFonts w:ascii="Times New Roman" w:hAnsi="Times New Roman"/>
                      <w:color w:val="auto"/>
                      <w:sz w:val="21"/>
                      <w:szCs w:val="21"/>
                    </w:rPr>
                    <w:t>漆渣</w:t>
                  </w:r>
                </w:p>
              </w:tc>
            </w:tr>
            <w:tr>
              <w:tblPrEx>
                <w:tblBorders>
                  <w:top w:val="single" w:color="auto" w:sz="12" w:space="0"/>
                  <w:left w:val="none" w:color="auto" w:sz="6" w:space="0"/>
                  <w:bottom w:val="single" w:color="auto" w:sz="12" w:space="0"/>
                  <w:right w:val="non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4" w:type="pct"/>
                  <w:vMerge w:val="continue"/>
                  <w:tcBorders>
                    <w:left w:val="nil"/>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p>
              </w:tc>
              <w:tc>
                <w:tcPr>
                  <w:tcW w:w="1380" w:type="pct"/>
                  <w:tcBorders>
                    <w:top w:val="single" w:color="auto" w:sz="4" w:space="0"/>
                    <w:left w:val="single" w:color="auto" w:sz="4" w:space="0"/>
                    <w:right w:val="single" w:color="auto" w:sz="4" w:space="0"/>
                  </w:tcBorders>
                  <w:shd w:val="clear" w:color="auto" w:fill="auto"/>
                  <w:vAlign w:val="center"/>
                </w:tcPr>
                <w:p>
                  <w:pPr>
                    <w:pStyle w:val="13"/>
                    <w:tabs>
                      <w:tab w:val="left" w:pos="2830"/>
                    </w:tabs>
                    <w:jc w:val="center"/>
                    <w:rPr>
                      <w:rFonts w:hint="default" w:ascii="Times New Roman" w:hAnsi="Times New Roman" w:eastAsia="宋体"/>
                      <w:color w:val="auto"/>
                      <w:sz w:val="21"/>
                      <w:szCs w:val="21"/>
                      <w:lang w:val="en-US" w:eastAsia="zh-CN"/>
                    </w:rPr>
                  </w:pPr>
                  <w:r>
                    <w:rPr>
                      <w:rFonts w:ascii="Times New Roman" w:hAnsi="Times New Roman"/>
                      <w:color w:val="auto"/>
                      <w:sz w:val="21"/>
                      <w:szCs w:val="21"/>
                    </w:rPr>
                    <w:t>S</w:t>
                  </w:r>
                  <w:r>
                    <w:rPr>
                      <w:rFonts w:hint="eastAsia" w:ascii="Times New Roman" w:hAnsi="Times New Roman"/>
                      <w:color w:val="auto"/>
                      <w:sz w:val="21"/>
                      <w:szCs w:val="21"/>
                      <w:lang w:val="en-US" w:eastAsia="zh-CN"/>
                    </w:rPr>
                    <w:t>10</w:t>
                  </w:r>
                </w:p>
              </w:tc>
              <w:tc>
                <w:tcPr>
                  <w:tcW w:w="1604" w:type="pct"/>
                  <w:tcBorders>
                    <w:top w:val="single" w:color="auto" w:sz="4" w:space="0"/>
                    <w:left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设备维修</w:t>
                  </w:r>
                </w:p>
              </w:tc>
              <w:tc>
                <w:tcPr>
                  <w:tcW w:w="1250" w:type="pct"/>
                  <w:tcBorders>
                    <w:top w:val="single" w:color="auto" w:sz="4" w:space="0"/>
                    <w:left w:val="single" w:color="auto" w:sz="4" w:space="0"/>
                    <w:bottom w:val="single" w:color="auto" w:sz="4" w:space="0"/>
                    <w:right w:val="nil"/>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废油桶</w:t>
                  </w:r>
                </w:p>
              </w:tc>
            </w:tr>
            <w:tr>
              <w:tblPrEx>
                <w:tblBorders>
                  <w:top w:val="single" w:color="auto" w:sz="12" w:space="0"/>
                  <w:left w:val="none" w:color="auto" w:sz="6" w:space="0"/>
                  <w:bottom w:val="single" w:color="auto" w:sz="12" w:space="0"/>
                  <w:right w:val="non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4" w:type="pct"/>
                  <w:vMerge w:val="continue"/>
                  <w:tcBorders>
                    <w:left w:val="nil"/>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p>
              </w:tc>
              <w:tc>
                <w:tcPr>
                  <w:tcW w:w="1380" w:type="pct"/>
                  <w:tcBorders>
                    <w:top w:val="single" w:color="auto" w:sz="4" w:space="0"/>
                    <w:left w:val="single" w:color="auto" w:sz="4" w:space="0"/>
                    <w:right w:val="single" w:color="auto" w:sz="4" w:space="0"/>
                  </w:tcBorders>
                  <w:shd w:val="clear" w:color="auto" w:fill="auto"/>
                  <w:vAlign w:val="center"/>
                </w:tcPr>
                <w:p>
                  <w:pPr>
                    <w:pStyle w:val="13"/>
                    <w:tabs>
                      <w:tab w:val="left" w:pos="2830"/>
                    </w:tabs>
                    <w:jc w:val="center"/>
                    <w:rPr>
                      <w:rFonts w:hint="default" w:ascii="Times New Roman" w:hAnsi="Times New Roman" w:eastAsia="宋体"/>
                      <w:color w:val="auto"/>
                      <w:sz w:val="21"/>
                      <w:szCs w:val="21"/>
                      <w:lang w:val="en-US" w:eastAsia="zh-CN"/>
                    </w:rPr>
                  </w:pPr>
                  <w:r>
                    <w:rPr>
                      <w:rFonts w:ascii="Times New Roman" w:hAnsi="Times New Roman"/>
                      <w:color w:val="auto"/>
                      <w:sz w:val="21"/>
                      <w:szCs w:val="21"/>
                    </w:rPr>
                    <w:t>S</w:t>
                  </w:r>
                  <w:r>
                    <w:rPr>
                      <w:rFonts w:hint="eastAsia" w:ascii="Times New Roman" w:hAnsi="Times New Roman"/>
                      <w:color w:val="auto"/>
                      <w:sz w:val="21"/>
                      <w:szCs w:val="21"/>
                      <w:lang w:val="en-US" w:eastAsia="zh-CN"/>
                    </w:rPr>
                    <w:t>11</w:t>
                  </w:r>
                </w:p>
              </w:tc>
              <w:tc>
                <w:tcPr>
                  <w:tcW w:w="1604" w:type="pct"/>
                  <w:tcBorders>
                    <w:top w:val="single" w:color="auto" w:sz="4" w:space="0"/>
                    <w:left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废气处理</w:t>
                  </w:r>
                </w:p>
              </w:tc>
              <w:tc>
                <w:tcPr>
                  <w:tcW w:w="1250" w:type="pct"/>
                  <w:tcBorders>
                    <w:top w:val="single" w:color="auto" w:sz="4" w:space="0"/>
                    <w:left w:val="single" w:color="auto" w:sz="4" w:space="0"/>
                    <w:bottom w:val="single" w:color="auto" w:sz="4" w:space="0"/>
                    <w:right w:val="nil"/>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烟粉尘</w:t>
                  </w:r>
                </w:p>
              </w:tc>
            </w:tr>
            <w:tr>
              <w:tblPrEx>
                <w:tblBorders>
                  <w:top w:val="single" w:color="auto" w:sz="12" w:space="0"/>
                  <w:left w:val="none" w:color="auto" w:sz="6" w:space="0"/>
                  <w:bottom w:val="single" w:color="auto" w:sz="12" w:space="0"/>
                  <w:right w:val="non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4" w:type="pct"/>
                  <w:vMerge w:val="continue"/>
                  <w:tcBorders>
                    <w:left w:val="nil"/>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p>
              </w:tc>
              <w:tc>
                <w:tcPr>
                  <w:tcW w:w="1380" w:type="pct"/>
                  <w:tcBorders>
                    <w:top w:val="single" w:color="auto" w:sz="4" w:space="0"/>
                    <w:left w:val="single" w:color="auto" w:sz="4" w:space="0"/>
                    <w:right w:val="single" w:color="auto" w:sz="4" w:space="0"/>
                  </w:tcBorders>
                  <w:shd w:val="clear" w:color="auto" w:fill="auto"/>
                  <w:vAlign w:val="center"/>
                </w:tcPr>
                <w:p>
                  <w:pPr>
                    <w:pStyle w:val="13"/>
                    <w:tabs>
                      <w:tab w:val="left" w:pos="2830"/>
                    </w:tabs>
                    <w:jc w:val="center"/>
                    <w:rPr>
                      <w:rFonts w:hint="default" w:ascii="Times New Roman" w:hAnsi="Times New Roman" w:eastAsia="宋体"/>
                      <w:color w:val="auto"/>
                      <w:sz w:val="21"/>
                      <w:szCs w:val="21"/>
                      <w:lang w:val="en-US" w:eastAsia="zh-CN"/>
                    </w:rPr>
                  </w:pPr>
                  <w:r>
                    <w:rPr>
                      <w:rFonts w:ascii="Times New Roman" w:hAnsi="Times New Roman"/>
                      <w:color w:val="auto"/>
                      <w:sz w:val="21"/>
                      <w:szCs w:val="21"/>
                    </w:rPr>
                    <w:t>S</w:t>
                  </w:r>
                  <w:r>
                    <w:rPr>
                      <w:rFonts w:hint="eastAsia" w:ascii="Times New Roman" w:hAnsi="Times New Roman"/>
                      <w:color w:val="auto"/>
                      <w:sz w:val="21"/>
                      <w:szCs w:val="21"/>
                      <w:lang w:val="en-US" w:eastAsia="zh-CN"/>
                    </w:rPr>
                    <w:t>12</w:t>
                  </w:r>
                </w:p>
              </w:tc>
              <w:tc>
                <w:tcPr>
                  <w:tcW w:w="1604" w:type="pct"/>
                  <w:tcBorders>
                    <w:top w:val="single" w:color="auto" w:sz="4" w:space="0"/>
                    <w:left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废气处理</w:t>
                  </w:r>
                </w:p>
              </w:tc>
              <w:tc>
                <w:tcPr>
                  <w:tcW w:w="1250" w:type="pct"/>
                  <w:tcBorders>
                    <w:top w:val="single" w:color="auto" w:sz="4" w:space="0"/>
                    <w:left w:val="single" w:color="auto" w:sz="4" w:space="0"/>
                    <w:bottom w:val="single" w:color="auto" w:sz="4" w:space="0"/>
                    <w:right w:val="nil"/>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废过滤棉</w:t>
                  </w:r>
                </w:p>
              </w:tc>
            </w:tr>
            <w:tr>
              <w:tblPrEx>
                <w:tblBorders>
                  <w:top w:val="single" w:color="auto" w:sz="12" w:space="0"/>
                  <w:left w:val="none" w:color="auto" w:sz="6" w:space="0"/>
                  <w:bottom w:val="single" w:color="auto" w:sz="12" w:space="0"/>
                  <w:right w:val="non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4" w:type="pct"/>
                  <w:vMerge w:val="continue"/>
                  <w:tcBorders>
                    <w:left w:val="nil"/>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p>
              </w:tc>
              <w:tc>
                <w:tcPr>
                  <w:tcW w:w="1380" w:type="pct"/>
                  <w:tcBorders>
                    <w:top w:val="single" w:color="auto" w:sz="4" w:space="0"/>
                    <w:left w:val="single" w:color="auto" w:sz="4" w:space="0"/>
                    <w:right w:val="single" w:color="auto" w:sz="4" w:space="0"/>
                  </w:tcBorders>
                  <w:shd w:val="clear" w:color="auto" w:fill="auto"/>
                  <w:vAlign w:val="center"/>
                </w:tcPr>
                <w:p>
                  <w:pPr>
                    <w:pStyle w:val="13"/>
                    <w:tabs>
                      <w:tab w:val="left" w:pos="2830"/>
                    </w:tabs>
                    <w:jc w:val="center"/>
                    <w:rPr>
                      <w:rFonts w:hint="eastAsia" w:ascii="Times New Roman" w:hAnsi="Times New Roman" w:eastAsia="宋体"/>
                      <w:color w:val="auto"/>
                      <w:sz w:val="21"/>
                      <w:szCs w:val="21"/>
                      <w:lang w:eastAsia="zh-CN"/>
                    </w:rPr>
                  </w:pPr>
                  <w:r>
                    <w:rPr>
                      <w:rFonts w:ascii="Times New Roman" w:hAnsi="Times New Roman"/>
                      <w:color w:val="auto"/>
                      <w:sz w:val="21"/>
                      <w:szCs w:val="21"/>
                    </w:rPr>
                    <w:t>S1</w:t>
                  </w:r>
                  <w:r>
                    <w:rPr>
                      <w:rFonts w:hint="eastAsia" w:ascii="Times New Roman" w:hAnsi="Times New Roman"/>
                      <w:color w:val="auto"/>
                      <w:sz w:val="21"/>
                      <w:szCs w:val="21"/>
                      <w:lang w:val="en-US" w:eastAsia="zh-CN"/>
                    </w:rPr>
                    <w:t>3</w:t>
                  </w:r>
                </w:p>
              </w:tc>
              <w:tc>
                <w:tcPr>
                  <w:tcW w:w="1604" w:type="pct"/>
                  <w:tcBorders>
                    <w:top w:val="single" w:color="auto" w:sz="4" w:space="0"/>
                    <w:left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废气处理</w:t>
                  </w:r>
                </w:p>
              </w:tc>
              <w:tc>
                <w:tcPr>
                  <w:tcW w:w="1250" w:type="pct"/>
                  <w:tcBorders>
                    <w:top w:val="single" w:color="auto" w:sz="4" w:space="0"/>
                    <w:left w:val="single" w:color="auto" w:sz="4" w:space="0"/>
                    <w:bottom w:val="single" w:color="auto" w:sz="4" w:space="0"/>
                    <w:right w:val="nil"/>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废活性炭</w:t>
                  </w:r>
                </w:p>
              </w:tc>
            </w:tr>
            <w:tr>
              <w:tblPrEx>
                <w:tblBorders>
                  <w:top w:val="single" w:color="auto" w:sz="12" w:space="0"/>
                  <w:left w:val="none" w:color="auto" w:sz="6" w:space="0"/>
                  <w:bottom w:val="single" w:color="auto" w:sz="12" w:space="0"/>
                  <w:right w:val="non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4" w:type="pct"/>
                  <w:vMerge w:val="continue"/>
                  <w:tcBorders>
                    <w:left w:val="nil"/>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p>
              </w:tc>
              <w:tc>
                <w:tcPr>
                  <w:tcW w:w="1380" w:type="pct"/>
                  <w:tcBorders>
                    <w:top w:val="single" w:color="auto" w:sz="4" w:space="0"/>
                    <w:left w:val="single" w:color="auto" w:sz="4" w:space="0"/>
                    <w:right w:val="single" w:color="auto" w:sz="4" w:space="0"/>
                  </w:tcBorders>
                  <w:shd w:val="clear" w:color="auto" w:fill="auto"/>
                  <w:vAlign w:val="center"/>
                </w:tcPr>
                <w:p>
                  <w:pPr>
                    <w:pStyle w:val="13"/>
                    <w:tabs>
                      <w:tab w:val="left" w:pos="2830"/>
                    </w:tabs>
                    <w:jc w:val="center"/>
                    <w:rPr>
                      <w:rFonts w:hint="eastAsia" w:ascii="Times New Roman" w:hAnsi="Times New Roman" w:eastAsia="宋体"/>
                      <w:color w:val="auto"/>
                      <w:sz w:val="21"/>
                      <w:szCs w:val="21"/>
                      <w:lang w:eastAsia="zh-CN"/>
                    </w:rPr>
                  </w:pPr>
                  <w:r>
                    <w:rPr>
                      <w:rFonts w:ascii="Times New Roman" w:hAnsi="Times New Roman"/>
                      <w:color w:val="auto"/>
                      <w:sz w:val="21"/>
                      <w:szCs w:val="21"/>
                    </w:rPr>
                    <w:t>S1</w:t>
                  </w:r>
                  <w:r>
                    <w:rPr>
                      <w:rFonts w:hint="eastAsia" w:ascii="Times New Roman" w:hAnsi="Times New Roman"/>
                      <w:color w:val="auto"/>
                      <w:sz w:val="21"/>
                      <w:szCs w:val="21"/>
                      <w:lang w:val="en-US" w:eastAsia="zh-CN"/>
                    </w:rPr>
                    <w:t>4</w:t>
                  </w:r>
                </w:p>
              </w:tc>
              <w:tc>
                <w:tcPr>
                  <w:tcW w:w="1604" w:type="pct"/>
                  <w:tcBorders>
                    <w:top w:val="single" w:color="auto" w:sz="4" w:space="0"/>
                    <w:left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原辅料包装</w:t>
                  </w:r>
                </w:p>
              </w:tc>
              <w:tc>
                <w:tcPr>
                  <w:tcW w:w="1250" w:type="pct"/>
                  <w:tcBorders>
                    <w:top w:val="single" w:color="auto" w:sz="4" w:space="0"/>
                    <w:left w:val="single" w:color="auto" w:sz="4" w:space="0"/>
                    <w:bottom w:val="single" w:color="auto" w:sz="4" w:space="0"/>
                    <w:right w:val="nil"/>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废</w:t>
                  </w:r>
                  <w:r>
                    <w:rPr>
                      <w:rFonts w:hint="eastAsia" w:ascii="Times New Roman" w:hAnsi="Times New Roman"/>
                      <w:color w:val="auto"/>
                      <w:sz w:val="21"/>
                      <w:szCs w:val="21"/>
                      <w:lang w:eastAsia="zh-CN"/>
                    </w:rPr>
                    <w:t>漆桶</w:t>
                  </w:r>
                </w:p>
              </w:tc>
            </w:tr>
            <w:tr>
              <w:tblPrEx>
                <w:tblBorders>
                  <w:top w:val="single" w:color="auto" w:sz="12" w:space="0"/>
                  <w:left w:val="none" w:color="auto" w:sz="6" w:space="0"/>
                  <w:bottom w:val="single" w:color="auto" w:sz="12" w:space="0"/>
                  <w:right w:val="non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4" w:type="pct"/>
                  <w:vMerge w:val="continue"/>
                  <w:tcBorders>
                    <w:left w:val="nil"/>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p>
              </w:tc>
              <w:tc>
                <w:tcPr>
                  <w:tcW w:w="1380" w:type="pct"/>
                  <w:tcBorders>
                    <w:top w:val="single" w:color="auto" w:sz="4" w:space="0"/>
                    <w:left w:val="single" w:color="auto" w:sz="4" w:space="0"/>
                    <w:right w:val="single" w:color="auto" w:sz="4" w:space="0"/>
                  </w:tcBorders>
                  <w:shd w:val="clear" w:color="auto" w:fill="auto"/>
                  <w:vAlign w:val="center"/>
                </w:tcPr>
                <w:p>
                  <w:pPr>
                    <w:pStyle w:val="13"/>
                    <w:tabs>
                      <w:tab w:val="left" w:pos="2830"/>
                    </w:tabs>
                    <w:jc w:val="center"/>
                    <w:rPr>
                      <w:rFonts w:hint="eastAsia" w:ascii="Times New Roman" w:hAnsi="Times New Roman" w:eastAsia="宋体"/>
                      <w:color w:val="auto"/>
                      <w:sz w:val="21"/>
                      <w:szCs w:val="21"/>
                      <w:lang w:eastAsia="zh-CN"/>
                    </w:rPr>
                  </w:pPr>
                  <w:r>
                    <w:rPr>
                      <w:rFonts w:ascii="Times New Roman" w:hAnsi="Times New Roman"/>
                      <w:color w:val="auto"/>
                      <w:sz w:val="21"/>
                      <w:szCs w:val="21"/>
                    </w:rPr>
                    <w:t>S</w:t>
                  </w:r>
                  <w:r>
                    <w:rPr>
                      <w:rFonts w:hint="eastAsia" w:ascii="Times New Roman" w:hAnsi="Times New Roman"/>
                      <w:color w:val="auto"/>
                      <w:sz w:val="21"/>
                      <w:szCs w:val="21"/>
                      <w:lang w:val="en-US" w:eastAsia="zh-CN"/>
                    </w:rPr>
                    <w:t>15</w:t>
                  </w:r>
                </w:p>
              </w:tc>
              <w:tc>
                <w:tcPr>
                  <w:tcW w:w="1604" w:type="pct"/>
                  <w:tcBorders>
                    <w:top w:val="single" w:color="auto" w:sz="4" w:space="0"/>
                    <w:left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设备维修</w:t>
                  </w:r>
                </w:p>
              </w:tc>
              <w:tc>
                <w:tcPr>
                  <w:tcW w:w="1250" w:type="pct"/>
                  <w:tcBorders>
                    <w:top w:val="single" w:color="auto" w:sz="4" w:space="0"/>
                    <w:left w:val="single" w:color="auto" w:sz="4" w:space="0"/>
                    <w:bottom w:val="single" w:color="auto" w:sz="4" w:space="0"/>
                    <w:right w:val="nil"/>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废润滑油</w:t>
                  </w:r>
                </w:p>
              </w:tc>
            </w:tr>
            <w:tr>
              <w:tblPrEx>
                <w:tblBorders>
                  <w:top w:val="single" w:color="auto" w:sz="12" w:space="0"/>
                  <w:left w:val="none" w:color="auto" w:sz="6" w:space="0"/>
                  <w:bottom w:val="single" w:color="auto" w:sz="12" w:space="0"/>
                  <w:right w:val="non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4" w:type="pct"/>
                  <w:vMerge w:val="continue"/>
                  <w:tcBorders>
                    <w:left w:val="nil"/>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p>
              </w:tc>
              <w:tc>
                <w:tcPr>
                  <w:tcW w:w="1380" w:type="pct"/>
                  <w:tcBorders>
                    <w:top w:val="single" w:color="auto" w:sz="4" w:space="0"/>
                    <w:left w:val="single" w:color="auto" w:sz="4" w:space="0"/>
                    <w:right w:val="single" w:color="auto" w:sz="4" w:space="0"/>
                  </w:tcBorders>
                  <w:shd w:val="clear" w:color="auto" w:fill="auto"/>
                  <w:vAlign w:val="center"/>
                </w:tcPr>
                <w:p>
                  <w:pPr>
                    <w:pStyle w:val="13"/>
                    <w:tabs>
                      <w:tab w:val="left" w:pos="2830"/>
                    </w:tabs>
                    <w:jc w:val="center"/>
                    <w:rPr>
                      <w:rFonts w:hint="eastAsia" w:ascii="Times New Roman" w:hAnsi="Times New Roman" w:eastAsia="宋体" w:cs="Times New Roman"/>
                      <w:color w:val="auto"/>
                      <w:kern w:val="0"/>
                      <w:sz w:val="21"/>
                      <w:szCs w:val="21"/>
                      <w:lang w:val="en-US" w:eastAsia="zh-CN" w:bidi="ar-SA"/>
                    </w:rPr>
                  </w:pPr>
                  <w:r>
                    <w:rPr>
                      <w:rFonts w:ascii="Times New Roman" w:hAnsi="Times New Roman"/>
                      <w:color w:val="auto"/>
                      <w:sz w:val="21"/>
                      <w:szCs w:val="21"/>
                    </w:rPr>
                    <w:t>S1</w:t>
                  </w:r>
                  <w:r>
                    <w:rPr>
                      <w:rFonts w:hint="eastAsia" w:ascii="Times New Roman" w:hAnsi="Times New Roman"/>
                      <w:color w:val="auto"/>
                      <w:sz w:val="21"/>
                      <w:szCs w:val="21"/>
                      <w:lang w:val="en-US" w:eastAsia="zh-CN"/>
                    </w:rPr>
                    <w:t>6</w:t>
                  </w:r>
                </w:p>
              </w:tc>
              <w:tc>
                <w:tcPr>
                  <w:tcW w:w="1604" w:type="pct"/>
                  <w:tcBorders>
                    <w:top w:val="single" w:color="auto" w:sz="4" w:space="0"/>
                    <w:left w:val="single" w:color="auto" w:sz="4" w:space="0"/>
                    <w:right w:val="single" w:color="auto" w:sz="4" w:space="0"/>
                  </w:tcBorders>
                  <w:shd w:val="clear" w:color="auto" w:fill="auto"/>
                  <w:vAlign w:val="center"/>
                </w:tcPr>
                <w:p>
                  <w:pPr>
                    <w:pStyle w:val="13"/>
                    <w:tabs>
                      <w:tab w:val="left" w:pos="2830"/>
                    </w:tabs>
                    <w:jc w:val="center"/>
                    <w:rPr>
                      <w:rFonts w:hint="eastAsia" w:ascii="Times New Roman" w:hAnsi="Times New Roman" w:eastAsia="宋体"/>
                      <w:color w:val="auto"/>
                      <w:sz w:val="21"/>
                      <w:szCs w:val="21"/>
                      <w:lang w:eastAsia="zh-CN"/>
                    </w:rPr>
                  </w:pPr>
                  <w:r>
                    <w:rPr>
                      <w:rFonts w:hint="eastAsia" w:ascii="Times New Roman" w:hAnsi="Times New Roman"/>
                      <w:color w:val="auto"/>
                      <w:sz w:val="21"/>
                      <w:szCs w:val="21"/>
                      <w:lang w:eastAsia="zh-CN"/>
                    </w:rPr>
                    <w:t>清洗喷枪</w:t>
                  </w:r>
                </w:p>
              </w:tc>
              <w:tc>
                <w:tcPr>
                  <w:tcW w:w="1250" w:type="pct"/>
                  <w:tcBorders>
                    <w:top w:val="single" w:color="auto" w:sz="4" w:space="0"/>
                    <w:left w:val="single" w:color="auto" w:sz="4" w:space="0"/>
                    <w:bottom w:val="single" w:color="auto" w:sz="4" w:space="0"/>
                    <w:right w:val="nil"/>
                  </w:tcBorders>
                  <w:shd w:val="clear" w:color="auto" w:fill="auto"/>
                  <w:vAlign w:val="center"/>
                </w:tcPr>
                <w:p>
                  <w:pPr>
                    <w:pStyle w:val="13"/>
                    <w:tabs>
                      <w:tab w:val="left" w:pos="2830"/>
                    </w:tabs>
                    <w:jc w:val="center"/>
                    <w:rPr>
                      <w:rFonts w:hint="eastAsia" w:ascii="Times New Roman" w:hAnsi="Times New Roman" w:eastAsia="宋体"/>
                      <w:color w:val="auto"/>
                      <w:sz w:val="21"/>
                      <w:szCs w:val="21"/>
                      <w:lang w:eastAsia="zh-CN"/>
                    </w:rPr>
                  </w:pPr>
                  <w:r>
                    <w:rPr>
                      <w:rFonts w:hint="eastAsia" w:ascii="Times New Roman" w:hAnsi="Times New Roman"/>
                      <w:color w:val="auto"/>
                      <w:sz w:val="21"/>
                      <w:szCs w:val="21"/>
                      <w:lang w:eastAsia="zh-CN"/>
                    </w:rPr>
                    <w:t>废喷枪枪头</w:t>
                  </w:r>
                </w:p>
              </w:tc>
            </w:tr>
            <w:tr>
              <w:tblPrEx>
                <w:tblBorders>
                  <w:top w:val="single" w:color="auto" w:sz="12" w:space="0"/>
                  <w:left w:val="none" w:color="auto" w:sz="6" w:space="0"/>
                  <w:bottom w:val="single" w:color="auto" w:sz="12" w:space="0"/>
                  <w:right w:val="non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4" w:type="pct"/>
                  <w:vMerge w:val="continue"/>
                  <w:tcBorders>
                    <w:left w:val="nil"/>
                    <w:right w:val="single" w:color="auto" w:sz="4" w:space="0"/>
                  </w:tcBorders>
                  <w:shd w:val="clear" w:color="auto" w:fill="auto"/>
                  <w:vAlign w:val="center"/>
                </w:tcPr>
                <w:p>
                  <w:pPr>
                    <w:pStyle w:val="13"/>
                    <w:tabs>
                      <w:tab w:val="left" w:pos="2830"/>
                    </w:tabs>
                    <w:jc w:val="center"/>
                    <w:rPr>
                      <w:rFonts w:hint="eastAsia" w:ascii="Times New Roman" w:hAnsi="Times New Roman" w:eastAsia="宋体"/>
                      <w:color w:val="auto"/>
                      <w:sz w:val="21"/>
                      <w:szCs w:val="21"/>
                      <w:lang w:eastAsia="zh-CN"/>
                    </w:rPr>
                  </w:pPr>
                  <w:r>
                    <w:rPr>
                      <w:rFonts w:hint="eastAsia" w:ascii="Times New Roman" w:hAnsi="Times New Roman"/>
                      <w:color w:val="auto"/>
                      <w:sz w:val="21"/>
                      <w:szCs w:val="21"/>
                      <w:lang w:eastAsia="zh-CN"/>
                    </w:rPr>
                    <w:t>‘’</w:t>
                  </w:r>
                </w:p>
              </w:tc>
              <w:tc>
                <w:tcPr>
                  <w:tcW w:w="1380" w:type="pct"/>
                  <w:tcBorders>
                    <w:top w:val="single" w:color="auto" w:sz="4" w:space="0"/>
                    <w:left w:val="single" w:color="auto" w:sz="4" w:space="0"/>
                    <w:right w:val="single" w:color="auto" w:sz="4" w:space="0"/>
                  </w:tcBorders>
                  <w:shd w:val="clear" w:color="auto" w:fill="auto"/>
                  <w:vAlign w:val="center"/>
                </w:tcPr>
                <w:p>
                  <w:pPr>
                    <w:pStyle w:val="13"/>
                    <w:tabs>
                      <w:tab w:val="left" w:pos="2830"/>
                    </w:tabs>
                    <w:jc w:val="center"/>
                    <w:rPr>
                      <w:rFonts w:hint="eastAsia" w:ascii="Times New Roman" w:hAnsi="Times New Roman" w:eastAsia="宋体" w:cs="Times New Roman"/>
                      <w:color w:val="auto"/>
                      <w:kern w:val="0"/>
                      <w:sz w:val="21"/>
                      <w:szCs w:val="21"/>
                      <w:lang w:val="en-US" w:eastAsia="zh-CN" w:bidi="ar-SA"/>
                    </w:rPr>
                  </w:pPr>
                  <w:r>
                    <w:rPr>
                      <w:rFonts w:ascii="Times New Roman" w:hAnsi="Times New Roman"/>
                      <w:color w:val="auto"/>
                      <w:sz w:val="21"/>
                      <w:szCs w:val="21"/>
                    </w:rPr>
                    <w:t>S</w:t>
                  </w:r>
                  <w:r>
                    <w:rPr>
                      <w:rFonts w:hint="eastAsia" w:ascii="Times New Roman" w:hAnsi="Times New Roman"/>
                      <w:color w:val="auto"/>
                      <w:sz w:val="21"/>
                      <w:szCs w:val="21"/>
                      <w:lang w:val="en-US" w:eastAsia="zh-CN"/>
                    </w:rPr>
                    <w:t>1</w:t>
                  </w:r>
                  <w:r>
                    <w:rPr>
                      <w:rFonts w:ascii="Times New Roman" w:hAnsi="Times New Roman"/>
                      <w:color w:val="auto"/>
                      <w:sz w:val="21"/>
                      <w:szCs w:val="21"/>
                    </w:rPr>
                    <w:t>7</w:t>
                  </w:r>
                </w:p>
              </w:tc>
              <w:tc>
                <w:tcPr>
                  <w:tcW w:w="1604" w:type="pct"/>
                  <w:tcBorders>
                    <w:top w:val="single" w:color="auto" w:sz="4" w:space="0"/>
                    <w:left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废水处理</w:t>
                  </w:r>
                </w:p>
              </w:tc>
              <w:tc>
                <w:tcPr>
                  <w:tcW w:w="1250" w:type="pct"/>
                  <w:tcBorders>
                    <w:top w:val="single" w:color="auto" w:sz="4" w:space="0"/>
                    <w:left w:val="single" w:color="auto" w:sz="4" w:space="0"/>
                    <w:bottom w:val="single" w:color="auto" w:sz="4" w:space="0"/>
                    <w:right w:val="nil"/>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化粪池污泥</w:t>
                  </w:r>
                </w:p>
              </w:tc>
            </w:tr>
            <w:tr>
              <w:tblPrEx>
                <w:tblBorders>
                  <w:top w:val="single" w:color="auto" w:sz="12" w:space="0"/>
                  <w:left w:val="none" w:color="auto" w:sz="6" w:space="0"/>
                  <w:bottom w:val="single" w:color="auto" w:sz="12" w:space="0"/>
                  <w:right w:val="non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4" w:type="pct"/>
                  <w:vMerge w:val="continue"/>
                  <w:tcBorders>
                    <w:left w:val="nil"/>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p>
              </w:tc>
              <w:tc>
                <w:tcPr>
                  <w:tcW w:w="1380" w:type="pct"/>
                  <w:tcBorders>
                    <w:top w:val="single" w:color="auto" w:sz="4" w:space="0"/>
                    <w:left w:val="single" w:color="auto" w:sz="4" w:space="0"/>
                    <w:right w:val="single" w:color="auto" w:sz="4" w:space="0"/>
                  </w:tcBorders>
                  <w:shd w:val="clear" w:color="auto" w:fill="auto"/>
                  <w:vAlign w:val="center"/>
                </w:tcPr>
                <w:p>
                  <w:pPr>
                    <w:pStyle w:val="13"/>
                    <w:tabs>
                      <w:tab w:val="left" w:pos="2830"/>
                    </w:tabs>
                    <w:jc w:val="center"/>
                    <w:rPr>
                      <w:rFonts w:hint="default" w:ascii="Times New Roman" w:hAnsi="Times New Roman" w:eastAsia="宋体" w:cs="Times New Roman"/>
                      <w:color w:val="auto"/>
                      <w:kern w:val="0"/>
                      <w:sz w:val="21"/>
                      <w:szCs w:val="21"/>
                      <w:lang w:val="en-US" w:eastAsia="zh-CN" w:bidi="ar-SA"/>
                    </w:rPr>
                  </w:pPr>
                  <w:r>
                    <w:rPr>
                      <w:rFonts w:hint="eastAsia" w:ascii="Times New Roman" w:hAnsi="Times New Roman" w:cs="Times New Roman"/>
                      <w:color w:val="auto"/>
                      <w:kern w:val="0"/>
                      <w:sz w:val="21"/>
                      <w:szCs w:val="21"/>
                      <w:lang w:val="en-US" w:eastAsia="zh-CN" w:bidi="ar-SA"/>
                    </w:rPr>
                    <w:t>S18</w:t>
                  </w:r>
                </w:p>
              </w:tc>
              <w:tc>
                <w:tcPr>
                  <w:tcW w:w="1604" w:type="pct"/>
                  <w:tcBorders>
                    <w:top w:val="single" w:color="auto" w:sz="4" w:space="0"/>
                    <w:left w:val="single" w:color="auto" w:sz="4" w:space="0"/>
                    <w:right w:val="single" w:color="auto" w:sz="4" w:space="0"/>
                  </w:tcBorders>
                  <w:shd w:val="clear" w:color="auto" w:fill="auto"/>
                  <w:vAlign w:val="center"/>
                </w:tcPr>
                <w:p>
                  <w:pPr>
                    <w:pStyle w:val="13"/>
                    <w:tabs>
                      <w:tab w:val="left" w:pos="2830"/>
                    </w:tabs>
                    <w:jc w:val="center"/>
                    <w:rPr>
                      <w:rFonts w:ascii="Times New Roman" w:hAnsi="Times New Roman" w:eastAsia="宋体" w:cs="Times New Roman"/>
                      <w:color w:val="auto"/>
                      <w:kern w:val="0"/>
                      <w:sz w:val="21"/>
                      <w:szCs w:val="21"/>
                      <w:lang w:val="en-US" w:eastAsia="zh-CN" w:bidi="ar-SA"/>
                    </w:rPr>
                  </w:pPr>
                  <w:r>
                    <w:rPr>
                      <w:rFonts w:ascii="Times New Roman" w:hAnsi="Times New Roman"/>
                      <w:color w:val="auto"/>
                      <w:sz w:val="21"/>
                      <w:szCs w:val="21"/>
                    </w:rPr>
                    <w:t>生活垃圾</w:t>
                  </w:r>
                </w:p>
              </w:tc>
              <w:tc>
                <w:tcPr>
                  <w:tcW w:w="1250" w:type="pct"/>
                  <w:tcBorders>
                    <w:top w:val="single" w:color="auto" w:sz="4" w:space="0"/>
                    <w:left w:val="single" w:color="auto" w:sz="4" w:space="0"/>
                    <w:bottom w:val="single" w:color="auto" w:sz="4" w:space="0"/>
                    <w:right w:val="nil"/>
                  </w:tcBorders>
                  <w:shd w:val="clear" w:color="auto" w:fill="auto"/>
                  <w:vAlign w:val="center"/>
                </w:tcPr>
                <w:p>
                  <w:pPr>
                    <w:pStyle w:val="13"/>
                    <w:tabs>
                      <w:tab w:val="left" w:pos="2830"/>
                    </w:tabs>
                    <w:jc w:val="center"/>
                    <w:rPr>
                      <w:rFonts w:ascii="Times New Roman" w:hAnsi="Times New Roman" w:eastAsia="宋体" w:cs="Times New Roman"/>
                      <w:color w:val="auto"/>
                      <w:kern w:val="0"/>
                      <w:sz w:val="21"/>
                      <w:szCs w:val="21"/>
                      <w:lang w:val="en-US" w:eastAsia="zh-CN" w:bidi="ar-SA"/>
                    </w:rPr>
                  </w:pPr>
                  <w:r>
                    <w:rPr>
                      <w:rFonts w:ascii="Times New Roman" w:hAnsi="Times New Roman"/>
                      <w:color w:val="auto"/>
                      <w:sz w:val="21"/>
                      <w:szCs w:val="21"/>
                    </w:rPr>
                    <w:t>生活垃圾</w:t>
                  </w:r>
                </w:p>
              </w:tc>
            </w:tr>
            <w:tr>
              <w:tblPrEx>
                <w:tblBorders>
                  <w:top w:val="single" w:color="auto" w:sz="12" w:space="0"/>
                  <w:left w:val="none" w:color="auto" w:sz="6" w:space="0"/>
                  <w:bottom w:val="single" w:color="auto" w:sz="12" w:space="0"/>
                  <w:right w:val="none" w:color="auto" w:sz="6" w:space="0"/>
                  <w:insideH w:val="single" w:color="auto" w:sz="4" w:space="0"/>
                  <w:insideV w:val="single" w:color="auto" w:sz="4" w:space="0"/>
                </w:tblBorders>
                <w:tblCellMar>
                  <w:top w:w="0" w:type="dxa"/>
                  <w:left w:w="108" w:type="dxa"/>
                  <w:bottom w:w="0" w:type="dxa"/>
                  <w:right w:w="108" w:type="dxa"/>
                </w:tblCellMar>
              </w:tblPrEx>
              <w:trPr>
                <w:jc w:val="center"/>
              </w:trPr>
              <w:tc>
                <w:tcPr>
                  <w:tcW w:w="764" w:type="pct"/>
                  <w:tcBorders>
                    <w:top w:val="single" w:color="auto" w:sz="4" w:space="0"/>
                    <w:left w:val="nil"/>
                    <w:bottom w:val="single" w:color="auto" w:sz="12"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废水</w:t>
                  </w:r>
                </w:p>
              </w:tc>
              <w:tc>
                <w:tcPr>
                  <w:tcW w:w="1380" w:type="pct"/>
                  <w:tcBorders>
                    <w:top w:val="single" w:color="auto" w:sz="4" w:space="0"/>
                    <w:left w:val="single" w:color="auto" w:sz="4" w:space="0"/>
                    <w:bottom w:val="single" w:color="auto" w:sz="12"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W1</w:t>
                  </w:r>
                </w:p>
              </w:tc>
              <w:tc>
                <w:tcPr>
                  <w:tcW w:w="1604" w:type="pct"/>
                  <w:tcBorders>
                    <w:top w:val="single" w:color="auto" w:sz="4" w:space="0"/>
                    <w:left w:val="single" w:color="auto" w:sz="4" w:space="0"/>
                    <w:bottom w:val="single" w:color="auto" w:sz="12" w:space="0"/>
                    <w:right w:val="single" w:color="auto" w:sz="4" w:space="0"/>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职工生活</w:t>
                  </w:r>
                </w:p>
              </w:tc>
              <w:tc>
                <w:tcPr>
                  <w:tcW w:w="1250" w:type="pct"/>
                  <w:tcBorders>
                    <w:top w:val="single" w:color="auto" w:sz="4" w:space="0"/>
                    <w:left w:val="single" w:color="auto" w:sz="4" w:space="0"/>
                    <w:bottom w:val="single" w:color="auto" w:sz="12" w:space="0"/>
                    <w:right w:val="nil"/>
                  </w:tcBorders>
                  <w:shd w:val="clear" w:color="auto" w:fill="auto"/>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生活污水</w:t>
                  </w:r>
                </w:p>
              </w:tc>
            </w:tr>
          </w:tbl>
          <w:p>
            <w:pPr>
              <w:wordWrap w:val="0"/>
              <w:spacing w:line="360" w:lineRule="auto"/>
              <w:jc w:val="center"/>
              <w:rPr>
                <w:b/>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739" w:hRule="atLeast"/>
        </w:trPr>
        <w:tc>
          <w:tcPr>
            <w:tcW w:w="789" w:type="dxa"/>
            <w:gridSpan w:val="2"/>
            <w:vAlign w:val="center"/>
          </w:tcPr>
          <w:p>
            <w:pPr>
              <w:wordWrap w:val="0"/>
              <w:jc w:val="center"/>
              <w:rPr>
                <w:b/>
                <w:bCs/>
                <w:color w:val="auto"/>
                <w:kern w:val="0"/>
                <w:sz w:val="24"/>
              </w:rPr>
            </w:pPr>
            <w:r>
              <w:rPr>
                <w:b/>
                <w:color w:val="auto"/>
              </w:rPr>
              <w:t>与项目有关的原有环境污染问题</w:t>
            </w:r>
          </w:p>
        </w:tc>
        <w:tc>
          <w:tcPr>
            <w:tcW w:w="8346" w:type="dxa"/>
            <w:vAlign w:val="center"/>
          </w:tcPr>
          <w:p>
            <w:pPr>
              <w:wordWrap w:val="0"/>
              <w:spacing w:line="360" w:lineRule="auto"/>
              <w:ind w:firstLine="480" w:firstLineChars="200"/>
              <w:jc w:val="left"/>
              <w:rPr>
                <w:bCs/>
                <w:color w:val="auto"/>
                <w:sz w:val="24"/>
              </w:rPr>
            </w:pPr>
            <w:r>
              <w:rPr>
                <w:bCs/>
                <w:color w:val="auto"/>
                <w:sz w:val="24"/>
              </w:rPr>
              <w:t>经调查，本项目为新建项目，项目所在地现状为空地，无历史遗留问题。故不存在与本项目有关的原有污染情况及主要环境问题。</w:t>
            </w:r>
          </w:p>
          <w:p>
            <w:pPr>
              <w:wordWrap w:val="0"/>
              <w:spacing w:line="360" w:lineRule="auto"/>
              <w:jc w:val="center"/>
              <w:rPr>
                <w:bCs/>
                <w:color w:val="auto"/>
                <w:sz w:val="24"/>
              </w:rPr>
            </w:pPr>
          </w:p>
          <w:p>
            <w:pPr>
              <w:wordWrap w:val="0"/>
              <w:spacing w:line="360" w:lineRule="auto"/>
              <w:jc w:val="center"/>
              <w:rPr>
                <w:bCs/>
                <w:color w:val="auto"/>
                <w:sz w:val="24"/>
              </w:rPr>
            </w:pPr>
          </w:p>
          <w:p>
            <w:pPr>
              <w:wordWrap w:val="0"/>
              <w:spacing w:line="360" w:lineRule="auto"/>
              <w:jc w:val="center"/>
              <w:rPr>
                <w:bCs/>
                <w:color w:val="auto"/>
                <w:sz w:val="24"/>
              </w:rPr>
            </w:pPr>
          </w:p>
          <w:p>
            <w:pPr>
              <w:wordWrap w:val="0"/>
              <w:spacing w:line="360" w:lineRule="auto"/>
              <w:jc w:val="center"/>
              <w:rPr>
                <w:bCs/>
                <w:color w:val="auto"/>
                <w:sz w:val="24"/>
              </w:rPr>
            </w:pPr>
          </w:p>
          <w:p>
            <w:pPr>
              <w:wordWrap w:val="0"/>
              <w:spacing w:line="360" w:lineRule="auto"/>
              <w:jc w:val="center"/>
              <w:rPr>
                <w:bCs/>
                <w:color w:val="auto"/>
                <w:sz w:val="24"/>
              </w:rPr>
            </w:pPr>
          </w:p>
          <w:p>
            <w:pPr>
              <w:wordWrap w:val="0"/>
              <w:spacing w:line="360" w:lineRule="auto"/>
              <w:jc w:val="center"/>
              <w:rPr>
                <w:bCs/>
                <w:color w:val="auto"/>
                <w:sz w:val="24"/>
              </w:rPr>
            </w:pPr>
          </w:p>
          <w:p>
            <w:pPr>
              <w:wordWrap w:val="0"/>
              <w:spacing w:line="360" w:lineRule="auto"/>
              <w:jc w:val="center"/>
              <w:rPr>
                <w:bCs/>
                <w:color w:val="auto"/>
                <w:sz w:val="24"/>
              </w:rPr>
            </w:pPr>
          </w:p>
          <w:p>
            <w:pPr>
              <w:wordWrap w:val="0"/>
              <w:spacing w:line="360" w:lineRule="auto"/>
              <w:jc w:val="both"/>
              <w:rPr>
                <w:bCs/>
                <w:color w:val="auto"/>
                <w:sz w:val="24"/>
              </w:rPr>
            </w:pPr>
          </w:p>
          <w:p>
            <w:pPr>
              <w:wordWrap w:val="0"/>
              <w:spacing w:line="360" w:lineRule="auto"/>
              <w:jc w:val="center"/>
              <w:rPr>
                <w:bCs/>
                <w:color w:val="auto"/>
                <w:sz w:val="24"/>
              </w:rPr>
            </w:pPr>
          </w:p>
          <w:p>
            <w:pPr>
              <w:wordWrap w:val="0"/>
              <w:spacing w:line="360" w:lineRule="auto"/>
              <w:jc w:val="center"/>
              <w:rPr>
                <w:bCs/>
                <w:color w:val="auto"/>
                <w:sz w:val="24"/>
              </w:rPr>
            </w:pPr>
          </w:p>
          <w:p>
            <w:pPr>
              <w:wordWrap w:val="0"/>
              <w:spacing w:line="360" w:lineRule="auto"/>
              <w:jc w:val="center"/>
              <w:rPr>
                <w:bCs/>
                <w:color w:val="auto"/>
                <w:sz w:val="24"/>
              </w:rPr>
            </w:pPr>
          </w:p>
          <w:p>
            <w:pPr>
              <w:pStyle w:val="16"/>
              <w:ind w:left="0" w:leftChars="0" w:firstLine="0" w:firstLineChars="0"/>
              <w:rPr>
                <w:color w:val="auto"/>
              </w:rPr>
            </w:pPr>
          </w:p>
          <w:p>
            <w:pPr>
              <w:pStyle w:val="17"/>
              <w:rPr>
                <w:color w:val="auto"/>
              </w:rPr>
            </w:pPr>
          </w:p>
        </w:tc>
      </w:tr>
    </w:tbl>
    <w:p>
      <w:pPr>
        <w:wordWrap w:val="0"/>
        <w:spacing w:line="360" w:lineRule="auto"/>
        <w:ind w:firstLine="420"/>
        <w:jc w:val="center"/>
        <w:outlineLvl w:val="0"/>
        <w:rPr>
          <w:rFonts w:hint="eastAsia"/>
          <w:b/>
          <w:bCs/>
          <w:snapToGrid w:val="0"/>
          <w:color w:val="auto"/>
          <w:sz w:val="30"/>
          <w:szCs w:val="30"/>
        </w:rPr>
      </w:pPr>
    </w:p>
    <w:p>
      <w:pPr>
        <w:wordWrap w:val="0"/>
        <w:spacing w:line="360" w:lineRule="auto"/>
        <w:ind w:firstLine="420"/>
        <w:jc w:val="center"/>
        <w:outlineLvl w:val="0"/>
        <w:rPr>
          <w:rFonts w:hint="eastAsia"/>
          <w:b/>
          <w:bCs/>
          <w:snapToGrid w:val="0"/>
          <w:color w:val="auto"/>
          <w:sz w:val="30"/>
          <w:szCs w:val="30"/>
        </w:rPr>
      </w:pPr>
    </w:p>
    <w:p>
      <w:pPr>
        <w:wordWrap w:val="0"/>
        <w:spacing w:line="360" w:lineRule="auto"/>
        <w:ind w:firstLine="420"/>
        <w:jc w:val="center"/>
        <w:outlineLvl w:val="0"/>
        <w:rPr>
          <w:b/>
          <w:bCs/>
          <w:snapToGrid w:val="0"/>
          <w:color w:val="auto"/>
          <w:sz w:val="30"/>
          <w:szCs w:val="30"/>
        </w:rPr>
      </w:pPr>
      <w:bookmarkStart w:id="24" w:name="_Toc6799"/>
      <w:r>
        <w:rPr>
          <w:rFonts w:hint="eastAsia"/>
          <w:b/>
          <w:bCs/>
          <w:snapToGrid w:val="0"/>
          <w:color w:val="auto"/>
          <w:sz w:val="30"/>
          <w:szCs w:val="30"/>
        </w:rPr>
        <w:t>三、</w:t>
      </w:r>
      <w:r>
        <w:rPr>
          <w:b/>
          <w:bCs/>
          <w:snapToGrid w:val="0"/>
          <w:color w:val="auto"/>
          <w:sz w:val="30"/>
          <w:szCs w:val="30"/>
        </w:rPr>
        <w:t>区域环境质量现状、环境保护目标及评价标准</w:t>
      </w:r>
      <w:bookmarkEnd w:id="24"/>
    </w:p>
    <w:tbl>
      <w:tblPr>
        <w:tblStyle w:val="20"/>
        <w:tblW w:w="925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879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57" w:type="dxa"/>
            <w:vAlign w:val="center"/>
          </w:tcPr>
          <w:p>
            <w:pPr>
              <w:wordWrap w:val="0"/>
              <w:adjustRightInd w:val="0"/>
              <w:snapToGrid w:val="0"/>
              <w:jc w:val="center"/>
              <w:rPr>
                <w:b/>
                <w:bCs/>
                <w:color w:val="auto"/>
                <w:kern w:val="0"/>
                <w:sz w:val="24"/>
              </w:rPr>
            </w:pPr>
            <w:r>
              <w:rPr>
                <w:b/>
                <w:bCs/>
                <w:color w:val="auto"/>
                <w:kern w:val="0"/>
                <w:sz w:val="24"/>
              </w:rPr>
              <w:t>区域</w:t>
            </w:r>
          </w:p>
          <w:p>
            <w:pPr>
              <w:wordWrap w:val="0"/>
              <w:adjustRightInd w:val="0"/>
              <w:snapToGrid w:val="0"/>
              <w:jc w:val="center"/>
              <w:rPr>
                <w:b/>
                <w:bCs/>
                <w:color w:val="auto"/>
                <w:kern w:val="0"/>
                <w:sz w:val="24"/>
              </w:rPr>
            </w:pPr>
            <w:r>
              <w:rPr>
                <w:b/>
                <w:bCs/>
                <w:color w:val="auto"/>
                <w:kern w:val="0"/>
                <w:sz w:val="24"/>
              </w:rPr>
              <w:t>环境</w:t>
            </w:r>
          </w:p>
          <w:p>
            <w:pPr>
              <w:wordWrap w:val="0"/>
              <w:adjustRightInd w:val="0"/>
              <w:snapToGrid w:val="0"/>
              <w:jc w:val="center"/>
              <w:rPr>
                <w:b/>
                <w:bCs/>
                <w:color w:val="auto"/>
                <w:kern w:val="0"/>
                <w:sz w:val="24"/>
              </w:rPr>
            </w:pPr>
            <w:r>
              <w:rPr>
                <w:b/>
                <w:bCs/>
                <w:color w:val="auto"/>
                <w:kern w:val="0"/>
                <w:sz w:val="24"/>
              </w:rPr>
              <w:t>质量</w:t>
            </w:r>
          </w:p>
          <w:p>
            <w:pPr>
              <w:wordWrap w:val="0"/>
              <w:adjustRightInd w:val="0"/>
              <w:snapToGrid w:val="0"/>
              <w:jc w:val="center"/>
              <w:rPr>
                <w:color w:val="auto"/>
                <w:kern w:val="0"/>
                <w:szCs w:val="21"/>
              </w:rPr>
            </w:pPr>
            <w:r>
              <w:rPr>
                <w:b/>
                <w:bCs/>
                <w:color w:val="auto"/>
                <w:kern w:val="0"/>
                <w:sz w:val="24"/>
              </w:rPr>
              <w:t>现状</w:t>
            </w:r>
          </w:p>
        </w:tc>
        <w:tc>
          <w:tcPr>
            <w:tcW w:w="8798" w:type="dxa"/>
            <w:vAlign w:val="center"/>
          </w:tcPr>
          <w:p>
            <w:pPr>
              <w:wordWrap w:val="0"/>
              <w:spacing w:line="360" w:lineRule="auto"/>
              <w:ind w:firstLine="482" w:firstLineChars="200"/>
              <w:rPr>
                <w:b/>
                <w:color w:val="auto"/>
                <w:sz w:val="24"/>
              </w:rPr>
            </w:pPr>
            <w:bookmarkStart w:id="25" w:name="_Toc290294172"/>
            <w:bookmarkStart w:id="26" w:name="_Toc406300007"/>
            <w:bookmarkStart w:id="27" w:name="_Toc256153127"/>
            <w:bookmarkStart w:id="28" w:name="_Toc283219813"/>
            <w:bookmarkStart w:id="29" w:name="_Toc289849777"/>
            <w:bookmarkStart w:id="30" w:name="_Toc256153126"/>
            <w:r>
              <w:rPr>
                <w:b/>
                <w:color w:val="auto"/>
                <w:sz w:val="24"/>
              </w:rPr>
              <w:t>1、大气环境</w:t>
            </w:r>
          </w:p>
          <w:bookmarkEnd w:id="25"/>
          <w:bookmarkEnd w:id="26"/>
          <w:bookmarkEnd w:id="27"/>
          <w:bookmarkEnd w:id="28"/>
          <w:bookmarkEnd w:id="29"/>
          <w:bookmarkEnd w:id="30"/>
          <w:p>
            <w:pPr>
              <w:widowControl/>
              <w:spacing w:line="360" w:lineRule="auto"/>
              <w:ind w:firstLine="480" w:firstLineChars="200"/>
              <w:jc w:val="left"/>
              <w:rPr>
                <w:color w:val="auto"/>
                <w:kern w:val="44"/>
                <w:sz w:val="24"/>
              </w:rPr>
            </w:pPr>
            <w:bookmarkStart w:id="31" w:name="_Toc290294173"/>
            <w:bookmarkStart w:id="32" w:name="_Toc289849778"/>
            <w:bookmarkStart w:id="33" w:name="_Toc283219812"/>
            <w:bookmarkStart w:id="34" w:name="_Toc256153121"/>
            <w:bookmarkStart w:id="35" w:name="_Toc256153138"/>
            <w:r>
              <w:rPr>
                <w:bCs/>
                <w:color w:val="auto"/>
                <w:sz w:val="24"/>
              </w:rPr>
              <w:t>①</w:t>
            </w:r>
            <w:r>
              <w:rPr>
                <w:color w:val="auto"/>
                <w:kern w:val="44"/>
                <w:sz w:val="24"/>
              </w:rPr>
              <w:t>项目所在区域达标判断</w:t>
            </w:r>
          </w:p>
          <w:p>
            <w:pPr>
              <w:widowControl/>
              <w:spacing w:line="360" w:lineRule="auto"/>
              <w:ind w:firstLine="480" w:firstLineChars="200"/>
              <w:jc w:val="left"/>
              <w:rPr>
                <w:color w:val="auto"/>
              </w:rPr>
            </w:pPr>
            <w:r>
              <w:rPr>
                <w:color w:val="auto"/>
                <w:kern w:val="0"/>
                <w:sz w:val="24"/>
                <w:lang w:bidi="ar"/>
              </w:rPr>
              <w:t>根据淮安市生态环境局2024年6月5日发布的《2023年淮安市生态环境状况公报》，2023年，全市细颗粒物（PM</w:t>
            </w:r>
            <w:r>
              <w:rPr>
                <w:color w:val="auto"/>
                <w:kern w:val="0"/>
                <w:sz w:val="15"/>
                <w:szCs w:val="15"/>
                <w:lang w:bidi="ar"/>
              </w:rPr>
              <w:t>2.5</w:t>
            </w:r>
            <w:r>
              <w:rPr>
                <w:color w:val="auto"/>
                <w:kern w:val="0"/>
                <w:sz w:val="24"/>
                <w:lang w:bidi="ar"/>
              </w:rPr>
              <w:t>）、可吸入颗粒物（PM</w:t>
            </w:r>
            <w:r>
              <w:rPr>
                <w:color w:val="auto"/>
                <w:kern w:val="0"/>
                <w:sz w:val="15"/>
                <w:szCs w:val="15"/>
                <w:lang w:bidi="ar"/>
              </w:rPr>
              <w:t>10</w:t>
            </w:r>
            <w:r>
              <w:rPr>
                <w:color w:val="auto"/>
                <w:kern w:val="0"/>
                <w:sz w:val="24"/>
                <w:lang w:bidi="ar"/>
              </w:rPr>
              <w:t>）、二氧化硫（SO</w:t>
            </w:r>
            <w:r>
              <w:rPr>
                <w:color w:val="auto"/>
                <w:kern w:val="0"/>
                <w:sz w:val="15"/>
                <w:szCs w:val="15"/>
                <w:lang w:bidi="ar"/>
              </w:rPr>
              <w:t>2</w:t>
            </w:r>
            <w:r>
              <w:rPr>
                <w:color w:val="auto"/>
                <w:kern w:val="0"/>
                <w:sz w:val="24"/>
                <w:lang w:bidi="ar"/>
              </w:rPr>
              <w:t>）、二氧化氮（NO</w:t>
            </w:r>
            <w:r>
              <w:rPr>
                <w:color w:val="auto"/>
                <w:kern w:val="0"/>
                <w:sz w:val="15"/>
                <w:szCs w:val="15"/>
                <w:lang w:bidi="ar"/>
              </w:rPr>
              <w:t>2</w:t>
            </w:r>
            <w:r>
              <w:rPr>
                <w:color w:val="auto"/>
                <w:kern w:val="0"/>
                <w:sz w:val="24"/>
                <w:lang w:bidi="ar"/>
              </w:rPr>
              <w:t>）、一氧化碳（CO）和臭氧（O</w:t>
            </w:r>
            <w:r>
              <w:rPr>
                <w:color w:val="auto"/>
                <w:kern w:val="0"/>
                <w:sz w:val="15"/>
                <w:szCs w:val="15"/>
                <w:lang w:bidi="ar"/>
              </w:rPr>
              <w:t>3</w:t>
            </w:r>
            <w:r>
              <w:rPr>
                <w:color w:val="auto"/>
                <w:kern w:val="0"/>
                <w:sz w:val="24"/>
                <w:lang w:bidi="ar"/>
              </w:rPr>
              <w:t>）浓度分别为36微克/立方米、58微克/立方米、8微克/立方米、25微克/立方米、1.0毫克立方米、158微克/立方米，均达到国家二级标准。</w:t>
            </w:r>
          </w:p>
          <w:p>
            <w:pPr>
              <w:widowControl/>
              <w:spacing w:line="360" w:lineRule="auto"/>
              <w:ind w:firstLine="480" w:firstLineChars="200"/>
              <w:jc w:val="left"/>
              <w:rPr>
                <w:color w:val="auto"/>
                <w:kern w:val="0"/>
                <w:sz w:val="24"/>
                <w:lang w:bidi="ar"/>
              </w:rPr>
            </w:pPr>
            <w:r>
              <w:rPr>
                <w:color w:val="auto"/>
                <w:kern w:val="0"/>
                <w:sz w:val="24"/>
                <w:lang w:bidi="ar"/>
              </w:rPr>
              <w:t>随着《淮安市2024年大气污染防治工作计划》（淮污防攻坚指办〔2024〕50号）等防治计划的落实，预期淮安市环境空气质量状况会进一步改善。</w:t>
            </w:r>
          </w:p>
          <w:p>
            <w:pPr>
              <w:wordWrap w:val="0"/>
              <w:adjustRightInd w:val="0"/>
              <w:snapToGrid w:val="0"/>
              <w:spacing w:line="360" w:lineRule="auto"/>
              <w:ind w:firstLine="480" w:firstLineChars="200"/>
              <w:rPr>
                <w:color w:val="auto"/>
                <w:spacing w:val="-2"/>
                <w:kern w:val="28"/>
                <w:sz w:val="24"/>
              </w:rPr>
            </w:pPr>
            <w:r>
              <w:rPr>
                <w:bCs/>
                <w:color w:val="auto"/>
                <w:sz w:val="24"/>
              </w:rPr>
              <w:t>②</w:t>
            </w:r>
            <w:r>
              <w:rPr>
                <w:color w:val="auto"/>
                <w:spacing w:val="-2"/>
                <w:kern w:val="28"/>
                <w:sz w:val="24"/>
              </w:rPr>
              <w:t>各污染物环境质量现状评价</w:t>
            </w:r>
          </w:p>
          <w:p>
            <w:pPr>
              <w:widowControl/>
              <w:adjustRightInd w:val="0"/>
              <w:snapToGrid w:val="0"/>
              <w:spacing w:line="360" w:lineRule="auto"/>
              <w:ind w:firstLine="480" w:firstLineChars="200"/>
              <w:rPr>
                <w:b w:val="0"/>
                <w:bCs w:val="0"/>
                <w:color w:val="auto"/>
                <w:sz w:val="24"/>
                <w:lang w:bidi="ar"/>
              </w:rPr>
            </w:pPr>
            <w:r>
              <w:rPr>
                <w:b w:val="0"/>
                <w:bCs w:val="0"/>
                <w:color w:val="auto"/>
                <w:sz w:val="24"/>
                <w:lang w:bidi="ar"/>
              </w:rPr>
              <w:t>建设项目其他污染物（非甲烷总烃）环境质量现状引用淮安华帅金属构件有限公司所在地检测数据，项目于2023年3月6日至3月8日由江苏泓威检测科技有限公司现场采样监测编号：</w:t>
            </w:r>
            <w:r>
              <w:rPr>
                <w:b w:val="0"/>
                <w:bCs w:val="0"/>
                <w:color w:val="auto"/>
                <w:kern w:val="0"/>
                <w:sz w:val="24"/>
                <w:szCs w:val="20"/>
              </w:rPr>
              <w:t>〔HW202303001〕</w:t>
            </w:r>
            <w:r>
              <w:rPr>
                <w:b w:val="0"/>
                <w:bCs w:val="0"/>
                <w:color w:val="auto"/>
                <w:sz w:val="24"/>
                <w:lang w:bidi="ar"/>
              </w:rPr>
              <w:t>，距离建设项目所在地5km范围内，且满足近三年时效要求，与项目所在地位置关系见表3.1-1，其它污染物环境质量现状见表3.1-2。</w:t>
            </w:r>
          </w:p>
          <w:p>
            <w:pPr>
              <w:wordWrap w:val="0"/>
              <w:spacing w:line="360" w:lineRule="auto"/>
              <w:jc w:val="center"/>
              <w:rPr>
                <w:color w:val="auto"/>
                <w:szCs w:val="21"/>
              </w:rPr>
            </w:pPr>
            <w:r>
              <w:rPr>
                <w:b/>
                <w:bCs/>
                <w:color w:val="auto"/>
                <w:szCs w:val="21"/>
              </w:rPr>
              <w:t>表 3.1-1 其他污染物补充监测点位基本信息</w:t>
            </w:r>
            <w:r>
              <w:rPr>
                <w:color w:val="auto"/>
                <w:szCs w:val="21"/>
              </w:rPr>
              <w:t>（引用）</w:t>
            </w:r>
          </w:p>
          <w:tbl>
            <w:tblPr>
              <w:tblStyle w:val="20"/>
              <w:tblW w:w="8582"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28" w:type="dxa"/>
                <w:bottom w:w="0" w:type="dxa"/>
                <w:right w:w="28" w:type="dxa"/>
              </w:tblCellMar>
            </w:tblPr>
            <w:tblGrid>
              <w:gridCol w:w="1360"/>
              <w:gridCol w:w="1331"/>
              <w:gridCol w:w="1202"/>
              <w:gridCol w:w="1506"/>
              <w:gridCol w:w="1108"/>
              <w:gridCol w:w="1108"/>
              <w:gridCol w:w="96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28" w:hRule="atLeast"/>
                <w:jc w:val="center"/>
              </w:trPr>
              <w:tc>
                <w:tcPr>
                  <w:tcW w:w="1360" w:type="dxa"/>
                  <w:vMerge w:val="restart"/>
                  <w:vAlign w:val="center"/>
                </w:tcPr>
                <w:p>
                  <w:pPr>
                    <w:adjustRightInd w:val="0"/>
                    <w:snapToGrid w:val="0"/>
                    <w:spacing w:before="24" w:beforeLines="10" w:after="24" w:afterLines="10"/>
                    <w:jc w:val="center"/>
                    <w:rPr>
                      <w:b/>
                      <w:color w:val="auto"/>
                      <w:szCs w:val="21"/>
                    </w:rPr>
                  </w:pPr>
                  <w:r>
                    <w:rPr>
                      <w:b/>
                      <w:color w:val="auto"/>
                      <w:szCs w:val="21"/>
                    </w:rPr>
                    <w:t>监测点名称</w:t>
                  </w:r>
                </w:p>
              </w:tc>
              <w:tc>
                <w:tcPr>
                  <w:tcW w:w="2533" w:type="dxa"/>
                  <w:gridSpan w:val="2"/>
                  <w:vAlign w:val="center"/>
                </w:tcPr>
                <w:p>
                  <w:pPr>
                    <w:adjustRightInd w:val="0"/>
                    <w:snapToGrid w:val="0"/>
                    <w:spacing w:before="24" w:beforeLines="10" w:after="24" w:afterLines="10"/>
                    <w:jc w:val="center"/>
                    <w:rPr>
                      <w:b/>
                      <w:bCs/>
                      <w:color w:val="auto"/>
                      <w:szCs w:val="21"/>
                    </w:rPr>
                  </w:pPr>
                  <w:r>
                    <w:rPr>
                      <w:b/>
                      <w:color w:val="auto"/>
                      <w:szCs w:val="21"/>
                    </w:rPr>
                    <w:t>监测点坐标/m</w:t>
                  </w:r>
                </w:p>
              </w:tc>
              <w:tc>
                <w:tcPr>
                  <w:tcW w:w="1506" w:type="dxa"/>
                  <w:vMerge w:val="restart"/>
                  <w:vAlign w:val="center"/>
                </w:tcPr>
                <w:p>
                  <w:pPr>
                    <w:adjustRightInd w:val="0"/>
                    <w:snapToGrid w:val="0"/>
                    <w:spacing w:before="24" w:beforeLines="10" w:after="24" w:afterLines="10"/>
                    <w:jc w:val="center"/>
                    <w:rPr>
                      <w:b/>
                      <w:bCs/>
                      <w:color w:val="auto"/>
                      <w:szCs w:val="21"/>
                    </w:rPr>
                  </w:pPr>
                  <w:r>
                    <w:rPr>
                      <w:b/>
                      <w:color w:val="auto"/>
                      <w:szCs w:val="21"/>
                    </w:rPr>
                    <w:t>监测因子</w:t>
                  </w:r>
                </w:p>
              </w:tc>
              <w:tc>
                <w:tcPr>
                  <w:tcW w:w="1108" w:type="dxa"/>
                  <w:vMerge w:val="restart"/>
                  <w:vAlign w:val="center"/>
                </w:tcPr>
                <w:p>
                  <w:pPr>
                    <w:adjustRightInd w:val="0"/>
                    <w:snapToGrid w:val="0"/>
                    <w:spacing w:before="24" w:beforeLines="10" w:after="24" w:afterLines="10"/>
                    <w:jc w:val="center"/>
                    <w:rPr>
                      <w:b/>
                      <w:bCs/>
                      <w:color w:val="auto"/>
                      <w:szCs w:val="21"/>
                    </w:rPr>
                  </w:pPr>
                  <w:r>
                    <w:rPr>
                      <w:b/>
                      <w:color w:val="auto"/>
                      <w:szCs w:val="21"/>
                    </w:rPr>
                    <w:t>监测时段</w:t>
                  </w:r>
                </w:p>
              </w:tc>
              <w:tc>
                <w:tcPr>
                  <w:tcW w:w="1108" w:type="dxa"/>
                  <w:vMerge w:val="restart"/>
                  <w:vAlign w:val="center"/>
                </w:tcPr>
                <w:p>
                  <w:pPr>
                    <w:adjustRightInd w:val="0"/>
                    <w:snapToGrid w:val="0"/>
                    <w:spacing w:before="24" w:beforeLines="10" w:after="24" w:afterLines="10"/>
                    <w:jc w:val="center"/>
                    <w:rPr>
                      <w:b/>
                      <w:bCs/>
                      <w:color w:val="auto"/>
                      <w:szCs w:val="21"/>
                    </w:rPr>
                  </w:pPr>
                  <w:r>
                    <w:rPr>
                      <w:b/>
                      <w:color w:val="auto"/>
                      <w:szCs w:val="21"/>
                    </w:rPr>
                    <w:t>相对厂址方位</w:t>
                  </w:r>
                </w:p>
              </w:tc>
              <w:tc>
                <w:tcPr>
                  <w:tcW w:w="967" w:type="dxa"/>
                  <w:vMerge w:val="restart"/>
                  <w:vAlign w:val="center"/>
                </w:tcPr>
                <w:p>
                  <w:pPr>
                    <w:adjustRightInd w:val="0"/>
                    <w:snapToGrid w:val="0"/>
                    <w:spacing w:before="24" w:beforeLines="10" w:after="24" w:afterLines="10"/>
                    <w:jc w:val="center"/>
                    <w:rPr>
                      <w:b/>
                      <w:bCs/>
                      <w:color w:val="auto"/>
                      <w:szCs w:val="21"/>
                    </w:rPr>
                  </w:pPr>
                  <w:r>
                    <w:rPr>
                      <w:b/>
                      <w:color w:val="auto"/>
                      <w:szCs w:val="21"/>
                    </w:rPr>
                    <w:t>相对厂址距离/m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28" w:hRule="atLeast"/>
                <w:jc w:val="center"/>
              </w:trPr>
              <w:tc>
                <w:tcPr>
                  <w:tcW w:w="1360" w:type="dxa"/>
                  <w:vMerge w:val="continue"/>
                  <w:vAlign w:val="center"/>
                </w:tcPr>
                <w:p>
                  <w:pPr>
                    <w:adjustRightInd w:val="0"/>
                    <w:snapToGrid w:val="0"/>
                    <w:spacing w:before="24" w:beforeLines="10" w:after="24" w:afterLines="10"/>
                    <w:jc w:val="center"/>
                    <w:rPr>
                      <w:b/>
                      <w:bCs/>
                      <w:color w:val="auto"/>
                      <w:szCs w:val="21"/>
                    </w:rPr>
                  </w:pPr>
                </w:p>
              </w:tc>
              <w:tc>
                <w:tcPr>
                  <w:tcW w:w="1331" w:type="dxa"/>
                  <w:vAlign w:val="center"/>
                </w:tcPr>
                <w:p>
                  <w:pPr>
                    <w:adjustRightInd w:val="0"/>
                    <w:snapToGrid w:val="0"/>
                    <w:spacing w:before="24" w:beforeLines="10" w:after="24" w:afterLines="10"/>
                    <w:jc w:val="center"/>
                    <w:rPr>
                      <w:b/>
                      <w:color w:val="auto"/>
                      <w:szCs w:val="21"/>
                    </w:rPr>
                  </w:pPr>
                  <w:r>
                    <w:rPr>
                      <w:b/>
                      <w:color w:val="auto"/>
                      <w:szCs w:val="21"/>
                    </w:rPr>
                    <w:t>X</w:t>
                  </w:r>
                </w:p>
              </w:tc>
              <w:tc>
                <w:tcPr>
                  <w:tcW w:w="1202" w:type="dxa"/>
                  <w:vAlign w:val="center"/>
                </w:tcPr>
                <w:p>
                  <w:pPr>
                    <w:adjustRightInd w:val="0"/>
                    <w:snapToGrid w:val="0"/>
                    <w:spacing w:before="24" w:beforeLines="10" w:after="24" w:afterLines="10"/>
                    <w:jc w:val="center"/>
                    <w:rPr>
                      <w:b/>
                      <w:color w:val="auto"/>
                      <w:szCs w:val="21"/>
                    </w:rPr>
                  </w:pPr>
                  <w:r>
                    <w:rPr>
                      <w:b/>
                      <w:color w:val="auto"/>
                      <w:szCs w:val="21"/>
                    </w:rPr>
                    <w:t>Y</w:t>
                  </w:r>
                </w:p>
              </w:tc>
              <w:tc>
                <w:tcPr>
                  <w:tcW w:w="1506" w:type="dxa"/>
                  <w:vMerge w:val="continue"/>
                  <w:vAlign w:val="center"/>
                </w:tcPr>
                <w:p>
                  <w:pPr>
                    <w:adjustRightInd w:val="0"/>
                    <w:snapToGrid w:val="0"/>
                    <w:spacing w:before="24" w:beforeLines="10" w:after="24" w:afterLines="10"/>
                    <w:jc w:val="center"/>
                    <w:rPr>
                      <w:b/>
                      <w:bCs/>
                      <w:color w:val="auto"/>
                      <w:szCs w:val="21"/>
                    </w:rPr>
                  </w:pPr>
                </w:p>
              </w:tc>
              <w:tc>
                <w:tcPr>
                  <w:tcW w:w="1108" w:type="dxa"/>
                  <w:vMerge w:val="continue"/>
                  <w:vAlign w:val="center"/>
                </w:tcPr>
                <w:p>
                  <w:pPr>
                    <w:adjustRightInd w:val="0"/>
                    <w:snapToGrid w:val="0"/>
                    <w:spacing w:before="24" w:beforeLines="10" w:after="24" w:afterLines="10"/>
                    <w:jc w:val="center"/>
                    <w:rPr>
                      <w:b/>
                      <w:bCs/>
                      <w:color w:val="auto"/>
                      <w:szCs w:val="21"/>
                    </w:rPr>
                  </w:pPr>
                </w:p>
              </w:tc>
              <w:tc>
                <w:tcPr>
                  <w:tcW w:w="1108" w:type="dxa"/>
                  <w:vMerge w:val="continue"/>
                  <w:vAlign w:val="center"/>
                </w:tcPr>
                <w:p>
                  <w:pPr>
                    <w:adjustRightInd w:val="0"/>
                    <w:snapToGrid w:val="0"/>
                    <w:spacing w:before="24" w:beforeLines="10" w:after="24" w:afterLines="10"/>
                    <w:jc w:val="center"/>
                    <w:rPr>
                      <w:b/>
                      <w:bCs/>
                      <w:color w:val="auto"/>
                      <w:szCs w:val="21"/>
                    </w:rPr>
                  </w:pPr>
                </w:p>
              </w:tc>
              <w:tc>
                <w:tcPr>
                  <w:tcW w:w="967" w:type="dxa"/>
                  <w:vMerge w:val="continue"/>
                  <w:vAlign w:val="center"/>
                </w:tcPr>
                <w:p>
                  <w:pPr>
                    <w:adjustRightInd w:val="0"/>
                    <w:snapToGrid w:val="0"/>
                    <w:spacing w:before="24" w:beforeLines="10" w:after="24" w:afterLines="10"/>
                    <w:jc w:val="center"/>
                    <w:rPr>
                      <w:b/>
                      <w:bCs/>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28" w:hRule="atLeast"/>
                <w:jc w:val="center"/>
              </w:trPr>
              <w:tc>
                <w:tcPr>
                  <w:tcW w:w="1360" w:type="dxa"/>
                  <w:vAlign w:val="center"/>
                </w:tcPr>
                <w:p>
                  <w:pPr>
                    <w:jc w:val="center"/>
                    <w:rPr>
                      <w:color w:val="auto"/>
                      <w:szCs w:val="21"/>
                    </w:rPr>
                  </w:pPr>
                  <w:r>
                    <w:rPr>
                      <w:color w:val="auto"/>
                      <w:szCs w:val="21"/>
                      <w:lang w:bidi="ar"/>
                    </w:rPr>
                    <w:t>淮安华帅金属构件有限公司</w:t>
                  </w:r>
                </w:p>
              </w:tc>
              <w:tc>
                <w:tcPr>
                  <w:tcW w:w="1331" w:type="dxa"/>
                  <w:vAlign w:val="center"/>
                </w:tcPr>
                <w:p>
                  <w:pPr>
                    <w:jc w:val="center"/>
                    <w:rPr>
                      <w:color w:val="auto"/>
                      <w:szCs w:val="21"/>
                    </w:rPr>
                  </w:pPr>
                  <w:r>
                    <w:rPr>
                      <w:color w:val="auto"/>
                      <w:szCs w:val="21"/>
                    </w:rPr>
                    <w:t>118.936057</w:t>
                  </w:r>
                </w:p>
              </w:tc>
              <w:tc>
                <w:tcPr>
                  <w:tcW w:w="1202" w:type="dxa"/>
                  <w:vAlign w:val="center"/>
                </w:tcPr>
                <w:p>
                  <w:pPr>
                    <w:jc w:val="center"/>
                    <w:rPr>
                      <w:color w:val="auto"/>
                      <w:szCs w:val="21"/>
                    </w:rPr>
                  </w:pPr>
                  <w:r>
                    <w:rPr>
                      <w:color w:val="auto"/>
                      <w:szCs w:val="21"/>
                    </w:rPr>
                    <w:t>33.658853</w:t>
                  </w:r>
                </w:p>
              </w:tc>
              <w:tc>
                <w:tcPr>
                  <w:tcW w:w="1506" w:type="dxa"/>
                  <w:vAlign w:val="center"/>
                </w:tcPr>
                <w:p>
                  <w:pPr>
                    <w:jc w:val="center"/>
                    <w:rPr>
                      <w:color w:val="auto"/>
                      <w:szCs w:val="21"/>
                    </w:rPr>
                  </w:pPr>
                  <w:r>
                    <w:rPr>
                      <w:color w:val="auto"/>
                      <w:szCs w:val="21"/>
                    </w:rPr>
                    <w:t>非甲烷总烃</w:t>
                  </w:r>
                </w:p>
              </w:tc>
              <w:tc>
                <w:tcPr>
                  <w:tcW w:w="1108" w:type="dxa"/>
                  <w:vAlign w:val="center"/>
                </w:tcPr>
                <w:p>
                  <w:pPr>
                    <w:jc w:val="center"/>
                    <w:rPr>
                      <w:color w:val="auto"/>
                      <w:szCs w:val="21"/>
                    </w:rPr>
                  </w:pPr>
                  <w:r>
                    <w:rPr>
                      <w:color w:val="auto"/>
                      <w:szCs w:val="21"/>
                    </w:rPr>
                    <w:t>小时平均</w:t>
                  </w:r>
                </w:p>
              </w:tc>
              <w:tc>
                <w:tcPr>
                  <w:tcW w:w="1108" w:type="dxa"/>
                  <w:vAlign w:val="center"/>
                </w:tcPr>
                <w:p>
                  <w:pPr>
                    <w:jc w:val="center"/>
                    <w:rPr>
                      <w:color w:val="auto"/>
                      <w:szCs w:val="21"/>
                    </w:rPr>
                  </w:pPr>
                  <w:r>
                    <w:rPr>
                      <w:color w:val="auto"/>
                      <w:szCs w:val="21"/>
                    </w:rPr>
                    <w:t>N</w:t>
                  </w:r>
                </w:p>
              </w:tc>
              <w:tc>
                <w:tcPr>
                  <w:tcW w:w="967" w:type="dxa"/>
                  <w:vAlign w:val="center"/>
                </w:tcPr>
                <w:p>
                  <w:pPr>
                    <w:jc w:val="center"/>
                    <w:rPr>
                      <w:color w:val="auto"/>
                      <w:szCs w:val="21"/>
                    </w:rPr>
                  </w:pPr>
                  <w:r>
                    <w:rPr>
                      <w:color w:val="auto"/>
                      <w:szCs w:val="21"/>
                    </w:rPr>
                    <w:t>1462</w:t>
                  </w:r>
                </w:p>
              </w:tc>
            </w:tr>
          </w:tbl>
          <w:p>
            <w:pPr>
              <w:wordWrap w:val="0"/>
              <w:spacing w:line="360" w:lineRule="auto"/>
              <w:jc w:val="center"/>
              <w:rPr>
                <w:color w:val="auto"/>
                <w:szCs w:val="21"/>
                <w:vertAlign w:val="superscript"/>
              </w:rPr>
            </w:pPr>
            <w:r>
              <w:rPr>
                <w:b/>
                <w:bCs/>
                <w:color w:val="auto"/>
                <w:szCs w:val="21"/>
              </w:rPr>
              <w:t xml:space="preserve">表 3.1-2 其他污染物环境质量现状（引用） </w:t>
            </w:r>
            <w:r>
              <w:rPr>
                <w:color w:val="auto"/>
                <w:szCs w:val="21"/>
              </w:rPr>
              <w:t>单位：mg/m</w:t>
            </w:r>
            <w:r>
              <w:rPr>
                <w:color w:val="auto"/>
                <w:szCs w:val="21"/>
                <w:vertAlign w:val="superscript"/>
              </w:rPr>
              <w:t>3</w:t>
            </w:r>
          </w:p>
          <w:tbl>
            <w:tblPr>
              <w:tblStyle w:val="20"/>
              <w:tblW w:w="5000" w:type="pct"/>
              <w:jc w:val="center"/>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Layout w:type="autofit"/>
              <w:tblCellMar>
                <w:top w:w="0" w:type="dxa"/>
                <w:left w:w="28" w:type="dxa"/>
                <w:bottom w:w="0" w:type="dxa"/>
                <w:right w:w="28" w:type="dxa"/>
              </w:tblCellMar>
            </w:tblPr>
            <w:tblGrid>
              <w:gridCol w:w="1606"/>
              <w:gridCol w:w="1046"/>
              <w:gridCol w:w="1002"/>
              <w:gridCol w:w="784"/>
              <w:gridCol w:w="595"/>
              <w:gridCol w:w="652"/>
              <w:gridCol w:w="1031"/>
              <w:gridCol w:w="755"/>
              <w:gridCol w:w="547"/>
              <w:gridCol w:w="564"/>
            </w:tblGrid>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28" w:type="dxa"/>
                  <w:bottom w:w="0" w:type="dxa"/>
                  <w:right w:w="28" w:type="dxa"/>
                </w:tblCellMar>
              </w:tblPrEx>
              <w:trPr>
                <w:trHeight w:val="328" w:hRule="atLeast"/>
                <w:jc w:val="center"/>
              </w:trPr>
              <w:tc>
                <w:tcPr>
                  <w:tcW w:w="939" w:type="pct"/>
                  <w:vMerge w:val="restart"/>
                  <w:tcBorders>
                    <w:top w:val="single" w:color="auto" w:sz="12" w:space="0"/>
                    <w:right w:val="single" w:color="auto" w:sz="4" w:space="0"/>
                  </w:tcBorders>
                  <w:vAlign w:val="center"/>
                </w:tcPr>
                <w:p>
                  <w:pPr>
                    <w:adjustRightInd w:val="0"/>
                    <w:snapToGrid w:val="0"/>
                    <w:jc w:val="center"/>
                    <w:rPr>
                      <w:b/>
                      <w:color w:val="auto"/>
                      <w:szCs w:val="21"/>
                    </w:rPr>
                  </w:pPr>
                  <w:r>
                    <w:rPr>
                      <w:b/>
                      <w:color w:val="auto"/>
                      <w:szCs w:val="21"/>
                    </w:rPr>
                    <w:t>监测点位</w:t>
                  </w:r>
                </w:p>
              </w:tc>
              <w:tc>
                <w:tcPr>
                  <w:tcW w:w="1166" w:type="pct"/>
                  <w:gridSpan w:val="2"/>
                  <w:tcBorders>
                    <w:top w:val="single" w:color="auto" w:sz="12" w:space="0"/>
                    <w:left w:val="single" w:color="auto" w:sz="4" w:space="0"/>
                    <w:bottom w:val="single" w:color="auto" w:sz="4" w:space="0"/>
                    <w:right w:val="single" w:color="auto" w:sz="4" w:space="0"/>
                  </w:tcBorders>
                  <w:vAlign w:val="center"/>
                </w:tcPr>
                <w:p>
                  <w:pPr>
                    <w:adjustRightInd w:val="0"/>
                    <w:snapToGrid w:val="0"/>
                    <w:jc w:val="center"/>
                    <w:rPr>
                      <w:b/>
                      <w:color w:val="auto"/>
                      <w:szCs w:val="21"/>
                    </w:rPr>
                  </w:pPr>
                  <w:r>
                    <w:rPr>
                      <w:b/>
                      <w:color w:val="auto"/>
                      <w:szCs w:val="21"/>
                    </w:rPr>
                    <w:t>监测点坐标/m</w:t>
                  </w:r>
                </w:p>
              </w:tc>
              <w:tc>
                <w:tcPr>
                  <w:tcW w:w="460" w:type="pct"/>
                  <w:vMerge w:val="restart"/>
                  <w:tcBorders>
                    <w:top w:val="single" w:color="auto" w:sz="12" w:space="0"/>
                    <w:left w:val="single" w:color="auto" w:sz="4" w:space="0"/>
                    <w:right w:val="single" w:color="auto" w:sz="4" w:space="0"/>
                  </w:tcBorders>
                  <w:vAlign w:val="center"/>
                </w:tcPr>
                <w:p>
                  <w:pPr>
                    <w:adjustRightInd w:val="0"/>
                    <w:snapToGrid w:val="0"/>
                    <w:jc w:val="center"/>
                    <w:rPr>
                      <w:b/>
                      <w:color w:val="auto"/>
                      <w:szCs w:val="21"/>
                    </w:rPr>
                  </w:pPr>
                  <w:r>
                    <w:rPr>
                      <w:b/>
                      <w:color w:val="auto"/>
                      <w:szCs w:val="21"/>
                    </w:rPr>
                    <w:t>污染物</w:t>
                  </w:r>
                </w:p>
              </w:tc>
              <w:tc>
                <w:tcPr>
                  <w:tcW w:w="350" w:type="pct"/>
                  <w:vMerge w:val="restart"/>
                  <w:tcBorders>
                    <w:top w:val="single" w:color="auto" w:sz="12" w:space="0"/>
                    <w:left w:val="single" w:color="auto" w:sz="4" w:space="0"/>
                    <w:right w:val="single" w:color="auto" w:sz="4" w:space="0"/>
                  </w:tcBorders>
                  <w:vAlign w:val="center"/>
                </w:tcPr>
                <w:p>
                  <w:pPr>
                    <w:adjustRightInd w:val="0"/>
                    <w:snapToGrid w:val="0"/>
                    <w:jc w:val="center"/>
                    <w:rPr>
                      <w:b/>
                      <w:color w:val="auto"/>
                      <w:szCs w:val="21"/>
                    </w:rPr>
                  </w:pPr>
                  <w:r>
                    <w:rPr>
                      <w:b/>
                      <w:color w:val="auto"/>
                      <w:szCs w:val="21"/>
                    </w:rPr>
                    <w:t>平均</w:t>
                  </w:r>
                </w:p>
                <w:p>
                  <w:pPr>
                    <w:adjustRightInd w:val="0"/>
                    <w:snapToGrid w:val="0"/>
                    <w:jc w:val="center"/>
                    <w:rPr>
                      <w:b/>
                      <w:color w:val="auto"/>
                      <w:szCs w:val="21"/>
                    </w:rPr>
                  </w:pPr>
                  <w:r>
                    <w:rPr>
                      <w:b/>
                      <w:color w:val="auto"/>
                      <w:szCs w:val="21"/>
                    </w:rPr>
                    <w:t>时间</w:t>
                  </w:r>
                </w:p>
              </w:tc>
              <w:tc>
                <w:tcPr>
                  <w:tcW w:w="383" w:type="pct"/>
                  <w:vMerge w:val="restart"/>
                  <w:tcBorders>
                    <w:top w:val="single" w:color="auto" w:sz="12" w:space="0"/>
                    <w:left w:val="single" w:color="auto" w:sz="4" w:space="0"/>
                    <w:right w:val="single" w:color="auto" w:sz="4" w:space="0"/>
                  </w:tcBorders>
                  <w:vAlign w:val="center"/>
                </w:tcPr>
                <w:p>
                  <w:pPr>
                    <w:adjustRightInd w:val="0"/>
                    <w:snapToGrid w:val="0"/>
                    <w:jc w:val="center"/>
                    <w:rPr>
                      <w:b/>
                      <w:color w:val="auto"/>
                      <w:szCs w:val="21"/>
                    </w:rPr>
                  </w:pPr>
                  <w:r>
                    <w:rPr>
                      <w:b/>
                      <w:color w:val="auto"/>
                      <w:szCs w:val="21"/>
                    </w:rPr>
                    <w:t>评价标准</w:t>
                  </w:r>
                </w:p>
              </w:tc>
              <w:tc>
                <w:tcPr>
                  <w:tcW w:w="604" w:type="pct"/>
                  <w:vMerge w:val="restart"/>
                  <w:tcBorders>
                    <w:top w:val="single" w:color="auto" w:sz="12" w:space="0"/>
                    <w:left w:val="single" w:color="auto" w:sz="4" w:space="0"/>
                    <w:right w:val="single" w:color="auto" w:sz="4" w:space="0"/>
                  </w:tcBorders>
                  <w:vAlign w:val="center"/>
                </w:tcPr>
                <w:p>
                  <w:pPr>
                    <w:adjustRightInd w:val="0"/>
                    <w:snapToGrid w:val="0"/>
                    <w:jc w:val="center"/>
                    <w:rPr>
                      <w:b/>
                      <w:color w:val="auto"/>
                      <w:szCs w:val="21"/>
                    </w:rPr>
                  </w:pPr>
                  <w:r>
                    <w:rPr>
                      <w:b/>
                      <w:color w:val="auto"/>
                      <w:szCs w:val="21"/>
                    </w:rPr>
                    <w:t>监测浓度范围</w:t>
                  </w:r>
                </w:p>
              </w:tc>
              <w:tc>
                <w:tcPr>
                  <w:tcW w:w="443" w:type="pct"/>
                  <w:vMerge w:val="restart"/>
                  <w:tcBorders>
                    <w:top w:val="single" w:color="auto" w:sz="12" w:space="0"/>
                    <w:left w:val="single" w:color="auto" w:sz="4" w:space="0"/>
                    <w:right w:val="single" w:color="auto" w:sz="4" w:space="0"/>
                  </w:tcBorders>
                  <w:vAlign w:val="center"/>
                </w:tcPr>
                <w:p>
                  <w:pPr>
                    <w:adjustRightInd w:val="0"/>
                    <w:snapToGrid w:val="0"/>
                    <w:jc w:val="center"/>
                    <w:rPr>
                      <w:b/>
                      <w:color w:val="auto"/>
                      <w:szCs w:val="21"/>
                    </w:rPr>
                  </w:pPr>
                  <w:r>
                    <w:rPr>
                      <w:b/>
                      <w:color w:val="auto"/>
                      <w:szCs w:val="21"/>
                    </w:rPr>
                    <w:t>最大浓度占标率/%</w:t>
                  </w:r>
                </w:p>
              </w:tc>
              <w:tc>
                <w:tcPr>
                  <w:tcW w:w="322" w:type="pct"/>
                  <w:vMerge w:val="restart"/>
                  <w:tcBorders>
                    <w:top w:val="single" w:color="auto" w:sz="12" w:space="0"/>
                    <w:left w:val="single" w:color="auto" w:sz="4" w:space="0"/>
                    <w:right w:val="single" w:color="auto" w:sz="4" w:space="0"/>
                  </w:tcBorders>
                  <w:vAlign w:val="center"/>
                </w:tcPr>
                <w:p>
                  <w:pPr>
                    <w:adjustRightInd w:val="0"/>
                    <w:snapToGrid w:val="0"/>
                    <w:jc w:val="center"/>
                    <w:rPr>
                      <w:b/>
                      <w:color w:val="auto"/>
                      <w:szCs w:val="21"/>
                    </w:rPr>
                  </w:pPr>
                  <w:r>
                    <w:rPr>
                      <w:b/>
                      <w:color w:val="auto"/>
                      <w:szCs w:val="21"/>
                    </w:rPr>
                    <w:t>超标率/%</w:t>
                  </w:r>
                </w:p>
              </w:tc>
              <w:tc>
                <w:tcPr>
                  <w:tcW w:w="332" w:type="pct"/>
                  <w:vMerge w:val="restart"/>
                  <w:tcBorders>
                    <w:top w:val="single" w:color="auto" w:sz="12" w:space="0"/>
                    <w:left w:val="single" w:color="auto" w:sz="4" w:space="0"/>
                  </w:tcBorders>
                  <w:vAlign w:val="center"/>
                </w:tcPr>
                <w:p>
                  <w:pPr>
                    <w:adjustRightInd w:val="0"/>
                    <w:snapToGrid w:val="0"/>
                    <w:jc w:val="center"/>
                    <w:rPr>
                      <w:b/>
                      <w:color w:val="auto"/>
                      <w:szCs w:val="21"/>
                    </w:rPr>
                  </w:pPr>
                  <w:r>
                    <w:rPr>
                      <w:b/>
                      <w:color w:val="auto"/>
                      <w:szCs w:val="21"/>
                    </w:rPr>
                    <w:t>达标情况</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28" w:type="dxa"/>
                  <w:bottom w:w="0" w:type="dxa"/>
                  <w:right w:w="28" w:type="dxa"/>
                </w:tblCellMar>
              </w:tblPrEx>
              <w:trPr>
                <w:trHeight w:val="328" w:hRule="atLeast"/>
                <w:jc w:val="center"/>
              </w:trPr>
              <w:tc>
                <w:tcPr>
                  <w:tcW w:w="939" w:type="pct"/>
                  <w:vMerge w:val="continue"/>
                  <w:tcBorders>
                    <w:bottom w:val="single" w:color="auto" w:sz="4" w:space="0"/>
                    <w:right w:val="single" w:color="auto" w:sz="4" w:space="0"/>
                  </w:tcBorders>
                  <w:vAlign w:val="center"/>
                </w:tcPr>
                <w:p>
                  <w:pPr>
                    <w:adjustRightInd w:val="0"/>
                    <w:snapToGrid w:val="0"/>
                    <w:jc w:val="center"/>
                    <w:rPr>
                      <w:color w:val="auto"/>
                      <w:szCs w:val="21"/>
                    </w:rPr>
                  </w:pPr>
                </w:p>
              </w:tc>
              <w:tc>
                <w:tcPr>
                  <w:tcW w:w="57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
                      <w:color w:val="auto"/>
                      <w:szCs w:val="21"/>
                    </w:rPr>
                  </w:pPr>
                  <w:r>
                    <w:rPr>
                      <w:b/>
                      <w:color w:val="auto"/>
                      <w:szCs w:val="21"/>
                    </w:rPr>
                    <w:t>X</w:t>
                  </w:r>
                </w:p>
              </w:tc>
              <w:tc>
                <w:tcPr>
                  <w:tcW w:w="58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
                      <w:color w:val="auto"/>
                      <w:szCs w:val="21"/>
                    </w:rPr>
                  </w:pPr>
                  <w:r>
                    <w:rPr>
                      <w:b/>
                      <w:color w:val="auto"/>
                      <w:szCs w:val="21"/>
                    </w:rPr>
                    <w:t>Y</w:t>
                  </w:r>
                </w:p>
              </w:tc>
              <w:tc>
                <w:tcPr>
                  <w:tcW w:w="460" w:type="pct"/>
                  <w:vMerge w:val="continue"/>
                  <w:tcBorders>
                    <w:left w:val="single" w:color="auto" w:sz="4" w:space="0"/>
                    <w:bottom w:val="single" w:color="auto" w:sz="4" w:space="0"/>
                    <w:right w:val="single" w:color="auto" w:sz="4" w:space="0"/>
                  </w:tcBorders>
                  <w:vAlign w:val="center"/>
                </w:tcPr>
                <w:p>
                  <w:pPr>
                    <w:adjustRightInd w:val="0"/>
                    <w:snapToGrid w:val="0"/>
                    <w:jc w:val="center"/>
                    <w:rPr>
                      <w:color w:val="auto"/>
                      <w:szCs w:val="21"/>
                    </w:rPr>
                  </w:pPr>
                </w:p>
              </w:tc>
              <w:tc>
                <w:tcPr>
                  <w:tcW w:w="350" w:type="pct"/>
                  <w:vMerge w:val="continue"/>
                  <w:tcBorders>
                    <w:left w:val="single" w:color="auto" w:sz="4" w:space="0"/>
                    <w:bottom w:val="single" w:color="auto" w:sz="4" w:space="0"/>
                    <w:right w:val="single" w:color="auto" w:sz="4" w:space="0"/>
                  </w:tcBorders>
                  <w:vAlign w:val="center"/>
                </w:tcPr>
                <w:p>
                  <w:pPr>
                    <w:adjustRightInd w:val="0"/>
                    <w:snapToGrid w:val="0"/>
                    <w:jc w:val="center"/>
                    <w:rPr>
                      <w:color w:val="auto"/>
                      <w:szCs w:val="21"/>
                    </w:rPr>
                  </w:pPr>
                </w:p>
              </w:tc>
              <w:tc>
                <w:tcPr>
                  <w:tcW w:w="383" w:type="pct"/>
                  <w:vMerge w:val="continue"/>
                  <w:tcBorders>
                    <w:left w:val="single" w:color="auto" w:sz="4" w:space="0"/>
                    <w:bottom w:val="single" w:color="auto" w:sz="4" w:space="0"/>
                    <w:right w:val="single" w:color="auto" w:sz="4" w:space="0"/>
                  </w:tcBorders>
                  <w:vAlign w:val="center"/>
                </w:tcPr>
                <w:p>
                  <w:pPr>
                    <w:adjustRightInd w:val="0"/>
                    <w:snapToGrid w:val="0"/>
                    <w:jc w:val="center"/>
                    <w:rPr>
                      <w:color w:val="auto"/>
                      <w:szCs w:val="21"/>
                    </w:rPr>
                  </w:pPr>
                </w:p>
              </w:tc>
              <w:tc>
                <w:tcPr>
                  <w:tcW w:w="604" w:type="pct"/>
                  <w:vMerge w:val="continue"/>
                  <w:tcBorders>
                    <w:left w:val="single" w:color="auto" w:sz="4" w:space="0"/>
                    <w:bottom w:val="single" w:color="auto" w:sz="4" w:space="0"/>
                    <w:right w:val="single" w:color="auto" w:sz="4" w:space="0"/>
                  </w:tcBorders>
                  <w:vAlign w:val="center"/>
                </w:tcPr>
                <w:p>
                  <w:pPr>
                    <w:adjustRightInd w:val="0"/>
                    <w:snapToGrid w:val="0"/>
                    <w:jc w:val="center"/>
                    <w:rPr>
                      <w:color w:val="auto"/>
                      <w:szCs w:val="21"/>
                    </w:rPr>
                  </w:pPr>
                </w:p>
              </w:tc>
              <w:tc>
                <w:tcPr>
                  <w:tcW w:w="443" w:type="pct"/>
                  <w:vMerge w:val="continue"/>
                  <w:tcBorders>
                    <w:left w:val="single" w:color="auto" w:sz="4" w:space="0"/>
                    <w:bottom w:val="single" w:color="auto" w:sz="4" w:space="0"/>
                    <w:right w:val="single" w:color="auto" w:sz="4" w:space="0"/>
                  </w:tcBorders>
                  <w:vAlign w:val="center"/>
                </w:tcPr>
                <w:p>
                  <w:pPr>
                    <w:adjustRightInd w:val="0"/>
                    <w:snapToGrid w:val="0"/>
                    <w:jc w:val="center"/>
                    <w:rPr>
                      <w:color w:val="auto"/>
                      <w:szCs w:val="21"/>
                    </w:rPr>
                  </w:pPr>
                </w:p>
              </w:tc>
              <w:tc>
                <w:tcPr>
                  <w:tcW w:w="322" w:type="pct"/>
                  <w:vMerge w:val="continue"/>
                  <w:tcBorders>
                    <w:left w:val="single" w:color="auto" w:sz="4" w:space="0"/>
                    <w:bottom w:val="single" w:color="auto" w:sz="4" w:space="0"/>
                    <w:right w:val="single" w:color="auto" w:sz="4" w:space="0"/>
                  </w:tcBorders>
                  <w:vAlign w:val="center"/>
                </w:tcPr>
                <w:p>
                  <w:pPr>
                    <w:adjustRightInd w:val="0"/>
                    <w:snapToGrid w:val="0"/>
                    <w:jc w:val="center"/>
                    <w:rPr>
                      <w:color w:val="auto"/>
                      <w:szCs w:val="21"/>
                    </w:rPr>
                  </w:pPr>
                </w:p>
              </w:tc>
              <w:tc>
                <w:tcPr>
                  <w:tcW w:w="332" w:type="pct"/>
                  <w:vMerge w:val="continue"/>
                  <w:tcBorders>
                    <w:left w:val="single" w:color="auto" w:sz="4" w:space="0"/>
                    <w:bottom w:val="single" w:color="auto" w:sz="4" w:space="0"/>
                  </w:tcBorders>
                  <w:vAlign w:val="center"/>
                </w:tcPr>
                <w:p>
                  <w:pPr>
                    <w:adjustRightInd w:val="0"/>
                    <w:snapToGrid w:val="0"/>
                    <w:jc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28" w:type="dxa"/>
                  <w:bottom w:w="0" w:type="dxa"/>
                  <w:right w:w="28" w:type="dxa"/>
                </w:tblCellMar>
              </w:tblPrEx>
              <w:trPr>
                <w:trHeight w:val="328" w:hRule="atLeast"/>
                <w:jc w:val="center"/>
              </w:trPr>
              <w:tc>
                <w:tcPr>
                  <w:tcW w:w="939" w:type="pct"/>
                  <w:tcBorders>
                    <w:top w:val="single" w:color="auto" w:sz="4" w:space="0"/>
                    <w:bottom w:val="single" w:color="auto" w:sz="12" w:space="0"/>
                    <w:right w:val="single" w:color="auto" w:sz="4" w:space="0"/>
                  </w:tcBorders>
                  <w:vAlign w:val="center"/>
                </w:tcPr>
                <w:p>
                  <w:pPr>
                    <w:adjustRightInd w:val="0"/>
                    <w:snapToGrid w:val="0"/>
                    <w:jc w:val="center"/>
                    <w:rPr>
                      <w:color w:val="auto"/>
                      <w:szCs w:val="21"/>
                    </w:rPr>
                  </w:pPr>
                  <w:r>
                    <w:rPr>
                      <w:color w:val="auto"/>
                      <w:szCs w:val="21"/>
                    </w:rPr>
                    <w:t>淮安华帅金属构件有限公司（引用）</w:t>
                  </w:r>
                </w:p>
              </w:tc>
              <w:tc>
                <w:tcPr>
                  <w:tcW w:w="993" w:type="dxa"/>
                  <w:tcBorders>
                    <w:top w:val="single" w:color="auto" w:sz="4" w:space="0"/>
                    <w:left w:val="single" w:color="auto" w:sz="4" w:space="0"/>
                    <w:bottom w:val="single" w:color="auto" w:sz="12" w:space="0"/>
                    <w:right w:val="single" w:color="auto" w:sz="4" w:space="0"/>
                  </w:tcBorders>
                  <w:vAlign w:val="center"/>
                </w:tcPr>
                <w:p>
                  <w:pPr>
                    <w:jc w:val="center"/>
                    <w:rPr>
                      <w:color w:val="auto"/>
                      <w:szCs w:val="21"/>
                    </w:rPr>
                  </w:pPr>
                  <w:r>
                    <w:rPr>
                      <w:color w:val="auto"/>
                      <w:szCs w:val="21"/>
                    </w:rPr>
                    <w:t>118.936057</w:t>
                  </w:r>
                </w:p>
              </w:tc>
              <w:tc>
                <w:tcPr>
                  <w:tcW w:w="1008" w:type="dxa"/>
                  <w:tcBorders>
                    <w:top w:val="single" w:color="auto" w:sz="4" w:space="0"/>
                    <w:left w:val="single" w:color="auto" w:sz="4" w:space="0"/>
                    <w:bottom w:val="single" w:color="auto" w:sz="12" w:space="0"/>
                    <w:right w:val="single" w:color="auto" w:sz="4" w:space="0"/>
                  </w:tcBorders>
                  <w:vAlign w:val="center"/>
                </w:tcPr>
                <w:p>
                  <w:pPr>
                    <w:jc w:val="center"/>
                    <w:rPr>
                      <w:color w:val="auto"/>
                      <w:szCs w:val="21"/>
                    </w:rPr>
                  </w:pPr>
                  <w:r>
                    <w:rPr>
                      <w:color w:val="auto"/>
                      <w:szCs w:val="21"/>
                    </w:rPr>
                    <w:t>33.658853</w:t>
                  </w:r>
                </w:p>
              </w:tc>
              <w:tc>
                <w:tcPr>
                  <w:tcW w:w="460" w:type="pct"/>
                  <w:tcBorders>
                    <w:top w:val="single" w:color="auto" w:sz="4" w:space="0"/>
                    <w:left w:val="single" w:color="auto" w:sz="4" w:space="0"/>
                    <w:bottom w:val="single" w:color="auto" w:sz="12" w:space="0"/>
                    <w:right w:val="single" w:color="auto" w:sz="4" w:space="0"/>
                  </w:tcBorders>
                  <w:vAlign w:val="center"/>
                </w:tcPr>
                <w:p>
                  <w:pPr>
                    <w:adjustRightInd w:val="0"/>
                    <w:snapToGrid w:val="0"/>
                    <w:jc w:val="center"/>
                    <w:rPr>
                      <w:color w:val="auto"/>
                      <w:szCs w:val="21"/>
                    </w:rPr>
                  </w:pPr>
                  <w:r>
                    <w:rPr>
                      <w:color w:val="auto"/>
                      <w:szCs w:val="21"/>
                    </w:rPr>
                    <w:t>非甲烷</w:t>
                  </w:r>
                </w:p>
                <w:p>
                  <w:pPr>
                    <w:adjustRightInd w:val="0"/>
                    <w:snapToGrid w:val="0"/>
                    <w:jc w:val="center"/>
                    <w:rPr>
                      <w:color w:val="auto"/>
                      <w:szCs w:val="21"/>
                    </w:rPr>
                  </w:pPr>
                  <w:r>
                    <w:rPr>
                      <w:color w:val="auto"/>
                      <w:szCs w:val="21"/>
                    </w:rPr>
                    <w:t>总烃</w:t>
                  </w:r>
                </w:p>
              </w:tc>
              <w:tc>
                <w:tcPr>
                  <w:tcW w:w="350" w:type="pct"/>
                  <w:tcBorders>
                    <w:top w:val="single" w:color="auto" w:sz="4" w:space="0"/>
                    <w:left w:val="single" w:color="auto" w:sz="4" w:space="0"/>
                    <w:bottom w:val="single" w:color="auto" w:sz="12" w:space="0"/>
                    <w:right w:val="single" w:color="auto" w:sz="4" w:space="0"/>
                  </w:tcBorders>
                  <w:vAlign w:val="center"/>
                </w:tcPr>
                <w:p>
                  <w:pPr>
                    <w:adjustRightInd w:val="0"/>
                    <w:snapToGrid w:val="0"/>
                    <w:jc w:val="center"/>
                    <w:rPr>
                      <w:color w:val="auto"/>
                      <w:szCs w:val="21"/>
                    </w:rPr>
                  </w:pPr>
                  <w:r>
                    <w:rPr>
                      <w:color w:val="auto"/>
                      <w:szCs w:val="21"/>
                    </w:rPr>
                    <w:t>小时</w:t>
                  </w:r>
                </w:p>
              </w:tc>
              <w:tc>
                <w:tcPr>
                  <w:tcW w:w="383" w:type="pct"/>
                  <w:tcBorders>
                    <w:top w:val="single" w:color="auto" w:sz="4" w:space="0"/>
                    <w:left w:val="single" w:color="auto" w:sz="4" w:space="0"/>
                    <w:bottom w:val="single" w:color="auto" w:sz="12" w:space="0"/>
                    <w:right w:val="single" w:color="auto" w:sz="4" w:space="0"/>
                  </w:tcBorders>
                  <w:vAlign w:val="center"/>
                </w:tcPr>
                <w:p>
                  <w:pPr>
                    <w:jc w:val="center"/>
                    <w:rPr>
                      <w:color w:val="auto"/>
                      <w:szCs w:val="21"/>
                    </w:rPr>
                  </w:pPr>
                  <w:r>
                    <w:rPr>
                      <w:color w:val="auto"/>
                      <w:szCs w:val="21"/>
                    </w:rPr>
                    <w:t>2</w:t>
                  </w:r>
                </w:p>
              </w:tc>
              <w:tc>
                <w:tcPr>
                  <w:tcW w:w="604" w:type="pct"/>
                  <w:tcBorders>
                    <w:top w:val="single" w:color="auto" w:sz="4" w:space="0"/>
                    <w:left w:val="single" w:color="auto" w:sz="4" w:space="0"/>
                    <w:bottom w:val="single" w:color="auto" w:sz="12" w:space="0"/>
                    <w:right w:val="single" w:color="auto" w:sz="4" w:space="0"/>
                  </w:tcBorders>
                  <w:vAlign w:val="center"/>
                </w:tcPr>
                <w:p>
                  <w:pPr>
                    <w:jc w:val="center"/>
                    <w:rPr>
                      <w:color w:val="auto"/>
                      <w:szCs w:val="21"/>
                    </w:rPr>
                  </w:pPr>
                  <w:r>
                    <w:rPr>
                      <w:color w:val="auto"/>
                      <w:szCs w:val="21"/>
                    </w:rPr>
                    <w:t>0.32~0.57</w:t>
                  </w:r>
                </w:p>
              </w:tc>
              <w:tc>
                <w:tcPr>
                  <w:tcW w:w="443" w:type="pct"/>
                  <w:tcBorders>
                    <w:top w:val="single" w:color="auto" w:sz="4" w:space="0"/>
                    <w:left w:val="single" w:color="auto" w:sz="4" w:space="0"/>
                    <w:bottom w:val="single" w:color="auto" w:sz="12" w:space="0"/>
                    <w:right w:val="single" w:color="auto" w:sz="4" w:space="0"/>
                  </w:tcBorders>
                  <w:vAlign w:val="center"/>
                </w:tcPr>
                <w:p>
                  <w:pPr>
                    <w:jc w:val="center"/>
                    <w:rPr>
                      <w:color w:val="auto"/>
                      <w:szCs w:val="21"/>
                    </w:rPr>
                  </w:pPr>
                  <w:r>
                    <w:rPr>
                      <w:color w:val="auto"/>
                      <w:szCs w:val="21"/>
                    </w:rPr>
                    <w:t>28.5</w:t>
                  </w:r>
                </w:p>
              </w:tc>
              <w:tc>
                <w:tcPr>
                  <w:tcW w:w="322" w:type="pct"/>
                  <w:tcBorders>
                    <w:top w:val="single" w:color="auto" w:sz="4" w:space="0"/>
                    <w:left w:val="single" w:color="auto" w:sz="4" w:space="0"/>
                    <w:bottom w:val="single" w:color="auto" w:sz="12" w:space="0"/>
                    <w:right w:val="single" w:color="auto" w:sz="4" w:space="0"/>
                  </w:tcBorders>
                  <w:vAlign w:val="center"/>
                </w:tcPr>
                <w:p>
                  <w:pPr>
                    <w:jc w:val="center"/>
                    <w:rPr>
                      <w:color w:val="auto"/>
                      <w:szCs w:val="21"/>
                    </w:rPr>
                  </w:pPr>
                  <w:r>
                    <w:rPr>
                      <w:color w:val="auto"/>
                      <w:szCs w:val="21"/>
                    </w:rPr>
                    <w:t>0</w:t>
                  </w:r>
                </w:p>
              </w:tc>
              <w:tc>
                <w:tcPr>
                  <w:tcW w:w="332" w:type="pct"/>
                  <w:tcBorders>
                    <w:top w:val="single" w:color="auto" w:sz="4" w:space="0"/>
                    <w:left w:val="single" w:color="auto" w:sz="4" w:space="0"/>
                    <w:bottom w:val="single" w:color="auto" w:sz="12" w:space="0"/>
                  </w:tcBorders>
                  <w:vAlign w:val="center"/>
                </w:tcPr>
                <w:p>
                  <w:pPr>
                    <w:adjustRightInd w:val="0"/>
                    <w:snapToGrid w:val="0"/>
                    <w:jc w:val="center"/>
                    <w:rPr>
                      <w:color w:val="auto"/>
                      <w:szCs w:val="21"/>
                    </w:rPr>
                  </w:pPr>
                  <w:r>
                    <w:rPr>
                      <w:color w:val="auto"/>
                      <w:szCs w:val="21"/>
                    </w:rPr>
                    <w:t>达标</w:t>
                  </w:r>
                </w:p>
              </w:tc>
            </w:tr>
          </w:tbl>
          <w:p>
            <w:pPr>
              <w:adjustRightInd w:val="0"/>
              <w:snapToGrid w:val="0"/>
              <w:spacing w:before="120" w:beforeLines="50" w:line="360" w:lineRule="auto"/>
              <w:ind w:firstLine="480" w:firstLineChars="200"/>
              <w:rPr>
                <w:b/>
                <w:bCs/>
                <w:color w:val="auto"/>
                <w:sz w:val="24"/>
              </w:rPr>
            </w:pPr>
            <w:r>
              <w:rPr>
                <w:color w:val="auto"/>
                <w:sz w:val="24"/>
              </w:rPr>
              <w:t>根据表3.1-2可知，项目所在区域其他污染物（非甲烷总烃）环境质量现状满足《大气污染物综合排放标准详解》（国家环境保护局科技标准司）标准限值要求。</w:t>
            </w:r>
          </w:p>
          <w:p>
            <w:pPr>
              <w:wordWrap w:val="0"/>
              <w:adjustRightInd w:val="0"/>
              <w:snapToGrid w:val="0"/>
              <w:spacing w:line="360" w:lineRule="auto"/>
              <w:ind w:firstLine="482" w:firstLineChars="200"/>
              <w:rPr>
                <w:b/>
                <w:bCs/>
                <w:color w:val="auto"/>
                <w:sz w:val="24"/>
              </w:rPr>
            </w:pPr>
            <w:r>
              <w:rPr>
                <w:b/>
                <w:bCs/>
                <w:color w:val="auto"/>
                <w:sz w:val="24"/>
              </w:rPr>
              <w:t>2、地表水环境</w:t>
            </w:r>
          </w:p>
          <w:p>
            <w:pPr>
              <w:wordWrap w:val="0"/>
              <w:adjustRightInd w:val="0"/>
              <w:snapToGrid w:val="0"/>
              <w:spacing w:line="360" w:lineRule="auto"/>
              <w:ind w:firstLine="472" w:firstLineChars="200"/>
              <w:rPr>
                <w:color w:val="auto"/>
                <w:spacing w:val="-2"/>
                <w:kern w:val="28"/>
                <w:sz w:val="24"/>
              </w:rPr>
            </w:pPr>
            <w:r>
              <w:rPr>
                <w:color w:val="auto"/>
                <w:spacing w:val="-2"/>
                <w:kern w:val="28"/>
                <w:sz w:val="24"/>
              </w:rPr>
              <w:t>根据《2024年淮安市生态环境状况公报》，2023年度国省考核的11个国考断面中，年均水质达到或好于Ⅲ类标准的断面9个(Ⅱ类断面4个)，优Ⅲ比例81.8%，达标率100%，无V类和劣V类断面。纳入江苏省“十四五”水环境质量目标考核的57个断面中水质达到或好于IⅢ类标准的断面有53个，优Ⅲ比例93 %，达标率100%，无V类和劣V类断面。</w:t>
            </w:r>
          </w:p>
          <w:p>
            <w:pPr>
              <w:wordWrap w:val="0"/>
              <w:adjustRightInd w:val="0"/>
              <w:snapToGrid w:val="0"/>
              <w:spacing w:line="360" w:lineRule="auto"/>
              <w:ind w:firstLine="472" w:firstLineChars="200"/>
              <w:rPr>
                <w:color w:val="auto"/>
                <w:spacing w:val="-2"/>
                <w:kern w:val="28"/>
                <w:sz w:val="24"/>
              </w:rPr>
            </w:pPr>
            <w:r>
              <w:rPr>
                <w:color w:val="auto"/>
                <w:spacing w:val="-2"/>
                <w:kern w:val="28"/>
                <w:sz w:val="24"/>
              </w:rPr>
              <w:t>本项目废水主要为生活污水，不产生生产废水，生活污水经化粪池处理达标后回用肥田。</w:t>
            </w:r>
          </w:p>
          <w:p>
            <w:pPr>
              <w:wordWrap w:val="0"/>
              <w:adjustRightInd w:val="0"/>
              <w:snapToGrid w:val="0"/>
              <w:spacing w:line="360" w:lineRule="auto"/>
              <w:ind w:firstLine="482" w:firstLineChars="200"/>
              <w:rPr>
                <w:b/>
                <w:color w:val="auto"/>
                <w:sz w:val="24"/>
                <w:lang w:val="zh-CN"/>
              </w:rPr>
            </w:pPr>
            <w:r>
              <w:rPr>
                <w:b/>
                <w:color w:val="auto"/>
                <w:sz w:val="24"/>
                <w:lang w:val="zh-CN"/>
              </w:rPr>
              <w:t>3、声环境</w:t>
            </w:r>
          </w:p>
          <w:bookmarkEnd w:id="31"/>
          <w:bookmarkEnd w:id="32"/>
          <w:bookmarkEnd w:id="33"/>
          <w:bookmarkEnd w:id="34"/>
          <w:bookmarkEnd w:id="35"/>
          <w:p>
            <w:pPr>
              <w:adjustRightInd w:val="0"/>
              <w:snapToGrid w:val="0"/>
              <w:spacing w:line="360" w:lineRule="auto"/>
              <w:ind w:firstLine="482" w:firstLineChars="200"/>
              <w:rPr>
                <w:b/>
                <w:color w:val="auto"/>
                <w:kern w:val="0"/>
                <w:sz w:val="24"/>
                <w:szCs w:val="20"/>
              </w:rPr>
            </w:pPr>
            <w:r>
              <w:rPr>
                <w:b/>
                <w:color w:val="auto"/>
                <w:kern w:val="0"/>
                <w:sz w:val="24"/>
                <w:szCs w:val="20"/>
              </w:rPr>
              <w:t>3.声环境质量现状</w:t>
            </w:r>
          </w:p>
          <w:p>
            <w:pPr>
              <w:widowControl/>
              <w:adjustRightInd w:val="0"/>
              <w:snapToGrid w:val="0"/>
              <w:spacing w:line="360" w:lineRule="auto"/>
              <w:ind w:firstLine="480" w:firstLineChars="200"/>
              <w:jc w:val="left"/>
              <w:rPr>
                <w:color w:val="auto"/>
                <w:sz w:val="24"/>
              </w:rPr>
            </w:pPr>
            <w:r>
              <w:rPr>
                <w:color w:val="auto"/>
                <w:sz w:val="24"/>
              </w:rPr>
              <w:t>根据《2023年淮安市生态环境状况公报》显示，2023年，全市声环境质量总体稳定。区域环境噪声昼间均值为57.4dB（A），全市功能区噪声昼间达标率为85.3%，夜间达标率为77.9%。</w:t>
            </w:r>
          </w:p>
          <w:p>
            <w:pPr>
              <w:widowControl/>
              <w:adjustRightInd w:val="0"/>
              <w:snapToGrid w:val="0"/>
              <w:spacing w:line="360" w:lineRule="auto"/>
              <w:ind w:firstLine="480" w:firstLineChars="200"/>
              <w:jc w:val="left"/>
              <w:rPr>
                <w:color w:val="auto"/>
              </w:rPr>
            </w:pPr>
            <w:r>
              <w:rPr>
                <w:color w:val="auto"/>
                <w:kern w:val="0"/>
                <w:sz w:val="24"/>
                <w:szCs w:val="28"/>
              </w:rPr>
              <w:t>建设项目厂界外周边50米范围内不涉及声环境敏感保护目标，故未进行监测。</w:t>
            </w:r>
          </w:p>
          <w:p>
            <w:pPr>
              <w:wordWrap w:val="0"/>
              <w:spacing w:line="360" w:lineRule="auto"/>
              <w:ind w:firstLine="482" w:firstLineChars="200"/>
              <w:jc w:val="left"/>
              <w:rPr>
                <w:b/>
                <w:color w:val="auto"/>
                <w:sz w:val="24"/>
                <w:lang w:val="zh-CN"/>
              </w:rPr>
            </w:pPr>
            <w:r>
              <w:rPr>
                <w:b/>
                <w:color w:val="auto"/>
                <w:sz w:val="24"/>
              </w:rPr>
              <w:t>4</w:t>
            </w:r>
            <w:r>
              <w:rPr>
                <w:b/>
                <w:color w:val="auto"/>
                <w:sz w:val="24"/>
                <w:lang w:val="zh-CN"/>
              </w:rPr>
              <w:t>、生态环境</w:t>
            </w:r>
          </w:p>
          <w:p>
            <w:pPr>
              <w:widowControl/>
              <w:spacing w:line="360" w:lineRule="auto"/>
              <w:ind w:firstLine="480" w:firstLineChars="200"/>
              <w:jc w:val="left"/>
              <w:rPr>
                <w:color w:val="auto"/>
                <w:sz w:val="24"/>
              </w:rPr>
            </w:pPr>
            <w:r>
              <w:rPr>
                <w:color w:val="auto"/>
                <w:sz w:val="24"/>
              </w:rPr>
              <w:t>本项目位于淮安市淮阴区古清口街道，用地范围内不涉及生态环境保护目标，且</w:t>
            </w:r>
            <w:r>
              <w:rPr>
                <w:color w:val="auto"/>
                <w:kern w:val="0"/>
                <w:sz w:val="24"/>
                <w:lang w:bidi="ar"/>
              </w:rPr>
              <w:t>周围无原始植被生长和珍贵野生动物活动。区域生态系统敏感程度较低，项目的建设实施不会对生物栖息环境造成影响。</w:t>
            </w:r>
            <w:r>
              <w:rPr>
                <w:color w:val="auto"/>
                <w:sz w:val="24"/>
                <w:lang w:val="zh-CN"/>
              </w:rPr>
              <w:t>根据《建设项目环境影响报告表</w:t>
            </w:r>
            <w:r>
              <w:rPr>
                <w:color w:val="auto"/>
                <w:sz w:val="24"/>
              </w:rPr>
              <w:t>编制</w:t>
            </w:r>
            <w:r>
              <w:rPr>
                <w:color w:val="auto"/>
                <w:sz w:val="24"/>
                <w:lang w:val="zh-CN"/>
              </w:rPr>
              <w:t>技术指南（污染影响类）》（试行），</w:t>
            </w:r>
            <w:r>
              <w:rPr>
                <w:color w:val="auto"/>
                <w:sz w:val="24"/>
              </w:rPr>
              <w:t>无需进行生态现状调查。</w:t>
            </w:r>
          </w:p>
          <w:p>
            <w:pPr>
              <w:wordWrap w:val="0"/>
              <w:spacing w:line="360" w:lineRule="auto"/>
              <w:ind w:firstLine="482" w:firstLineChars="200"/>
              <w:rPr>
                <w:b/>
                <w:color w:val="auto"/>
                <w:sz w:val="24"/>
                <w:lang w:val="zh-CN"/>
              </w:rPr>
            </w:pPr>
            <w:r>
              <w:rPr>
                <w:b/>
                <w:color w:val="auto"/>
                <w:sz w:val="24"/>
              </w:rPr>
              <w:t>5、</w:t>
            </w:r>
            <w:r>
              <w:rPr>
                <w:b/>
                <w:color w:val="auto"/>
                <w:sz w:val="24"/>
                <w:lang w:val="zh-CN"/>
              </w:rPr>
              <w:t>电磁辐射</w:t>
            </w:r>
          </w:p>
          <w:p>
            <w:pPr>
              <w:wordWrap w:val="0"/>
              <w:spacing w:line="360" w:lineRule="auto"/>
              <w:ind w:firstLine="480" w:firstLineChars="200"/>
              <w:rPr>
                <w:color w:val="auto"/>
                <w:sz w:val="24"/>
                <w:lang w:val="zh-CN"/>
              </w:rPr>
            </w:pPr>
            <w:r>
              <w:rPr>
                <w:color w:val="auto"/>
                <w:sz w:val="24"/>
                <w:lang w:val="zh-CN"/>
              </w:rPr>
              <w:t>本项目</w:t>
            </w:r>
            <w:r>
              <w:rPr>
                <w:color w:val="auto"/>
                <w:sz w:val="24"/>
              </w:rPr>
              <w:t>不涉及电磁辐射。</w:t>
            </w:r>
          </w:p>
          <w:p>
            <w:pPr>
              <w:wordWrap w:val="0"/>
              <w:spacing w:line="360" w:lineRule="auto"/>
              <w:ind w:firstLine="482" w:firstLineChars="200"/>
              <w:rPr>
                <w:b/>
                <w:color w:val="auto"/>
                <w:sz w:val="24"/>
              </w:rPr>
            </w:pPr>
            <w:r>
              <w:rPr>
                <w:b/>
                <w:color w:val="auto"/>
                <w:sz w:val="24"/>
              </w:rPr>
              <w:t>6、</w:t>
            </w:r>
            <w:r>
              <w:rPr>
                <w:b/>
                <w:color w:val="auto"/>
                <w:sz w:val="24"/>
                <w:lang w:val="zh-CN"/>
              </w:rPr>
              <w:t>地下水、土壤</w:t>
            </w:r>
            <w:r>
              <w:rPr>
                <w:b/>
                <w:color w:val="auto"/>
                <w:sz w:val="24"/>
              </w:rPr>
              <w:t>环境</w:t>
            </w:r>
          </w:p>
          <w:p>
            <w:pPr>
              <w:wordWrap w:val="0"/>
              <w:spacing w:line="360" w:lineRule="auto"/>
              <w:ind w:firstLine="480" w:firstLineChars="200"/>
              <w:jc w:val="left"/>
              <w:rPr>
                <w:color w:val="auto"/>
                <w:kern w:val="0"/>
                <w:sz w:val="24"/>
                <w:lang w:val="zh-CN" w:bidi="ar"/>
              </w:rPr>
            </w:pPr>
            <w:r>
              <w:rPr>
                <w:color w:val="auto"/>
                <w:kern w:val="0"/>
                <w:sz w:val="24"/>
                <w:lang w:bidi="ar"/>
              </w:rPr>
              <w:t>建设项目液态原料均使用密闭桶装，危险废物贮存场所设置导流沟及收集槽收集泄漏物料，配备收容工具收纳泄漏物料。固废的包装容器注意密闭，以免在运输途中发生固废的泄漏，仓库、生产车间等均做好防渗措施，不易对土壤及地下水造成污染，不存在土壤、地下水环境污染途径，</w:t>
            </w:r>
            <w:r>
              <w:rPr>
                <w:color w:val="auto"/>
                <w:kern w:val="0"/>
                <w:sz w:val="24"/>
                <w:lang w:val="zh-CN" w:bidi="ar"/>
              </w:rPr>
              <w:t>根据《建设项目环境影响报告表编制技术指南（污染影响类）》（试行），本项目不开展地下水、土壤环境质量现状调查。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80" w:hRule="atLeast"/>
          <w:jc w:val="center"/>
        </w:trPr>
        <w:tc>
          <w:tcPr>
            <w:tcW w:w="457" w:type="dxa"/>
            <w:vAlign w:val="center"/>
          </w:tcPr>
          <w:p>
            <w:pPr>
              <w:wordWrap w:val="0"/>
              <w:adjustRightInd w:val="0"/>
              <w:snapToGrid w:val="0"/>
              <w:jc w:val="center"/>
              <w:rPr>
                <w:b/>
                <w:bCs/>
                <w:color w:val="auto"/>
                <w:kern w:val="0"/>
                <w:sz w:val="24"/>
              </w:rPr>
            </w:pPr>
            <w:r>
              <w:rPr>
                <w:b/>
                <w:bCs/>
                <w:color w:val="auto"/>
                <w:kern w:val="0"/>
                <w:sz w:val="24"/>
              </w:rPr>
              <w:t>环境</w:t>
            </w:r>
          </w:p>
          <w:p>
            <w:pPr>
              <w:wordWrap w:val="0"/>
              <w:adjustRightInd w:val="0"/>
              <w:snapToGrid w:val="0"/>
              <w:jc w:val="center"/>
              <w:rPr>
                <w:b/>
                <w:bCs/>
                <w:color w:val="auto"/>
                <w:kern w:val="0"/>
                <w:sz w:val="24"/>
              </w:rPr>
            </w:pPr>
            <w:r>
              <w:rPr>
                <w:b/>
                <w:bCs/>
                <w:color w:val="auto"/>
                <w:kern w:val="0"/>
                <w:sz w:val="24"/>
              </w:rPr>
              <w:t>保护</w:t>
            </w:r>
          </w:p>
          <w:p>
            <w:pPr>
              <w:wordWrap w:val="0"/>
              <w:adjustRightInd w:val="0"/>
              <w:snapToGrid w:val="0"/>
              <w:jc w:val="center"/>
              <w:rPr>
                <w:color w:val="auto"/>
                <w:kern w:val="0"/>
                <w:szCs w:val="21"/>
              </w:rPr>
            </w:pPr>
            <w:r>
              <w:rPr>
                <w:b/>
                <w:bCs/>
                <w:color w:val="auto"/>
                <w:kern w:val="0"/>
                <w:sz w:val="24"/>
              </w:rPr>
              <w:t>目标</w:t>
            </w:r>
          </w:p>
        </w:tc>
        <w:tc>
          <w:tcPr>
            <w:tcW w:w="8798" w:type="dxa"/>
          </w:tcPr>
          <w:p>
            <w:pPr>
              <w:wordWrap w:val="0"/>
              <w:spacing w:line="360" w:lineRule="auto"/>
              <w:ind w:firstLine="480" w:firstLineChars="200"/>
              <w:rPr>
                <w:color w:val="auto"/>
                <w:sz w:val="24"/>
              </w:rPr>
            </w:pPr>
            <w:r>
              <w:rPr>
                <w:color w:val="auto"/>
                <w:sz w:val="24"/>
              </w:rPr>
              <w:t>本项目位于淮阴区古清口街道农科村淮三路168号（地理位置见附图1），北侧为长深高速，南侧为王三线，</w:t>
            </w:r>
            <w:r>
              <w:rPr>
                <w:rFonts w:hint="eastAsia"/>
                <w:color w:val="auto"/>
                <w:sz w:val="24"/>
                <w:lang w:eastAsia="zh-CN"/>
              </w:rPr>
              <w:t>西侧为农科村村委会，东侧为淮安昊瑞物流有限公司</w:t>
            </w:r>
            <w:r>
              <w:rPr>
                <w:color w:val="auto"/>
                <w:sz w:val="24"/>
              </w:rPr>
              <w:t>。项目周边状况详见</w:t>
            </w:r>
            <w:r>
              <w:rPr>
                <w:b/>
                <w:bCs/>
                <w:color w:val="auto"/>
                <w:sz w:val="24"/>
              </w:rPr>
              <w:t>附图 2</w:t>
            </w:r>
            <w:r>
              <w:rPr>
                <w:color w:val="auto"/>
                <w:sz w:val="24"/>
              </w:rPr>
              <w:t>，根据建设项目的周边情况，确定主要环境保护目标见表3.2-1。</w:t>
            </w:r>
          </w:p>
          <w:p>
            <w:pPr>
              <w:spacing w:line="360" w:lineRule="auto"/>
              <w:ind w:firstLine="422" w:firstLineChars="200"/>
              <w:jc w:val="center"/>
              <w:rPr>
                <w:b/>
                <w:bCs/>
                <w:color w:val="auto"/>
                <w:szCs w:val="21"/>
              </w:rPr>
            </w:pPr>
            <w:r>
              <w:rPr>
                <w:b/>
                <w:bCs/>
                <w:color w:val="auto"/>
                <w:szCs w:val="21"/>
              </w:rPr>
              <w:t>表 3.2-1 主要环境保护目标</w:t>
            </w:r>
          </w:p>
          <w:tbl>
            <w:tblPr>
              <w:tblStyle w:val="20"/>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5"/>
              <w:gridCol w:w="867"/>
              <w:gridCol w:w="996"/>
              <w:gridCol w:w="2004"/>
              <w:gridCol w:w="989"/>
              <w:gridCol w:w="1219"/>
              <w:gridCol w:w="121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755" w:type="pct"/>
                  <w:vAlign w:val="center"/>
                </w:tcPr>
                <w:p>
                  <w:pPr>
                    <w:widowControl/>
                    <w:jc w:val="center"/>
                    <w:rPr>
                      <w:color w:val="auto"/>
                      <w:szCs w:val="21"/>
                    </w:rPr>
                  </w:pPr>
                  <w:r>
                    <w:rPr>
                      <w:b/>
                      <w:bCs/>
                      <w:color w:val="auto"/>
                      <w:kern w:val="0"/>
                      <w:szCs w:val="21"/>
                      <w:lang w:bidi="ar"/>
                    </w:rPr>
                    <w:t>环境</w:t>
                  </w:r>
                </w:p>
                <w:p>
                  <w:pPr>
                    <w:widowControl/>
                    <w:jc w:val="center"/>
                    <w:rPr>
                      <w:color w:val="auto"/>
                      <w:szCs w:val="21"/>
                    </w:rPr>
                  </w:pPr>
                  <w:r>
                    <w:rPr>
                      <w:b/>
                      <w:bCs/>
                      <w:color w:val="auto"/>
                      <w:kern w:val="0"/>
                      <w:szCs w:val="21"/>
                      <w:lang w:bidi="ar"/>
                    </w:rPr>
                    <w:t>要素</w:t>
                  </w:r>
                </w:p>
              </w:tc>
              <w:tc>
                <w:tcPr>
                  <w:tcW w:w="505" w:type="pct"/>
                  <w:vAlign w:val="center"/>
                </w:tcPr>
                <w:p>
                  <w:pPr>
                    <w:widowControl/>
                    <w:jc w:val="center"/>
                    <w:rPr>
                      <w:color w:val="auto"/>
                      <w:szCs w:val="21"/>
                    </w:rPr>
                  </w:pPr>
                  <w:r>
                    <w:rPr>
                      <w:b/>
                      <w:bCs/>
                      <w:color w:val="auto"/>
                      <w:kern w:val="0"/>
                      <w:szCs w:val="21"/>
                      <w:lang w:bidi="ar"/>
                    </w:rPr>
                    <w:t>保护对象</w:t>
                  </w:r>
                </w:p>
              </w:tc>
              <w:tc>
                <w:tcPr>
                  <w:tcW w:w="580" w:type="pct"/>
                  <w:vAlign w:val="center"/>
                </w:tcPr>
                <w:p>
                  <w:pPr>
                    <w:widowControl/>
                    <w:jc w:val="center"/>
                    <w:rPr>
                      <w:color w:val="auto"/>
                      <w:szCs w:val="21"/>
                    </w:rPr>
                  </w:pPr>
                  <w:r>
                    <w:rPr>
                      <w:b/>
                      <w:bCs/>
                      <w:color w:val="auto"/>
                      <w:kern w:val="0"/>
                      <w:szCs w:val="21"/>
                      <w:lang w:bidi="ar"/>
                    </w:rPr>
                    <w:t>性质</w:t>
                  </w:r>
                </w:p>
              </w:tc>
              <w:tc>
                <w:tcPr>
                  <w:tcW w:w="1167" w:type="pct"/>
                  <w:vAlign w:val="center"/>
                </w:tcPr>
                <w:p>
                  <w:pPr>
                    <w:widowControl/>
                    <w:jc w:val="center"/>
                    <w:rPr>
                      <w:color w:val="auto"/>
                      <w:szCs w:val="21"/>
                    </w:rPr>
                  </w:pPr>
                  <w:r>
                    <w:rPr>
                      <w:b/>
                      <w:bCs/>
                      <w:color w:val="auto"/>
                      <w:kern w:val="0"/>
                      <w:szCs w:val="21"/>
                      <w:lang w:bidi="ar"/>
                    </w:rPr>
                    <w:t>保护内容</w:t>
                  </w:r>
                </w:p>
                <w:p>
                  <w:pPr>
                    <w:widowControl/>
                    <w:jc w:val="center"/>
                    <w:rPr>
                      <w:color w:val="auto"/>
                      <w:szCs w:val="21"/>
                    </w:rPr>
                  </w:pPr>
                  <w:r>
                    <w:rPr>
                      <w:b/>
                      <w:bCs/>
                      <w:color w:val="auto"/>
                      <w:kern w:val="0"/>
                      <w:szCs w:val="21"/>
                      <w:lang w:bidi="ar"/>
                    </w:rPr>
                    <w:t>（人）</w:t>
                  </w:r>
                </w:p>
              </w:tc>
              <w:tc>
                <w:tcPr>
                  <w:tcW w:w="576" w:type="pct"/>
                  <w:vAlign w:val="center"/>
                </w:tcPr>
                <w:p>
                  <w:pPr>
                    <w:widowControl/>
                    <w:jc w:val="center"/>
                    <w:rPr>
                      <w:color w:val="auto"/>
                      <w:szCs w:val="21"/>
                    </w:rPr>
                  </w:pPr>
                  <w:r>
                    <w:rPr>
                      <w:b/>
                      <w:bCs/>
                      <w:color w:val="auto"/>
                      <w:kern w:val="0"/>
                      <w:szCs w:val="21"/>
                      <w:lang w:bidi="ar"/>
                    </w:rPr>
                    <w:t>相对厂址方位</w:t>
                  </w:r>
                </w:p>
              </w:tc>
              <w:tc>
                <w:tcPr>
                  <w:tcW w:w="710" w:type="pct"/>
                  <w:vAlign w:val="center"/>
                </w:tcPr>
                <w:p>
                  <w:pPr>
                    <w:widowControl/>
                    <w:jc w:val="center"/>
                    <w:rPr>
                      <w:color w:val="auto"/>
                      <w:szCs w:val="21"/>
                    </w:rPr>
                  </w:pPr>
                  <w:r>
                    <w:rPr>
                      <w:b/>
                      <w:bCs/>
                      <w:color w:val="auto"/>
                      <w:kern w:val="0"/>
                      <w:szCs w:val="21"/>
                      <w:lang w:bidi="ar"/>
                    </w:rPr>
                    <w:t>相对厂界 距离 (m)</w:t>
                  </w:r>
                </w:p>
              </w:tc>
              <w:tc>
                <w:tcPr>
                  <w:tcW w:w="704" w:type="pct"/>
                  <w:vAlign w:val="center"/>
                </w:tcPr>
                <w:p>
                  <w:pPr>
                    <w:widowControl/>
                    <w:jc w:val="center"/>
                    <w:rPr>
                      <w:color w:val="auto"/>
                      <w:szCs w:val="21"/>
                    </w:rPr>
                  </w:pPr>
                  <w:r>
                    <w:rPr>
                      <w:b/>
                      <w:bCs/>
                      <w:color w:val="auto"/>
                      <w:kern w:val="0"/>
                      <w:szCs w:val="21"/>
                      <w:lang w:bidi="ar"/>
                    </w:rPr>
                    <w:t>环境功能区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755" w:type="pct"/>
                  <w:vAlign w:val="center"/>
                </w:tcPr>
                <w:p>
                  <w:pPr>
                    <w:pStyle w:val="17"/>
                    <w:ind w:firstLine="422"/>
                    <w:jc w:val="center"/>
                    <w:rPr>
                      <w:rFonts w:ascii="Times New Roman" w:cs="Times New Roman"/>
                      <w:color w:val="auto"/>
                      <w:sz w:val="21"/>
                      <w:szCs w:val="21"/>
                    </w:rPr>
                  </w:pPr>
                  <w:r>
                    <w:rPr>
                      <w:rFonts w:ascii="Times New Roman" w:cs="Times New Roman"/>
                      <w:color w:val="auto"/>
                      <w:sz w:val="21"/>
                      <w:szCs w:val="21"/>
                    </w:rPr>
                    <w:t>大气环境</w:t>
                  </w:r>
                </w:p>
              </w:tc>
              <w:tc>
                <w:tcPr>
                  <w:tcW w:w="4244" w:type="pct"/>
                  <w:gridSpan w:val="6"/>
                  <w:vAlign w:val="center"/>
                </w:tcPr>
                <w:p>
                  <w:pPr>
                    <w:widowControl/>
                    <w:jc w:val="center"/>
                    <w:rPr>
                      <w:color w:val="auto"/>
                      <w:szCs w:val="21"/>
                    </w:rPr>
                  </w:pPr>
                  <w:r>
                    <w:rPr>
                      <w:color w:val="auto"/>
                      <w:kern w:val="0"/>
                      <w:szCs w:val="21"/>
                      <w:lang w:bidi="ar"/>
                    </w:rPr>
                    <w:t>项目厂界外 500 米范围内无大气环境保护目标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755" w:type="pct"/>
                  <w:vAlign w:val="center"/>
                </w:tcPr>
                <w:p>
                  <w:pPr>
                    <w:widowControl/>
                    <w:jc w:val="center"/>
                    <w:rPr>
                      <w:color w:val="auto"/>
                      <w:szCs w:val="21"/>
                    </w:rPr>
                  </w:pPr>
                  <w:r>
                    <w:rPr>
                      <w:color w:val="auto"/>
                      <w:kern w:val="0"/>
                      <w:szCs w:val="21"/>
                      <w:lang w:bidi="ar"/>
                    </w:rPr>
                    <w:t>声环境</w:t>
                  </w:r>
                </w:p>
              </w:tc>
              <w:tc>
                <w:tcPr>
                  <w:tcW w:w="4244" w:type="pct"/>
                  <w:gridSpan w:val="6"/>
                  <w:vAlign w:val="center"/>
                </w:tcPr>
                <w:p>
                  <w:pPr>
                    <w:widowControl/>
                    <w:jc w:val="center"/>
                    <w:rPr>
                      <w:color w:val="auto"/>
                      <w:szCs w:val="21"/>
                    </w:rPr>
                  </w:pPr>
                  <w:r>
                    <w:rPr>
                      <w:color w:val="auto"/>
                      <w:kern w:val="0"/>
                      <w:szCs w:val="21"/>
                      <w:lang w:bidi="ar"/>
                    </w:rPr>
                    <w:t>建设项目厂界外50米范围内无声环境保护目标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755" w:type="pct"/>
                  <w:vAlign w:val="center"/>
                </w:tcPr>
                <w:p>
                  <w:pPr>
                    <w:widowControl/>
                    <w:jc w:val="center"/>
                    <w:rPr>
                      <w:color w:val="auto"/>
                      <w:szCs w:val="21"/>
                    </w:rPr>
                  </w:pPr>
                  <w:r>
                    <w:rPr>
                      <w:color w:val="auto"/>
                      <w:kern w:val="0"/>
                      <w:szCs w:val="21"/>
                      <w:lang w:bidi="ar"/>
                    </w:rPr>
                    <w:t>地下水环境</w:t>
                  </w:r>
                </w:p>
              </w:tc>
              <w:tc>
                <w:tcPr>
                  <w:tcW w:w="4244" w:type="pct"/>
                  <w:gridSpan w:val="6"/>
                  <w:vAlign w:val="center"/>
                </w:tcPr>
                <w:p>
                  <w:pPr>
                    <w:widowControl/>
                    <w:jc w:val="center"/>
                    <w:rPr>
                      <w:color w:val="auto"/>
                      <w:szCs w:val="21"/>
                    </w:rPr>
                  </w:pPr>
                  <w:r>
                    <w:rPr>
                      <w:color w:val="auto"/>
                      <w:kern w:val="0"/>
                      <w:szCs w:val="21"/>
                      <w:lang w:bidi="ar"/>
                    </w:rPr>
                    <w:t>厂界外 500 米范围内无地下水集中式饮用水水源和热水、矿泉水、温泉等特殊地下水资源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755" w:type="pct"/>
                  <w:vAlign w:val="center"/>
                </w:tcPr>
                <w:p>
                  <w:pPr>
                    <w:widowControl/>
                    <w:jc w:val="center"/>
                    <w:rPr>
                      <w:color w:val="auto"/>
                      <w:szCs w:val="21"/>
                    </w:rPr>
                  </w:pPr>
                  <w:r>
                    <w:rPr>
                      <w:color w:val="auto"/>
                      <w:kern w:val="0"/>
                      <w:szCs w:val="21"/>
                      <w:lang w:bidi="ar"/>
                    </w:rPr>
                    <w:t>生态环境</w:t>
                  </w:r>
                </w:p>
              </w:tc>
              <w:tc>
                <w:tcPr>
                  <w:tcW w:w="2252" w:type="pct"/>
                  <w:gridSpan w:val="3"/>
                  <w:vAlign w:val="center"/>
                </w:tcPr>
                <w:p>
                  <w:pPr>
                    <w:pStyle w:val="17"/>
                    <w:spacing w:line="240" w:lineRule="auto"/>
                    <w:ind w:firstLine="0" w:firstLineChars="0"/>
                    <w:jc w:val="center"/>
                    <w:rPr>
                      <w:rFonts w:ascii="Times New Roman" w:cs="Times New Roman"/>
                      <w:color w:val="auto"/>
                      <w:sz w:val="21"/>
                      <w:szCs w:val="21"/>
                    </w:rPr>
                  </w:pPr>
                  <w:r>
                    <w:rPr>
                      <w:rFonts w:ascii="Times New Roman" w:cs="Times New Roman"/>
                      <w:color w:val="auto"/>
                      <w:sz w:val="21"/>
                      <w:szCs w:val="21"/>
                    </w:rPr>
                    <w:t>淮沭河洪水调蓄区</w:t>
                  </w:r>
                </w:p>
              </w:tc>
              <w:tc>
                <w:tcPr>
                  <w:tcW w:w="576" w:type="pct"/>
                  <w:vAlign w:val="center"/>
                </w:tcPr>
                <w:p>
                  <w:pPr>
                    <w:pStyle w:val="17"/>
                    <w:spacing w:line="240" w:lineRule="auto"/>
                    <w:ind w:firstLine="0" w:firstLineChars="0"/>
                    <w:jc w:val="center"/>
                    <w:rPr>
                      <w:rFonts w:ascii="Times New Roman" w:cs="Times New Roman"/>
                      <w:color w:val="auto"/>
                      <w:sz w:val="21"/>
                      <w:szCs w:val="21"/>
                    </w:rPr>
                  </w:pPr>
                  <w:r>
                    <w:rPr>
                      <w:rFonts w:ascii="Times New Roman" w:cs="Times New Roman"/>
                      <w:color w:val="auto"/>
                      <w:sz w:val="21"/>
                      <w:szCs w:val="21"/>
                    </w:rPr>
                    <w:t>E</w:t>
                  </w:r>
                </w:p>
              </w:tc>
              <w:tc>
                <w:tcPr>
                  <w:tcW w:w="710" w:type="pct"/>
                  <w:vAlign w:val="center"/>
                </w:tcPr>
                <w:p>
                  <w:pPr>
                    <w:pStyle w:val="17"/>
                    <w:spacing w:line="240" w:lineRule="auto"/>
                    <w:ind w:firstLine="0" w:firstLineChars="0"/>
                    <w:jc w:val="center"/>
                    <w:rPr>
                      <w:rFonts w:ascii="Times New Roman" w:cs="Times New Roman"/>
                      <w:color w:val="auto"/>
                      <w:sz w:val="21"/>
                      <w:szCs w:val="21"/>
                    </w:rPr>
                  </w:pPr>
                  <w:r>
                    <w:rPr>
                      <w:rFonts w:ascii="Times New Roman" w:cs="Times New Roman"/>
                      <w:color w:val="auto"/>
                      <w:kern w:val="0"/>
                      <w:sz w:val="21"/>
                      <w:szCs w:val="21"/>
                      <w:lang w:bidi="ar"/>
                    </w:rPr>
                    <w:t>1706</w:t>
                  </w:r>
                </w:p>
              </w:tc>
              <w:tc>
                <w:tcPr>
                  <w:tcW w:w="704" w:type="pct"/>
                  <w:vAlign w:val="center"/>
                </w:tcPr>
                <w:p>
                  <w:pPr>
                    <w:pStyle w:val="17"/>
                    <w:spacing w:line="240" w:lineRule="auto"/>
                    <w:ind w:firstLine="0" w:firstLineChars="0"/>
                    <w:jc w:val="center"/>
                    <w:rPr>
                      <w:rFonts w:ascii="Times New Roman" w:cs="Times New Roman"/>
                      <w:color w:val="auto"/>
                      <w:sz w:val="21"/>
                      <w:szCs w:val="21"/>
                    </w:rPr>
                  </w:pPr>
                  <w:r>
                    <w:rPr>
                      <w:rFonts w:ascii="Times New Roman" w:cs="Times New Roman"/>
                      <w:color w:val="auto"/>
                      <w:sz w:val="21"/>
                      <w:szCs w:val="21"/>
                    </w:rPr>
                    <w:t>洪水调蓄区</w:t>
                  </w:r>
                </w:p>
              </w:tc>
            </w:tr>
          </w:tbl>
          <w:p>
            <w:pPr>
              <w:wordWrap w:val="0"/>
              <w:spacing w:line="360" w:lineRule="auto"/>
              <w:rPr>
                <w:color w:val="auto"/>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457" w:type="dxa"/>
            <w:tcMar>
              <w:left w:w="28" w:type="dxa"/>
              <w:right w:w="28" w:type="dxa"/>
            </w:tcMar>
            <w:vAlign w:val="center"/>
          </w:tcPr>
          <w:p>
            <w:pPr>
              <w:wordWrap w:val="0"/>
              <w:adjustRightInd w:val="0"/>
              <w:snapToGrid w:val="0"/>
              <w:jc w:val="center"/>
              <w:rPr>
                <w:b/>
                <w:bCs/>
                <w:color w:val="auto"/>
                <w:kern w:val="0"/>
                <w:sz w:val="24"/>
              </w:rPr>
            </w:pPr>
            <w:r>
              <w:rPr>
                <w:b/>
                <w:bCs/>
                <w:color w:val="auto"/>
                <w:kern w:val="0"/>
                <w:sz w:val="24"/>
              </w:rPr>
              <w:t>污染</w:t>
            </w:r>
          </w:p>
          <w:p>
            <w:pPr>
              <w:wordWrap w:val="0"/>
              <w:adjustRightInd w:val="0"/>
              <w:snapToGrid w:val="0"/>
              <w:jc w:val="center"/>
              <w:rPr>
                <w:b/>
                <w:bCs/>
                <w:color w:val="auto"/>
                <w:kern w:val="0"/>
                <w:sz w:val="24"/>
              </w:rPr>
            </w:pPr>
            <w:r>
              <w:rPr>
                <w:b/>
                <w:bCs/>
                <w:color w:val="auto"/>
                <w:kern w:val="0"/>
                <w:sz w:val="24"/>
              </w:rPr>
              <w:t>物排</w:t>
            </w:r>
          </w:p>
          <w:p>
            <w:pPr>
              <w:wordWrap w:val="0"/>
              <w:adjustRightInd w:val="0"/>
              <w:snapToGrid w:val="0"/>
              <w:jc w:val="center"/>
              <w:rPr>
                <w:b/>
                <w:bCs/>
                <w:color w:val="auto"/>
                <w:kern w:val="0"/>
                <w:sz w:val="24"/>
              </w:rPr>
            </w:pPr>
            <w:r>
              <w:rPr>
                <w:b/>
                <w:bCs/>
                <w:color w:val="auto"/>
                <w:kern w:val="0"/>
                <w:sz w:val="24"/>
              </w:rPr>
              <w:t>放控</w:t>
            </w:r>
          </w:p>
          <w:p>
            <w:pPr>
              <w:wordWrap w:val="0"/>
              <w:adjustRightInd w:val="0"/>
              <w:snapToGrid w:val="0"/>
              <w:jc w:val="center"/>
              <w:rPr>
                <w:b/>
                <w:bCs/>
                <w:color w:val="auto"/>
                <w:kern w:val="0"/>
                <w:sz w:val="24"/>
              </w:rPr>
            </w:pPr>
            <w:r>
              <w:rPr>
                <w:b/>
                <w:bCs/>
                <w:color w:val="auto"/>
                <w:kern w:val="0"/>
                <w:sz w:val="24"/>
              </w:rPr>
              <w:t>制标</w:t>
            </w:r>
          </w:p>
          <w:p>
            <w:pPr>
              <w:wordWrap w:val="0"/>
              <w:adjustRightInd w:val="0"/>
              <w:snapToGrid w:val="0"/>
              <w:jc w:val="center"/>
              <w:rPr>
                <w:color w:val="auto"/>
                <w:kern w:val="0"/>
                <w:szCs w:val="21"/>
              </w:rPr>
            </w:pPr>
            <w:r>
              <w:rPr>
                <w:b/>
                <w:bCs/>
                <w:color w:val="auto"/>
                <w:kern w:val="0"/>
                <w:sz w:val="24"/>
              </w:rPr>
              <w:t>准</w:t>
            </w:r>
          </w:p>
        </w:tc>
        <w:tc>
          <w:tcPr>
            <w:tcW w:w="8798" w:type="dxa"/>
            <w:vAlign w:val="center"/>
          </w:tcPr>
          <w:p>
            <w:pPr>
              <w:wordWrap w:val="0"/>
              <w:spacing w:line="360" w:lineRule="auto"/>
              <w:ind w:firstLine="482" w:firstLineChars="200"/>
              <w:jc w:val="left"/>
              <w:rPr>
                <w:b/>
                <w:color w:val="auto"/>
                <w:sz w:val="24"/>
                <w:lang w:val="zh-CN"/>
              </w:rPr>
            </w:pPr>
            <w:r>
              <w:rPr>
                <w:b/>
                <w:color w:val="auto"/>
                <w:sz w:val="24"/>
              </w:rPr>
              <w:t>1、</w:t>
            </w:r>
            <w:r>
              <w:rPr>
                <w:b/>
                <w:color w:val="auto"/>
                <w:sz w:val="24"/>
                <w:lang w:val="zh-CN"/>
              </w:rPr>
              <w:t>废气排放标准</w:t>
            </w:r>
          </w:p>
          <w:p>
            <w:pPr>
              <w:pStyle w:val="31"/>
              <w:wordWrap w:val="0"/>
              <w:ind w:firstLine="480"/>
              <w:rPr>
                <w:color w:val="auto"/>
                <w:sz w:val="24"/>
                <w:szCs w:val="24"/>
              </w:rPr>
            </w:pPr>
            <w:r>
              <w:rPr>
                <w:color w:val="auto"/>
                <w:sz w:val="24"/>
                <w:szCs w:val="24"/>
              </w:rPr>
              <w:t>施工期：本项目施工期废气执行《施工场地扬尘排放标准》（DB32/4437-2022）表1中浓度限值，具体见表3.3-1。</w:t>
            </w:r>
          </w:p>
          <w:p>
            <w:pPr>
              <w:pStyle w:val="31"/>
              <w:wordWrap w:val="0"/>
              <w:ind w:firstLine="0" w:firstLineChars="0"/>
              <w:jc w:val="center"/>
              <w:rPr>
                <w:color w:val="auto"/>
                <w:sz w:val="24"/>
                <w:szCs w:val="24"/>
              </w:rPr>
            </w:pPr>
            <w:r>
              <w:rPr>
                <w:b/>
                <w:bCs/>
                <w:color w:val="auto"/>
                <w:kern w:val="2"/>
                <w:szCs w:val="21"/>
              </w:rPr>
              <w:t>表3.3-1 施工场地扬尘排放浓度限值</w:t>
            </w:r>
          </w:p>
          <w:tbl>
            <w:tblPr>
              <w:tblStyle w:val="20"/>
              <w:tblW w:w="5000" w:type="pct"/>
              <w:jc w:val="center"/>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autofit"/>
              <w:tblCellMar>
                <w:top w:w="0" w:type="dxa"/>
                <w:left w:w="0" w:type="dxa"/>
                <w:bottom w:w="0" w:type="dxa"/>
                <w:right w:w="0" w:type="dxa"/>
              </w:tblCellMar>
            </w:tblPr>
            <w:tblGrid>
              <w:gridCol w:w="1751"/>
              <w:gridCol w:w="6831"/>
            </w:tblGrid>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1020" w:type="pct"/>
                  <w:tcBorders>
                    <w:top w:val="single" w:color="000000" w:sz="12" w:space="0"/>
                    <w:left w:val="nil"/>
                    <w:bottom w:val="single" w:color="000000" w:sz="4" w:space="0"/>
                    <w:right w:val="single" w:color="000000" w:sz="4" w:space="0"/>
                  </w:tcBorders>
                  <w:vAlign w:val="center"/>
                </w:tcPr>
                <w:p>
                  <w:pPr>
                    <w:pStyle w:val="28"/>
                    <w:wordWrap w:val="0"/>
                    <w:jc w:val="center"/>
                    <w:rPr>
                      <w:rFonts w:ascii="Times New Roman" w:hAnsi="Times New Roman"/>
                      <w:b/>
                      <w:color w:val="auto"/>
                      <w:sz w:val="21"/>
                      <w:szCs w:val="21"/>
                    </w:rPr>
                  </w:pPr>
                  <w:r>
                    <w:rPr>
                      <w:rFonts w:ascii="Times New Roman" w:hAnsi="Times New Roman"/>
                      <w:b/>
                      <w:color w:val="auto"/>
                      <w:sz w:val="21"/>
                      <w:szCs w:val="21"/>
                    </w:rPr>
                    <w:t>污染物</w:t>
                  </w:r>
                </w:p>
              </w:tc>
              <w:tc>
                <w:tcPr>
                  <w:tcW w:w="3979" w:type="pct"/>
                  <w:tcBorders>
                    <w:top w:val="single" w:color="000000" w:sz="12" w:space="0"/>
                    <w:left w:val="single" w:color="000000" w:sz="4" w:space="0"/>
                    <w:bottom w:val="single" w:color="000000" w:sz="4" w:space="0"/>
                    <w:right w:val="nil"/>
                  </w:tcBorders>
                  <w:vAlign w:val="center"/>
                </w:tcPr>
                <w:p>
                  <w:pPr>
                    <w:pStyle w:val="28"/>
                    <w:wordWrap w:val="0"/>
                    <w:jc w:val="center"/>
                    <w:rPr>
                      <w:rFonts w:ascii="Times New Roman" w:hAnsi="Times New Roman"/>
                      <w:b/>
                      <w:color w:val="auto"/>
                      <w:sz w:val="21"/>
                      <w:szCs w:val="21"/>
                      <w:lang w:eastAsia="zh-CN"/>
                    </w:rPr>
                  </w:pPr>
                  <w:r>
                    <w:rPr>
                      <w:rFonts w:ascii="Times New Roman" w:hAnsi="Times New Roman"/>
                      <w:b/>
                      <w:color w:val="auto"/>
                      <w:sz w:val="21"/>
                      <w:szCs w:val="21"/>
                      <w:lang w:eastAsia="zh-CN"/>
                    </w:rPr>
                    <w:t>浓度限值（μg/m</w:t>
                  </w:r>
                  <w:r>
                    <w:rPr>
                      <w:rFonts w:ascii="Times New Roman" w:hAnsi="Times New Roman"/>
                      <w:b/>
                      <w:color w:val="auto"/>
                      <w:sz w:val="21"/>
                      <w:szCs w:val="21"/>
                      <w:vertAlign w:val="superscript"/>
                      <w:lang w:eastAsia="zh-CN"/>
                    </w:rPr>
                    <w:t>3</w:t>
                  </w:r>
                  <w:r>
                    <w:rPr>
                      <w:rFonts w:ascii="Times New Roman" w:hAnsi="Times New Roman"/>
                      <w:b/>
                      <w:color w:val="auto"/>
                      <w:sz w:val="21"/>
                      <w:szCs w:val="21"/>
                      <w:lang w:eastAsia="zh-CN"/>
                    </w:rPr>
                    <w:t>）</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1020" w:type="pct"/>
                  <w:tcBorders>
                    <w:top w:val="single" w:color="000000" w:sz="4" w:space="0"/>
                    <w:left w:val="nil"/>
                    <w:bottom w:val="single" w:color="auto" w:sz="4" w:space="0"/>
                    <w:right w:val="single" w:color="000000" w:sz="4" w:space="0"/>
                  </w:tcBorders>
                  <w:vAlign w:val="center"/>
                </w:tcPr>
                <w:p>
                  <w:pPr>
                    <w:pStyle w:val="32"/>
                    <w:wordWrap w:val="0"/>
                    <w:spacing w:beforeLines="0" w:afterLines="0" w:line="240" w:lineRule="auto"/>
                    <w:rPr>
                      <w:rFonts w:ascii="Times New Roman"/>
                      <w:color w:val="auto"/>
                      <w:szCs w:val="21"/>
                    </w:rPr>
                  </w:pPr>
                  <w:r>
                    <w:rPr>
                      <w:rFonts w:ascii="Times New Roman"/>
                      <w:color w:val="auto"/>
                      <w:szCs w:val="21"/>
                    </w:rPr>
                    <w:t>TSP</w:t>
                  </w:r>
                  <w:r>
                    <w:rPr>
                      <w:rFonts w:ascii="Times New Roman"/>
                      <w:color w:val="auto"/>
                      <w:szCs w:val="21"/>
                      <w:vertAlign w:val="superscript"/>
                    </w:rPr>
                    <w:t>a</w:t>
                  </w:r>
                </w:p>
              </w:tc>
              <w:tc>
                <w:tcPr>
                  <w:tcW w:w="3979" w:type="pct"/>
                  <w:tcBorders>
                    <w:top w:val="single" w:color="000000" w:sz="4" w:space="0"/>
                    <w:left w:val="single" w:color="000000" w:sz="4" w:space="0"/>
                    <w:bottom w:val="single" w:color="auto" w:sz="4" w:space="0"/>
                    <w:right w:val="nil"/>
                  </w:tcBorders>
                  <w:vAlign w:val="center"/>
                </w:tcPr>
                <w:p>
                  <w:pPr>
                    <w:pStyle w:val="28"/>
                    <w:wordWrap w:val="0"/>
                    <w:jc w:val="center"/>
                    <w:rPr>
                      <w:rFonts w:ascii="Times New Roman" w:hAnsi="Times New Roman"/>
                      <w:color w:val="auto"/>
                      <w:sz w:val="21"/>
                      <w:szCs w:val="21"/>
                      <w:lang w:eastAsia="zh-CN"/>
                    </w:rPr>
                  </w:pPr>
                  <w:r>
                    <w:rPr>
                      <w:rFonts w:ascii="Times New Roman" w:hAnsi="Times New Roman"/>
                      <w:color w:val="auto"/>
                      <w:sz w:val="21"/>
                      <w:szCs w:val="21"/>
                      <w:lang w:eastAsia="zh-CN"/>
                    </w:rPr>
                    <w:t>500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1020" w:type="pct"/>
                  <w:tcBorders>
                    <w:top w:val="single" w:color="auto" w:sz="4" w:space="0"/>
                    <w:left w:val="nil"/>
                    <w:bottom w:val="single" w:color="auto" w:sz="4" w:space="0"/>
                    <w:right w:val="single" w:color="000000" w:sz="4" w:space="0"/>
                  </w:tcBorders>
                  <w:vAlign w:val="center"/>
                </w:tcPr>
                <w:p>
                  <w:pPr>
                    <w:pStyle w:val="32"/>
                    <w:wordWrap w:val="0"/>
                    <w:spacing w:beforeLines="0" w:afterLines="0" w:line="240" w:lineRule="auto"/>
                    <w:rPr>
                      <w:rFonts w:ascii="Times New Roman"/>
                      <w:color w:val="auto"/>
                      <w:szCs w:val="21"/>
                    </w:rPr>
                  </w:pPr>
                  <w:r>
                    <w:rPr>
                      <w:rFonts w:ascii="Times New Roman"/>
                      <w:color w:val="auto"/>
                      <w:szCs w:val="21"/>
                    </w:rPr>
                    <w:t>PM</w:t>
                  </w:r>
                  <w:r>
                    <w:rPr>
                      <w:rFonts w:ascii="Times New Roman"/>
                      <w:color w:val="auto"/>
                      <w:szCs w:val="21"/>
                      <w:vertAlign w:val="subscript"/>
                    </w:rPr>
                    <w:t>10</w:t>
                  </w:r>
                  <w:r>
                    <w:rPr>
                      <w:rFonts w:ascii="Times New Roman"/>
                      <w:color w:val="auto"/>
                      <w:szCs w:val="21"/>
                      <w:vertAlign w:val="superscript"/>
                    </w:rPr>
                    <w:t>b</w:t>
                  </w:r>
                </w:p>
              </w:tc>
              <w:tc>
                <w:tcPr>
                  <w:tcW w:w="3979" w:type="pct"/>
                  <w:tcBorders>
                    <w:top w:val="single" w:color="auto" w:sz="4" w:space="0"/>
                    <w:left w:val="single" w:color="000000" w:sz="4" w:space="0"/>
                    <w:bottom w:val="single" w:color="auto" w:sz="4" w:space="0"/>
                    <w:right w:val="nil"/>
                  </w:tcBorders>
                  <w:vAlign w:val="center"/>
                </w:tcPr>
                <w:p>
                  <w:pPr>
                    <w:pStyle w:val="28"/>
                    <w:wordWrap w:val="0"/>
                    <w:jc w:val="center"/>
                    <w:rPr>
                      <w:rFonts w:ascii="Times New Roman" w:hAnsi="Times New Roman"/>
                      <w:color w:val="auto"/>
                      <w:sz w:val="21"/>
                      <w:szCs w:val="21"/>
                      <w:lang w:eastAsia="zh-CN"/>
                    </w:rPr>
                  </w:pPr>
                  <w:r>
                    <w:rPr>
                      <w:rFonts w:ascii="Times New Roman" w:hAnsi="Times New Roman"/>
                      <w:color w:val="auto"/>
                      <w:sz w:val="21"/>
                      <w:szCs w:val="21"/>
                      <w:lang w:eastAsia="zh-CN"/>
                    </w:rPr>
                    <w:t>80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5000" w:type="pct"/>
                  <w:gridSpan w:val="2"/>
                  <w:tcBorders>
                    <w:top w:val="single" w:color="auto" w:sz="4" w:space="0"/>
                    <w:left w:val="nil"/>
                    <w:bottom w:val="single" w:color="auto" w:sz="12" w:space="0"/>
                    <w:right w:val="nil"/>
                  </w:tcBorders>
                  <w:vAlign w:val="center"/>
                </w:tcPr>
                <w:p>
                  <w:pPr>
                    <w:pStyle w:val="28"/>
                    <w:ind w:firstLine="420" w:firstLineChars="200"/>
                    <w:rPr>
                      <w:rFonts w:ascii="Times New Roman" w:hAnsi="Times New Roman"/>
                      <w:color w:val="auto"/>
                      <w:sz w:val="21"/>
                      <w:szCs w:val="21"/>
                      <w:lang w:eastAsia="zh-CN"/>
                    </w:rPr>
                  </w:pPr>
                  <w:r>
                    <w:rPr>
                      <w:rFonts w:ascii="Times New Roman" w:hAnsi="Times New Roman"/>
                      <w:color w:val="auto"/>
                      <w:sz w:val="21"/>
                      <w:szCs w:val="21"/>
                      <w:lang w:eastAsia="zh-CN"/>
                    </w:rPr>
                    <w:t>a.任一监控点（TSP 自动监测）自整时起依次顺延15min 的总悬浮颗粒物浓度平均值不应超过的限值。根据HJ 633 判定设区市AQI 在200~300 之间且首要污染物为PM</w:t>
                  </w:r>
                  <w:r>
                    <w:rPr>
                      <w:rFonts w:ascii="Times New Roman" w:hAnsi="Times New Roman"/>
                      <w:color w:val="auto"/>
                      <w:sz w:val="21"/>
                      <w:szCs w:val="21"/>
                      <w:vertAlign w:val="subscript"/>
                      <w:lang w:eastAsia="zh-CN"/>
                    </w:rPr>
                    <w:t>10</w:t>
                  </w:r>
                  <w:r>
                    <w:rPr>
                      <w:rFonts w:ascii="Times New Roman" w:hAnsi="Times New Roman"/>
                      <w:color w:val="auto"/>
                      <w:sz w:val="21"/>
                      <w:szCs w:val="21"/>
                      <w:lang w:eastAsia="zh-CN"/>
                    </w:rPr>
                    <w:t xml:space="preserve"> 或PM</w:t>
                  </w:r>
                  <w:r>
                    <w:rPr>
                      <w:rFonts w:ascii="Times New Roman" w:hAnsi="Times New Roman"/>
                      <w:color w:val="auto"/>
                      <w:sz w:val="21"/>
                      <w:szCs w:val="21"/>
                      <w:vertAlign w:val="subscript"/>
                      <w:lang w:eastAsia="zh-CN"/>
                    </w:rPr>
                    <w:t>2.5</w:t>
                  </w:r>
                  <w:r>
                    <w:rPr>
                      <w:rFonts w:ascii="Times New Roman" w:hAnsi="Times New Roman"/>
                      <w:color w:val="auto"/>
                      <w:sz w:val="21"/>
                      <w:szCs w:val="21"/>
                      <w:lang w:eastAsia="zh-CN"/>
                    </w:rPr>
                    <w:t xml:space="preserve"> 时，TSP 实测值扣除200μg/m</w:t>
                  </w:r>
                  <w:r>
                    <w:rPr>
                      <w:rFonts w:ascii="Times New Roman" w:hAnsi="Times New Roman"/>
                      <w:color w:val="auto"/>
                      <w:sz w:val="21"/>
                      <w:szCs w:val="21"/>
                      <w:vertAlign w:val="superscript"/>
                      <w:lang w:eastAsia="zh-CN"/>
                    </w:rPr>
                    <w:t>3</w:t>
                  </w:r>
                  <w:r>
                    <w:rPr>
                      <w:rFonts w:ascii="Times New Roman" w:hAnsi="Times New Roman"/>
                      <w:color w:val="auto"/>
                      <w:sz w:val="21"/>
                      <w:szCs w:val="21"/>
                      <w:lang w:eastAsia="zh-CN"/>
                    </w:rPr>
                    <w:t xml:space="preserve"> 后再进行评价。</w:t>
                  </w:r>
                </w:p>
                <w:p>
                  <w:pPr>
                    <w:pStyle w:val="28"/>
                    <w:wordWrap w:val="0"/>
                    <w:ind w:firstLine="420" w:firstLineChars="200"/>
                    <w:rPr>
                      <w:rFonts w:ascii="Times New Roman" w:hAnsi="Times New Roman"/>
                      <w:color w:val="auto"/>
                      <w:sz w:val="21"/>
                      <w:szCs w:val="21"/>
                      <w:lang w:eastAsia="zh-CN"/>
                    </w:rPr>
                  </w:pPr>
                  <w:r>
                    <w:rPr>
                      <w:rFonts w:ascii="Times New Roman" w:hAnsi="Times New Roman"/>
                      <w:color w:val="auto"/>
                      <w:sz w:val="21"/>
                      <w:szCs w:val="21"/>
                      <w:lang w:eastAsia="zh-CN"/>
                    </w:rPr>
                    <w:t>b.任一监控点（PM10自动监测）自整时起依次顺延1h 的PM</w:t>
                  </w:r>
                  <w:r>
                    <w:rPr>
                      <w:rFonts w:ascii="Times New Roman" w:hAnsi="Times New Roman"/>
                      <w:color w:val="auto"/>
                      <w:sz w:val="21"/>
                      <w:szCs w:val="21"/>
                      <w:vertAlign w:val="subscript"/>
                      <w:lang w:eastAsia="zh-CN"/>
                    </w:rPr>
                    <w:t>10</w:t>
                  </w:r>
                  <w:r>
                    <w:rPr>
                      <w:rFonts w:ascii="Times New Roman" w:hAnsi="Times New Roman"/>
                      <w:color w:val="auto"/>
                      <w:sz w:val="21"/>
                      <w:szCs w:val="21"/>
                      <w:lang w:eastAsia="zh-CN"/>
                    </w:rPr>
                    <w:t xml:space="preserve"> 浓度平均值与同时段所属设区市PM</w:t>
                  </w:r>
                  <w:r>
                    <w:rPr>
                      <w:rFonts w:ascii="Times New Roman" w:hAnsi="Times New Roman"/>
                      <w:color w:val="auto"/>
                      <w:sz w:val="21"/>
                      <w:szCs w:val="21"/>
                      <w:vertAlign w:val="subscript"/>
                      <w:lang w:eastAsia="zh-CN"/>
                    </w:rPr>
                    <w:t>10</w:t>
                  </w:r>
                  <w:r>
                    <w:rPr>
                      <w:rFonts w:ascii="Times New Roman" w:hAnsi="Times New Roman"/>
                      <w:color w:val="auto"/>
                      <w:sz w:val="21"/>
                      <w:szCs w:val="21"/>
                      <w:lang w:eastAsia="zh-CN"/>
                    </w:rPr>
                    <w:t xml:space="preserve"> 小时平均浓度的差值不应超过的限值。</w:t>
                  </w:r>
                </w:p>
              </w:tc>
            </w:tr>
          </w:tbl>
          <w:p>
            <w:pPr>
              <w:pStyle w:val="31"/>
              <w:wordWrap w:val="0"/>
              <w:ind w:firstLine="480"/>
              <w:rPr>
                <w:color w:val="auto"/>
                <w:sz w:val="24"/>
                <w:szCs w:val="24"/>
              </w:rPr>
            </w:pPr>
            <w:r>
              <w:rPr>
                <w:color w:val="auto"/>
                <w:sz w:val="24"/>
                <w:szCs w:val="24"/>
              </w:rPr>
              <w:t>运营期：</w:t>
            </w:r>
          </w:p>
          <w:p>
            <w:pPr>
              <w:pStyle w:val="31"/>
              <w:wordWrap w:val="0"/>
              <w:ind w:firstLine="480"/>
              <w:rPr>
                <w:b/>
                <w:color w:val="auto"/>
                <w:szCs w:val="21"/>
              </w:rPr>
            </w:pPr>
            <w:r>
              <w:rPr>
                <w:color w:val="auto"/>
                <w:sz w:val="24"/>
                <w:szCs w:val="24"/>
              </w:rPr>
              <w:t>（1）本项目运营期产生的有组织废气主要为</w:t>
            </w:r>
            <w:r>
              <w:rPr>
                <w:color w:val="auto"/>
                <w:sz w:val="24"/>
              </w:rPr>
              <w:t>切割废气G1、打磨废气G4、抛丸废气G5</w:t>
            </w:r>
            <w:r>
              <w:rPr>
                <w:rFonts w:hint="eastAsia"/>
                <w:color w:val="auto"/>
                <w:sz w:val="24"/>
              </w:rPr>
              <w:t>处置后</w:t>
            </w:r>
            <w:r>
              <w:rPr>
                <w:color w:val="auto"/>
                <w:sz w:val="24"/>
                <w:szCs w:val="24"/>
              </w:rPr>
              <w:t>由1根高15m的排气筒（DA001）排放</w:t>
            </w:r>
            <w:r>
              <w:rPr>
                <w:rFonts w:hint="eastAsia"/>
                <w:color w:val="auto"/>
                <w:sz w:val="24"/>
                <w:szCs w:val="24"/>
              </w:rPr>
              <w:t>，</w:t>
            </w:r>
            <w:r>
              <w:rPr>
                <w:color w:val="auto"/>
                <w:sz w:val="24"/>
              </w:rPr>
              <w:t>调漆废气G6、喷漆废气G7、晾干废气G8</w:t>
            </w:r>
            <w:r>
              <w:rPr>
                <w:rFonts w:hint="eastAsia"/>
                <w:color w:val="auto"/>
                <w:sz w:val="24"/>
                <w:lang w:eastAsia="zh-CN"/>
              </w:rPr>
              <w:t>、危废库废气</w:t>
            </w:r>
            <w:r>
              <w:rPr>
                <w:rFonts w:hint="eastAsia"/>
                <w:color w:val="auto"/>
                <w:sz w:val="24"/>
                <w:lang w:val="en-US" w:eastAsia="zh-CN"/>
              </w:rPr>
              <w:t>G9</w:t>
            </w:r>
            <w:r>
              <w:rPr>
                <w:color w:val="auto"/>
                <w:sz w:val="24"/>
                <w:szCs w:val="24"/>
              </w:rPr>
              <w:t>处置后由高15m的排气筒排放（DA002）。DA001排放的颗粒物执行大气污染物综合排放标准（DB32/4041-2021）表 1 规定的大气污染物有组织排放限值，DA002排放的非甲烷总烃及颗粒物执行表面涂装（工程机械和钢结构行业）大气污染物排放标准（DB32/4147-2021）表1排放标准限值；厂界无组织颗粒物及无组织非甲烷总烃执行江苏省地方标准《大气污染物综合排放标准》（DB32/4041-2021）表3，厂区内无组织非甲烷总烃执行《表面涂装（工程机械和钢结构行业）大气污染物排放标准》（DB32/4147-2021）表3。具体排放限值见表3.3-2~4。</w:t>
            </w:r>
          </w:p>
          <w:p>
            <w:pPr>
              <w:wordWrap w:val="0"/>
              <w:adjustRightInd w:val="0"/>
              <w:snapToGrid w:val="0"/>
              <w:jc w:val="center"/>
              <w:rPr>
                <w:b/>
                <w:color w:val="auto"/>
                <w:szCs w:val="21"/>
              </w:rPr>
            </w:pPr>
            <w:r>
              <w:rPr>
                <w:b/>
                <w:color w:val="auto"/>
                <w:szCs w:val="21"/>
              </w:rPr>
              <w:t>表3.3-2 运营期</w:t>
            </w:r>
            <w:r>
              <w:rPr>
                <w:b/>
                <w:bCs/>
                <w:color w:val="auto"/>
                <w:szCs w:val="21"/>
              </w:rPr>
              <w:t>大气污染物排放标准</w:t>
            </w:r>
          </w:p>
          <w:tbl>
            <w:tblPr>
              <w:tblStyle w:val="20"/>
              <w:tblW w:w="4998" w:type="pct"/>
              <w:jc w:val="center"/>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autofit"/>
              <w:tblCellMar>
                <w:top w:w="0" w:type="dxa"/>
                <w:left w:w="0" w:type="dxa"/>
                <w:bottom w:w="0" w:type="dxa"/>
                <w:right w:w="0" w:type="dxa"/>
              </w:tblCellMar>
            </w:tblPr>
            <w:tblGrid>
              <w:gridCol w:w="1183"/>
              <w:gridCol w:w="1140"/>
              <w:gridCol w:w="1275"/>
              <w:gridCol w:w="1536"/>
              <w:gridCol w:w="3445"/>
            </w:tblGrid>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473" w:hRule="atLeast"/>
                <w:jc w:val="center"/>
              </w:trPr>
              <w:tc>
                <w:tcPr>
                  <w:tcW w:w="689" w:type="pct"/>
                  <w:tcBorders>
                    <w:top w:val="single" w:color="000000" w:sz="12" w:space="0"/>
                    <w:left w:val="nil"/>
                    <w:bottom w:val="single" w:color="000000" w:sz="4" w:space="0"/>
                    <w:right w:val="single" w:color="000000" w:sz="4" w:space="0"/>
                  </w:tcBorders>
                  <w:vAlign w:val="center"/>
                </w:tcPr>
                <w:p>
                  <w:pPr>
                    <w:pStyle w:val="28"/>
                    <w:wordWrap w:val="0"/>
                    <w:jc w:val="center"/>
                    <w:rPr>
                      <w:rFonts w:ascii="Times New Roman" w:hAnsi="Times New Roman"/>
                      <w:b/>
                      <w:color w:val="auto"/>
                      <w:sz w:val="21"/>
                      <w:szCs w:val="21"/>
                      <w:lang w:eastAsia="zh-CN"/>
                    </w:rPr>
                  </w:pPr>
                  <w:r>
                    <w:rPr>
                      <w:rFonts w:ascii="Times New Roman" w:hAnsi="Times New Roman"/>
                      <w:b/>
                      <w:color w:val="auto"/>
                      <w:sz w:val="21"/>
                      <w:szCs w:val="21"/>
                      <w:lang w:eastAsia="zh-CN"/>
                    </w:rPr>
                    <w:t>工序</w:t>
                  </w:r>
                </w:p>
              </w:tc>
              <w:tc>
                <w:tcPr>
                  <w:tcW w:w="664" w:type="pct"/>
                  <w:tcBorders>
                    <w:top w:val="single" w:color="000000" w:sz="12" w:space="0"/>
                    <w:left w:val="nil"/>
                    <w:bottom w:val="single" w:color="000000" w:sz="4" w:space="0"/>
                    <w:right w:val="single" w:color="000000" w:sz="4" w:space="0"/>
                  </w:tcBorders>
                  <w:vAlign w:val="center"/>
                </w:tcPr>
                <w:p>
                  <w:pPr>
                    <w:pStyle w:val="28"/>
                    <w:wordWrap w:val="0"/>
                    <w:jc w:val="center"/>
                    <w:rPr>
                      <w:rFonts w:ascii="Times New Roman" w:hAnsi="Times New Roman"/>
                      <w:b/>
                      <w:color w:val="auto"/>
                      <w:sz w:val="21"/>
                      <w:szCs w:val="21"/>
                    </w:rPr>
                  </w:pPr>
                  <w:r>
                    <w:rPr>
                      <w:rFonts w:ascii="Times New Roman" w:hAnsi="Times New Roman"/>
                      <w:b/>
                      <w:color w:val="auto"/>
                      <w:sz w:val="21"/>
                      <w:szCs w:val="21"/>
                    </w:rPr>
                    <w:t>污染物</w:t>
                  </w:r>
                </w:p>
              </w:tc>
              <w:tc>
                <w:tcPr>
                  <w:tcW w:w="743" w:type="pct"/>
                  <w:tcBorders>
                    <w:top w:val="single" w:color="000000" w:sz="12" w:space="0"/>
                    <w:left w:val="single" w:color="000000" w:sz="4" w:space="0"/>
                    <w:bottom w:val="single" w:color="000000" w:sz="4" w:space="0"/>
                    <w:right w:val="single" w:color="000000" w:sz="4" w:space="0"/>
                  </w:tcBorders>
                  <w:vAlign w:val="center"/>
                </w:tcPr>
                <w:p>
                  <w:pPr>
                    <w:pStyle w:val="28"/>
                    <w:wordWrap w:val="0"/>
                    <w:jc w:val="center"/>
                    <w:rPr>
                      <w:rFonts w:ascii="Times New Roman" w:hAnsi="Times New Roman"/>
                      <w:b/>
                      <w:color w:val="auto"/>
                      <w:sz w:val="21"/>
                      <w:szCs w:val="21"/>
                      <w:lang w:eastAsia="zh-CN"/>
                    </w:rPr>
                  </w:pPr>
                  <w:r>
                    <w:rPr>
                      <w:rFonts w:ascii="Times New Roman" w:hAnsi="Times New Roman"/>
                      <w:b/>
                      <w:color w:val="auto"/>
                      <w:sz w:val="21"/>
                      <w:szCs w:val="21"/>
                      <w:lang w:eastAsia="zh-CN"/>
                    </w:rPr>
                    <w:t>最高允许排放浓度（mg/m</w:t>
                  </w:r>
                  <w:r>
                    <w:rPr>
                      <w:rFonts w:ascii="Times New Roman" w:hAnsi="Times New Roman"/>
                      <w:b/>
                      <w:color w:val="auto"/>
                      <w:sz w:val="21"/>
                      <w:szCs w:val="21"/>
                      <w:vertAlign w:val="superscript"/>
                      <w:lang w:eastAsia="zh-CN"/>
                    </w:rPr>
                    <w:t>3</w:t>
                  </w:r>
                  <w:r>
                    <w:rPr>
                      <w:rFonts w:ascii="Times New Roman" w:hAnsi="Times New Roman"/>
                      <w:b/>
                      <w:color w:val="auto"/>
                      <w:sz w:val="21"/>
                      <w:szCs w:val="21"/>
                      <w:lang w:eastAsia="zh-CN"/>
                    </w:rPr>
                    <w:t>）</w:t>
                  </w:r>
                </w:p>
              </w:tc>
              <w:tc>
                <w:tcPr>
                  <w:tcW w:w="895" w:type="pct"/>
                  <w:tcBorders>
                    <w:top w:val="single" w:color="000000" w:sz="12" w:space="0"/>
                    <w:left w:val="single" w:color="000000" w:sz="4" w:space="0"/>
                    <w:bottom w:val="single" w:color="000000" w:sz="4" w:space="0"/>
                    <w:right w:val="single" w:color="000000" w:sz="4" w:space="0"/>
                  </w:tcBorders>
                  <w:vAlign w:val="center"/>
                </w:tcPr>
                <w:p>
                  <w:pPr>
                    <w:pStyle w:val="28"/>
                    <w:wordWrap w:val="0"/>
                    <w:jc w:val="center"/>
                    <w:rPr>
                      <w:rFonts w:ascii="Times New Roman" w:hAnsi="Times New Roman"/>
                      <w:b/>
                      <w:color w:val="auto"/>
                      <w:sz w:val="21"/>
                      <w:szCs w:val="21"/>
                      <w:lang w:eastAsia="zh-CN"/>
                    </w:rPr>
                  </w:pPr>
                  <w:r>
                    <w:rPr>
                      <w:rFonts w:ascii="Times New Roman" w:hAnsi="Times New Roman"/>
                      <w:b/>
                      <w:color w:val="auto"/>
                      <w:sz w:val="21"/>
                      <w:szCs w:val="21"/>
                      <w:lang w:eastAsia="zh-CN"/>
                    </w:rPr>
                    <w:t>最高允许排放速率（kg/h）</w:t>
                  </w:r>
                </w:p>
              </w:tc>
              <w:tc>
                <w:tcPr>
                  <w:tcW w:w="2007" w:type="pct"/>
                  <w:tcBorders>
                    <w:top w:val="single" w:color="000000" w:sz="12" w:space="0"/>
                    <w:left w:val="single" w:color="000000" w:sz="4" w:space="0"/>
                    <w:bottom w:val="single" w:color="000000" w:sz="4" w:space="0"/>
                    <w:right w:val="nil"/>
                  </w:tcBorders>
                  <w:vAlign w:val="center"/>
                </w:tcPr>
                <w:p>
                  <w:pPr>
                    <w:pStyle w:val="28"/>
                    <w:wordWrap w:val="0"/>
                    <w:jc w:val="center"/>
                    <w:rPr>
                      <w:rFonts w:ascii="Times New Roman" w:hAnsi="Times New Roman"/>
                      <w:b/>
                      <w:color w:val="auto"/>
                      <w:sz w:val="21"/>
                      <w:szCs w:val="21"/>
                    </w:rPr>
                  </w:pPr>
                  <w:r>
                    <w:rPr>
                      <w:rFonts w:ascii="Times New Roman" w:hAnsi="Times New Roman"/>
                      <w:b/>
                      <w:color w:val="auto"/>
                      <w:sz w:val="21"/>
                      <w:szCs w:val="21"/>
                    </w:rPr>
                    <w:t>执行标准</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752" w:hRule="atLeast"/>
                <w:jc w:val="center"/>
              </w:trPr>
              <w:tc>
                <w:tcPr>
                  <w:tcW w:w="689" w:type="pct"/>
                  <w:tcBorders>
                    <w:top w:val="single" w:color="000000" w:sz="4" w:space="0"/>
                    <w:left w:val="nil"/>
                    <w:bottom w:val="single" w:color="000000" w:sz="4" w:space="0"/>
                    <w:right w:val="single" w:color="000000" w:sz="4" w:space="0"/>
                  </w:tcBorders>
                  <w:vAlign w:val="center"/>
                </w:tcPr>
                <w:p>
                  <w:pPr>
                    <w:pStyle w:val="32"/>
                    <w:wordWrap w:val="0"/>
                    <w:spacing w:beforeLines="0" w:afterLines="0" w:line="240" w:lineRule="auto"/>
                    <w:rPr>
                      <w:rFonts w:hint="eastAsia" w:ascii="Times New Roman" w:eastAsia="宋体"/>
                      <w:color w:val="auto"/>
                      <w:szCs w:val="21"/>
                      <w:lang w:eastAsia="zh-CN"/>
                    </w:rPr>
                  </w:pPr>
                  <w:r>
                    <w:rPr>
                      <w:rFonts w:ascii="Times New Roman"/>
                      <w:color w:val="auto"/>
                      <w:szCs w:val="21"/>
                    </w:rPr>
                    <w:t>切割</w:t>
                  </w:r>
                  <w:r>
                    <w:rPr>
                      <w:rFonts w:hint="eastAsia" w:ascii="Times New Roman"/>
                      <w:color w:val="auto"/>
                      <w:szCs w:val="21"/>
                      <w:lang w:eastAsia="zh-CN"/>
                    </w:rPr>
                    <w:t>、</w:t>
                  </w:r>
                  <w:r>
                    <w:rPr>
                      <w:rFonts w:ascii="Times New Roman"/>
                      <w:color w:val="auto"/>
                      <w:szCs w:val="21"/>
                    </w:rPr>
                    <w:t>抛丸</w:t>
                  </w:r>
                  <w:r>
                    <w:rPr>
                      <w:rFonts w:hint="eastAsia" w:ascii="Times New Roman"/>
                      <w:color w:val="auto"/>
                      <w:szCs w:val="21"/>
                      <w:lang w:eastAsia="zh-CN"/>
                    </w:rPr>
                    <w:t>、</w:t>
                  </w:r>
                  <w:r>
                    <w:rPr>
                      <w:rFonts w:ascii="Times New Roman"/>
                      <w:color w:val="auto"/>
                      <w:szCs w:val="21"/>
                    </w:rPr>
                    <w:t>焊接</w:t>
                  </w:r>
                  <w:r>
                    <w:rPr>
                      <w:rFonts w:hint="eastAsia" w:ascii="Times New Roman"/>
                      <w:color w:val="auto"/>
                      <w:szCs w:val="21"/>
                      <w:lang w:eastAsia="zh-CN"/>
                    </w:rPr>
                    <w:t>、</w:t>
                  </w:r>
                  <w:r>
                    <w:rPr>
                      <w:rFonts w:ascii="Times New Roman"/>
                      <w:color w:val="auto"/>
                      <w:szCs w:val="21"/>
                    </w:rPr>
                    <w:t>打磨</w:t>
                  </w:r>
                </w:p>
              </w:tc>
              <w:tc>
                <w:tcPr>
                  <w:tcW w:w="664" w:type="pct"/>
                  <w:tcBorders>
                    <w:top w:val="single" w:color="000000" w:sz="4" w:space="0"/>
                    <w:left w:val="nil"/>
                    <w:right w:val="single" w:color="000000" w:sz="4" w:space="0"/>
                  </w:tcBorders>
                  <w:vAlign w:val="center"/>
                </w:tcPr>
                <w:p>
                  <w:pPr>
                    <w:pStyle w:val="32"/>
                    <w:wordWrap w:val="0"/>
                    <w:spacing w:beforeLines="0" w:afterLines="0" w:line="240" w:lineRule="auto"/>
                    <w:rPr>
                      <w:rFonts w:ascii="Times New Roman"/>
                      <w:color w:val="auto"/>
                      <w:szCs w:val="21"/>
                    </w:rPr>
                  </w:pPr>
                  <w:r>
                    <w:rPr>
                      <w:rFonts w:hint="eastAsia" w:ascii="Times New Roman"/>
                      <w:color w:val="auto"/>
                      <w:szCs w:val="21"/>
                    </w:rPr>
                    <w:t>颗粒物</w:t>
                  </w:r>
                </w:p>
              </w:tc>
              <w:tc>
                <w:tcPr>
                  <w:tcW w:w="743" w:type="pct"/>
                  <w:tcBorders>
                    <w:top w:val="single" w:color="000000" w:sz="4" w:space="0"/>
                    <w:left w:val="single" w:color="000000" w:sz="4" w:space="0"/>
                    <w:right w:val="single" w:color="000000" w:sz="4" w:space="0"/>
                  </w:tcBorders>
                  <w:vAlign w:val="center"/>
                </w:tcPr>
                <w:p>
                  <w:pPr>
                    <w:pStyle w:val="28"/>
                    <w:wordWrap w:val="0"/>
                    <w:jc w:val="center"/>
                    <w:rPr>
                      <w:rFonts w:ascii="Times New Roman" w:hAnsi="Times New Roman"/>
                      <w:color w:val="auto"/>
                      <w:sz w:val="21"/>
                      <w:szCs w:val="21"/>
                      <w:lang w:eastAsia="zh-CN"/>
                    </w:rPr>
                  </w:pPr>
                  <w:r>
                    <w:rPr>
                      <w:rFonts w:ascii="Times New Roman" w:hAnsi="Times New Roman"/>
                      <w:color w:val="auto"/>
                      <w:sz w:val="21"/>
                      <w:szCs w:val="21"/>
                      <w:lang w:eastAsia="zh-CN"/>
                    </w:rPr>
                    <w:t>20</w:t>
                  </w:r>
                </w:p>
              </w:tc>
              <w:tc>
                <w:tcPr>
                  <w:tcW w:w="895" w:type="pct"/>
                  <w:tcBorders>
                    <w:top w:val="single" w:color="000000" w:sz="4" w:space="0"/>
                    <w:left w:val="single" w:color="000000" w:sz="4" w:space="0"/>
                    <w:right w:val="single" w:color="000000" w:sz="4" w:space="0"/>
                  </w:tcBorders>
                  <w:vAlign w:val="center"/>
                </w:tcPr>
                <w:p>
                  <w:pPr>
                    <w:pStyle w:val="28"/>
                    <w:wordWrap w:val="0"/>
                    <w:jc w:val="center"/>
                    <w:rPr>
                      <w:rFonts w:ascii="Times New Roman" w:hAnsi="Times New Roman"/>
                      <w:color w:val="auto"/>
                      <w:sz w:val="21"/>
                      <w:szCs w:val="21"/>
                      <w:lang w:eastAsia="zh-CN"/>
                    </w:rPr>
                  </w:pPr>
                  <w:r>
                    <w:rPr>
                      <w:rFonts w:ascii="Times New Roman" w:hAnsi="Times New Roman"/>
                      <w:color w:val="auto"/>
                      <w:sz w:val="21"/>
                      <w:szCs w:val="21"/>
                      <w:lang w:eastAsia="zh-CN"/>
                    </w:rPr>
                    <w:t>1</w:t>
                  </w:r>
                </w:p>
              </w:tc>
              <w:tc>
                <w:tcPr>
                  <w:tcW w:w="2007" w:type="pct"/>
                  <w:tcBorders>
                    <w:top w:val="single" w:color="000000" w:sz="4" w:space="0"/>
                    <w:left w:val="single" w:color="000000" w:sz="4" w:space="0"/>
                    <w:right w:val="nil"/>
                  </w:tcBorders>
                  <w:vAlign w:val="center"/>
                </w:tcPr>
                <w:p>
                  <w:pPr>
                    <w:pStyle w:val="28"/>
                    <w:wordWrap w:val="0"/>
                    <w:jc w:val="center"/>
                    <w:rPr>
                      <w:rFonts w:ascii="Times New Roman" w:hAnsi="Times New Roman"/>
                      <w:color w:val="auto"/>
                      <w:sz w:val="21"/>
                      <w:szCs w:val="21"/>
                      <w:lang w:eastAsia="zh-CN" w:bidi="ar"/>
                    </w:rPr>
                  </w:pPr>
                  <w:r>
                    <w:rPr>
                      <w:rFonts w:ascii="Times New Roman" w:hAnsi="Times New Roman"/>
                      <w:color w:val="auto"/>
                      <w:sz w:val="21"/>
                      <w:szCs w:val="21"/>
                      <w:lang w:eastAsia="zh-CN" w:bidi="ar"/>
                    </w:rPr>
                    <w:t>《大气污染物综合排放标准》（DB324041-2021）表1排放标准限值</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689" w:type="pct"/>
                  <w:vMerge w:val="restart"/>
                  <w:tcBorders>
                    <w:top w:val="single" w:color="000000" w:sz="4" w:space="0"/>
                    <w:left w:val="nil"/>
                    <w:right w:val="single" w:color="000000" w:sz="4" w:space="0"/>
                  </w:tcBorders>
                  <w:vAlign w:val="center"/>
                </w:tcPr>
                <w:p>
                  <w:pPr>
                    <w:pStyle w:val="32"/>
                    <w:wordWrap w:val="0"/>
                    <w:spacing w:beforeLines="0" w:afterLines="0" w:line="240" w:lineRule="auto"/>
                    <w:rPr>
                      <w:rFonts w:hint="eastAsia" w:ascii="Times New Roman" w:eastAsia="宋体"/>
                      <w:color w:val="auto"/>
                      <w:szCs w:val="21"/>
                      <w:lang w:eastAsia="zh-CN"/>
                    </w:rPr>
                  </w:pPr>
                  <w:r>
                    <w:rPr>
                      <w:rFonts w:ascii="Times New Roman"/>
                      <w:color w:val="auto"/>
                      <w:szCs w:val="21"/>
                    </w:rPr>
                    <w:t>喷漆</w:t>
                  </w:r>
                  <w:r>
                    <w:rPr>
                      <w:rFonts w:hint="eastAsia" w:ascii="Times New Roman"/>
                      <w:color w:val="auto"/>
                      <w:szCs w:val="21"/>
                      <w:lang w:eastAsia="zh-CN"/>
                    </w:rPr>
                    <w:t>、调漆、晾干、危废库</w:t>
                  </w:r>
                </w:p>
              </w:tc>
              <w:tc>
                <w:tcPr>
                  <w:tcW w:w="664" w:type="pct"/>
                  <w:tcBorders>
                    <w:left w:val="nil"/>
                    <w:right w:val="single" w:color="000000" w:sz="4" w:space="0"/>
                  </w:tcBorders>
                  <w:vAlign w:val="center"/>
                </w:tcPr>
                <w:p>
                  <w:pPr>
                    <w:pStyle w:val="32"/>
                    <w:wordWrap w:val="0"/>
                    <w:spacing w:beforeLines="0" w:afterLines="0" w:line="240" w:lineRule="auto"/>
                    <w:rPr>
                      <w:rFonts w:ascii="Times New Roman"/>
                      <w:color w:val="auto"/>
                      <w:szCs w:val="21"/>
                    </w:rPr>
                  </w:pPr>
                  <w:r>
                    <w:rPr>
                      <w:rFonts w:ascii="Times New Roman"/>
                      <w:color w:val="auto"/>
                      <w:szCs w:val="21"/>
                    </w:rPr>
                    <w:t>非甲烷总烃</w:t>
                  </w:r>
                </w:p>
              </w:tc>
              <w:tc>
                <w:tcPr>
                  <w:tcW w:w="743" w:type="pct"/>
                  <w:tcBorders>
                    <w:left w:val="single" w:color="000000" w:sz="4" w:space="0"/>
                    <w:right w:val="single" w:color="000000" w:sz="4" w:space="0"/>
                  </w:tcBorders>
                  <w:vAlign w:val="center"/>
                </w:tcPr>
                <w:p>
                  <w:pPr>
                    <w:pStyle w:val="28"/>
                    <w:wordWrap w:val="0"/>
                    <w:jc w:val="center"/>
                    <w:rPr>
                      <w:rFonts w:ascii="Times New Roman" w:hAnsi="Times New Roman"/>
                      <w:color w:val="auto"/>
                      <w:sz w:val="21"/>
                      <w:szCs w:val="21"/>
                      <w:lang w:eastAsia="zh-CN"/>
                    </w:rPr>
                  </w:pPr>
                  <w:r>
                    <w:rPr>
                      <w:rFonts w:ascii="Times New Roman" w:hAnsi="Times New Roman"/>
                      <w:color w:val="auto"/>
                      <w:sz w:val="21"/>
                      <w:szCs w:val="21"/>
                      <w:lang w:eastAsia="zh-CN"/>
                    </w:rPr>
                    <w:t>50</w:t>
                  </w:r>
                </w:p>
              </w:tc>
              <w:tc>
                <w:tcPr>
                  <w:tcW w:w="895" w:type="pct"/>
                  <w:tcBorders>
                    <w:top w:val="single" w:color="000000" w:sz="4" w:space="0"/>
                    <w:left w:val="single" w:color="000000" w:sz="4" w:space="0"/>
                    <w:bottom w:val="single" w:color="000000" w:sz="4" w:space="0"/>
                    <w:right w:val="single" w:color="000000" w:sz="4" w:space="0"/>
                  </w:tcBorders>
                  <w:vAlign w:val="center"/>
                </w:tcPr>
                <w:p>
                  <w:pPr>
                    <w:pStyle w:val="28"/>
                    <w:wordWrap w:val="0"/>
                    <w:jc w:val="center"/>
                    <w:rPr>
                      <w:rFonts w:ascii="Times New Roman" w:hAnsi="Times New Roman"/>
                      <w:color w:val="auto"/>
                      <w:sz w:val="21"/>
                      <w:szCs w:val="21"/>
                      <w:lang w:eastAsia="zh-CN"/>
                    </w:rPr>
                  </w:pPr>
                  <w:r>
                    <w:rPr>
                      <w:rFonts w:ascii="Times New Roman" w:hAnsi="Times New Roman"/>
                      <w:color w:val="auto"/>
                      <w:sz w:val="21"/>
                      <w:szCs w:val="21"/>
                      <w:lang w:eastAsia="zh-CN"/>
                    </w:rPr>
                    <w:t>1.8</w:t>
                  </w:r>
                </w:p>
              </w:tc>
              <w:tc>
                <w:tcPr>
                  <w:tcW w:w="2007" w:type="pct"/>
                  <w:vMerge w:val="restart"/>
                  <w:tcBorders>
                    <w:top w:val="single" w:color="000000" w:sz="4" w:space="0"/>
                    <w:left w:val="single" w:color="000000" w:sz="4" w:space="0"/>
                    <w:right w:val="nil"/>
                  </w:tcBorders>
                  <w:vAlign w:val="center"/>
                </w:tcPr>
                <w:p>
                  <w:pPr>
                    <w:adjustRightInd w:val="0"/>
                    <w:snapToGrid w:val="0"/>
                    <w:jc w:val="center"/>
                    <w:rPr>
                      <w:color w:val="auto"/>
                      <w:szCs w:val="21"/>
                      <w:lang w:bidi="ar"/>
                    </w:rPr>
                  </w:pPr>
                  <w:r>
                    <w:rPr>
                      <w:color w:val="auto"/>
                      <w:szCs w:val="21"/>
                    </w:rPr>
                    <w:t>表面涂装（工程机械和钢结构业）大气污染物排放标准（DB32/4147-2021）表1排放标准限值</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689" w:type="pct"/>
                  <w:vMerge w:val="continue"/>
                  <w:tcBorders>
                    <w:left w:val="nil"/>
                    <w:bottom w:val="single" w:color="000000" w:sz="12" w:space="0"/>
                    <w:right w:val="single" w:color="000000" w:sz="4" w:space="0"/>
                  </w:tcBorders>
                  <w:vAlign w:val="center"/>
                </w:tcPr>
                <w:p>
                  <w:pPr>
                    <w:pStyle w:val="32"/>
                    <w:wordWrap w:val="0"/>
                    <w:spacing w:beforeLines="0" w:afterLines="0" w:line="240" w:lineRule="auto"/>
                    <w:rPr>
                      <w:rFonts w:ascii="Times New Roman"/>
                      <w:color w:val="auto"/>
                      <w:szCs w:val="21"/>
                    </w:rPr>
                  </w:pPr>
                </w:p>
              </w:tc>
              <w:tc>
                <w:tcPr>
                  <w:tcW w:w="664" w:type="pct"/>
                  <w:tcBorders>
                    <w:left w:val="nil"/>
                    <w:bottom w:val="single" w:color="000000" w:sz="12" w:space="0"/>
                    <w:right w:val="single" w:color="000000" w:sz="4" w:space="0"/>
                  </w:tcBorders>
                  <w:vAlign w:val="center"/>
                </w:tcPr>
                <w:p>
                  <w:pPr>
                    <w:pStyle w:val="32"/>
                    <w:wordWrap w:val="0"/>
                    <w:spacing w:beforeLines="0" w:afterLines="0" w:line="240" w:lineRule="auto"/>
                    <w:rPr>
                      <w:rFonts w:ascii="Times New Roman"/>
                      <w:color w:val="auto"/>
                      <w:szCs w:val="21"/>
                    </w:rPr>
                  </w:pPr>
                  <w:r>
                    <w:rPr>
                      <w:rFonts w:ascii="Times New Roman"/>
                      <w:color w:val="auto"/>
                      <w:szCs w:val="21"/>
                    </w:rPr>
                    <w:t>颗粒物</w:t>
                  </w:r>
                </w:p>
              </w:tc>
              <w:tc>
                <w:tcPr>
                  <w:tcW w:w="743" w:type="pct"/>
                  <w:tcBorders>
                    <w:left w:val="single" w:color="000000" w:sz="4" w:space="0"/>
                    <w:bottom w:val="single" w:color="000000" w:sz="12" w:space="0"/>
                    <w:right w:val="single" w:color="000000" w:sz="4" w:space="0"/>
                  </w:tcBorders>
                  <w:vAlign w:val="center"/>
                </w:tcPr>
                <w:p>
                  <w:pPr>
                    <w:pStyle w:val="28"/>
                    <w:wordWrap w:val="0"/>
                    <w:jc w:val="center"/>
                    <w:rPr>
                      <w:rFonts w:ascii="Times New Roman" w:hAnsi="Times New Roman"/>
                      <w:color w:val="auto"/>
                      <w:sz w:val="21"/>
                      <w:szCs w:val="21"/>
                      <w:lang w:eastAsia="zh-CN"/>
                    </w:rPr>
                  </w:pPr>
                  <w:r>
                    <w:rPr>
                      <w:rFonts w:ascii="Times New Roman" w:hAnsi="Times New Roman"/>
                      <w:color w:val="auto"/>
                      <w:sz w:val="21"/>
                      <w:szCs w:val="21"/>
                      <w:lang w:eastAsia="zh-CN"/>
                    </w:rPr>
                    <w:t>10</w:t>
                  </w:r>
                </w:p>
              </w:tc>
              <w:tc>
                <w:tcPr>
                  <w:tcW w:w="895" w:type="pct"/>
                  <w:tcBorders>
                    <w:top w:val="single" w:color="000000" w:sz="4" w:space="0"/>
                    <w:left w:val="single" w:color="000000" w:sz="4" w:space="0"/>
                    <w:bottom w:val="single" w:color="000000" w:sz="12" w:space="0"/>
                    <w:right w:val="single" w:color="000000" w:sz="4" w:space="0"/>
                  </w:tcBorders>
                  <w:vAlign w:val="center"/>
                </w:tcPr>
                <w:p>
                  <w:pPr>
                    <w:pStyle w:val="28"/>
                    <w:wordWrap w:val="0"/>
                    <w:jc w:val="center"/>
                    <w:rPr>
                      <w:rFonts w:ascii="Times New Roman" w:hAnsi="Times New Roman"/>
                      <w:color w:val="auto"/>
                      <w:sz w:val="21"/>
                      <w:szCs w:val="21"/>
                      <w:lang w:eastAsia="zh-CN"/>
                    </w:rPr>
                  </w:pPr>
                  <w:r>
                    <w:rPr>
                      <w:rFonts w:ascii="Times New Roman" w:hAnsi="Times New Roman"/>
                      <w:color w:val="auto"/>
                      <w:sz w:val="21"/>
                      <w:szCs w:val="21"/>
                      <w:lang w:eastAsia="zh-CN"/>
                    </w:rPr>
                    <w:t>0.6</w:t>
                  </w:r>
                </w:p>
              </w:tc>
              <w:tc>
                <w:tcPr>
                  <w:tcW w:w="2007" w:type="pct"/>
                  <w:vMerge w:val="continue"/>
                  <w:tcBorders>
                    <w:left w:val="single" w:color="000000" w:sz="4" w:space="0"/>
                    <w:bottom w:val="single" w:color="000000" w:sz="12" w:space="0"/>
                    <w:right w:val="nil"/>
                  </w:tcBorders>
                  <w:vAlign w:val="center"/>
                </w:tcPr>
                <w:p>
                  <w:pPr>
                    <w:pStyle w:val="28"/>
                    <w:wordWrap w:val="0"/>
                    <w:jc w:val="center"/>
                    <w:rPr>
                      <w:rFonts w:ascii="Times New Roman" w:hAnsi="Times New Roman"/>
                      <w:color w:val="auto"/>
                      <w:sz w:val="21"/>
                      <w:szCs w:val="21"/>
                      <w:lang w:eastAsia="zh-CN" w:bidi="ar"/>
                    </w:rPr>
                  </w:pPr>
                </w:p>
              </w:tc>
            </w:tr>
          </w:tbl>
          <w:p>
            <w:pPr>
              <w:wordWrap w:val="0"/>
              <w:adjustRightInd w:val="0"/>
              <w:snapToGrid w:val="0"/>
              <w:spacing w:line="360" w:lineRule="auto"/>
              <w:jc w:val="center"/>
              <w:rPr>
                <w:b/>
                <w:color w:val="auto"/>
                <w:szCs w:val="21"/>
              </w:rPr>
            </w:pPr>
            <w:r>
              <w:rPr>
                <w:b/>
                <w:color w:val="auto"/>
                <w:szCs w:val="21"/>
              </w:rPr>
              <w:t>表3.3-3 大气污染物无组织排放标准</w:t>
            </w:r>
          </w:p>
          <w:tbl>
            <w:tblPr>
              <w:tblStyle w:val="20"/>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7" w:type="dxa"/>
                <w:bottom w:w="0" w:type="dxa"/>
                <w:right w:w="17" w:type="dxa"/>
              </w:tblCellMar>
            </w:tblPr>
            <w:tblGrid>
              <w:gridCol w:w="1195"/>
              <w:gridCol w:w="1780"/>
              <w:gridCol w:w="1498"/>
              <w:gridCol w:w="1732"/>
              <w:gridCol w:w="237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7" w:type="dxa"/>
                  <w:bottom w:w="0" w:type="dxa"/>
                  <w:right w:w="17" w:type="dxa"/>
                </w:tblCellMar>
              </w:tblPrEx>
              <w:trPr>
                <w:trHeight w:val="309" w:hRule="atLeast"/>
                <w:jc w:val="center"/>
              </w:trPr>
              <w:tc>
                <w:tcPr>
                  <w:tcW w:w="696" w:type="pct"/>
                  <w:vMerge w:val="restart"/>
                  <w:vAlign w:val="center"/>
                </w:tcPr>
                <w:p>
                  <w:pPr>
                    <w:adjustRightInd w:val="0"/>
                    <w:snapToGrid w:val="0"/>
                    <w:jc w:val="center"/>
                    <w:rPr>
                      <w:b/>
                      <w:color w:val="auto"/>
                      <w:szCs w:val="21"/>
                    </w:rPr>
                  </w:pPr>
                  <w:r>
                    <w:rPr>
                      <w:b/>
                      <w:color w:val="auto"/>
                      <w:szCs w:val="21"/>
                    </w:rPr>
                    <w:t>工序</w:t>
                  </w:r>
                </w:p>
              </w:tc>
              <w:tc>
                <w:tcPr>
                  <w:tcW w:w="1037" w:type="pct"/>
                  <w:vMerge w:val="restart"/>
                  <w:vAlign w:val="center"/>
                </w:tcPr>
                <w:p>
                  <w:pPr>
                    <w:adjustRightInd w:val="0"/>
                    <w:snapToGrid w:val="0"/>
                    <w:jc w:val="center"/>
                    <w:rPr>
                      <w:b/>
                      <w:color w:val="auto"/>
                      <w:szCs w:val="21"/>
                    </w:rPr>
                  </w:pPr>
                  <w:r>
                    <w:rPr>
                      <w:b/>
                      <w:color w:val="auto"/>
                      <w:szCs w:val="21"/>
                    </w:rPr>
                    <w:t>污染物名称</w:t>
                  </w:r>
                </w:p>
              </w:tc>
              <w:tc>
                <w:tcPr>
                  <w:tcW w:w="1882" w:type="pct"/>
                  <w:gridSpan w:val="2"/>
                  <w:vAlign w:val="center"/>
                </w:tcPr>
                <w:p>
                  <w:pPr>
                    <w:adjustRightInd w:val="0"/>
                    <w:snapToGrid w:val="0"/>
                    <w:jc w:val="center"/>
                    <w:rPr>
                      <w:b/>
                      <w:color w:val="auto"/>
                      <w:szCs w:val="21"/>
                    </w:rPr>
                  </w:pPr>
                  <w:r>
                    <w:rPr>
                      <w:b/>
                      <w:color w:val="auto"/>
                      <w:szCs w:val="21"/>
                    </w:rPr>
                    <w:t>无组织排放监控浓度限值(mg/m</w:t>
                  </w:r>
                  <w:r>
                    <w:rPr>
                      <w:b/>
                      <w:color w:val="auto"/>
                      <w:szCs w:val="21"/>
                      <w:vertAlign w:val="superscript"/>
                    </w:rPr>
                    <w:t>3</w:t>
                  </w:r>
                  <w:r>
                    <w:rPr>
                      <w:b/>
                      <w:color w:val="auto"/>
                      <w:szCs w:val="21"/>
                    </w:rPr>
                    <w:t>)</w:t>
                  </w:r>
                </w:p>
              </w:tc>
              <w:tc>
                <w:tcPr>
                  <w:tcW w:w="1383" w:type="pct"/>
                  <w:vMerge w:val="restart"/>
                  <w:vAlign w:val="center"/>
                </w:tcPr>
                <w:p>
                  <w:pPr>
                    <w:adjustRightInd w:val="0"/>
                    <w:snapToGrid w:val="0"/>
                    <w:jc w:val="center"/>
                    <w:rPr>
                      <w:b/>
                      <w:color w:val="auto"/>
                      <w:szCs w:val="21"/>
                    </w:rPr>
                  </w:pPr>
                  <w:r>
                    <w:rPr>
                      <w:b/>
                      <w:color w:val="auto"/>
                      <w:szCs w:val="21"/>
                    </w:rPr>
                    <w:t>标准来源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7" w:type="dxa"/>
                  <w:bottom w:w="0" w:type="dxa"/>
                  <w:right w:w="17" w:type="dxa"/>
                </w:tblCellMar>
              </w:tblPrEx>
              <w:trPr>
                <w:trHeight w:val="229" w:hRule="atLeast"/>
                <w:jc w:val="center"/>
              </w:trPr>
              <w:tc>
                <w:tcPr>
                  <w:tcW w:w="696" w:type="pct"/>
                  <w:vMerge w:val="continue"/>
                  <w:tcBorders>
                    <w:bottom w:val="single" w:color="auto" w:sz="8" w:space="0"/>
                  </w:tcBorders>
                  <w:vAlign w:val="center"/>
                </w:tcPr>
                <w:p>
                  <w:pPr>
                    <w:adjustRightInd w:val="0"/>
                    <w:snapToGrid w:val="0"/>
                    <w:jc w:val="center"/>
                    <w:rPr>
                      <w:color w:val="auto"/>
                      <w:szCs w:val="21"/>
                    </w:rPr>
                  </w:pPr>
                </w:p>
              </w:tc>
              <w:tc>
                <w:tcPr>
                  <w:tcW w:w="1037" w:type="pct"/>
                  <w:vMerge w:val="continue"/>
                  <w:tcBorders>
                    <w:bottom w:val="single" w:color="auto" w:sz="8" w:space="0"/>
                  </w:tcBorders>
                  <w:vAlign w:val="center"/>
                </w:tcPr>
                <w:p>
                  <w:pPr>
                    <w:adjustRightInd w:val="0"/>
                    <w:snapToGrid w:val="0"/>
                    <w:jc w:val="center"/>
                    <w:rPr>
                      <w:color w:val="auto"/>
                      <w:szCs w:val="21"/>
                    </w:rPr>
                  </w:pPr>
                </w:p>
              </w:tc>
              <w:tc>
                <w:tcPr>
                  <w:tcW w:w="873" w:type="pct"/>
                  <w:tcBorders>
                    <w:bottom w:val="single" w:color="auto" w:sz="8" w:space="0"/>
                  </w:tcBorders>
                  <w:vAlign w:val="center"/>
                </w:tcPr>
                <w:p>
                  <w:pPr>
                    <w:adjustRightInd w:val="0"/>
                    <w:snapToGrid w:val="0"/>
                    <w:jc w:val="center"/>
                    <w:rPr>
                      <w:b/>
                      <w:color w:val="auto"/>
                      <w:szCs w:val="21"/>
                    </w:rPr>
                  </w:pPr>
                  <w:r>
                    <w:rPr>
                      <w:b/>
                      <w:color w:val="auto"/>
                      <w:szCs w:val="21"/>
                    </w:rPr>
                    <w:t>监控点</w:t>
                  </w:r>
                </w:p>
              </w:tc>
              <w:tc>
                <w:tcPr>
                  <w:tcW w:w="1009" w:type="pct"/>
                  <w:tcBorders>
                    <w:bottom w:val="single" w:color="auto" w:sz="8" w:space="0"/>
                  </w:tcBorders>
                  <w:vAlign w:val="center"/>
                </w:tcPr>
                <w:p>
                  <w:pPr>
                    <w:adjustRightInd w:val="0"/>
                    <w:snapToGrid w:val="0"/>
                    <w:jc w:val="center"/>
                    <w:rPr>
                      <w:b/>
                      <w:color w:val="auto"/>
                      <w:szCs w:val="21"/>
                    </w:rPr>
                  </w:pPr>
                  <w:r>
                    <w:rPr>
                      <w:b/>
                      <w:color w:val="auto"/>
                      <w:szCs w:val="21"/>
                    </w:rPr>
                    <w:t>浓度</w:t>
                  </w:r>
                </w:p>
              </w:tc>
              <w:tc>
                <w:tcPr>
                  <w:tcW w:w="1383" w:type="pct"/>
                  <w:vMerge w:val="continue"/>
                  <w:tcBorders>
                    <w:bottom w:val="single" w:color="auto" w:sz="8" w:space="0"/>
                  </w:tcBorders>
                  <w:vAlign w:val="center"/>
                </w:tcPr>
                <w:p>
                  <w:pPr>
                    <w:adjustRightInd w:val="0"/>
                    <w:snapToGrid w:val="0"/>
                    <w:jc w:val="center"/>
                    <w:rPr>
                      <w:b/>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7" w:type="dxa"/>
                  <w:bottom w:w="0" w:type="dxa"/>
                  <w:right w:w="17" w:type="dxa"/>
                </w:tblCellMar>
              </w:tblPrEx>
              <w:trPr>
                <w:trHeight w:val="524" w:hRule="atLeast"/>
                <w:jc w:val="center"/>
              </w:trPr>
              <w:tc>
                <w:tcPr>
                  <w:tcW w:w="696" w:type="pct"/>
                  <w:vMerge w:val="restart"/>
                  <w:tcBorders>
                    <w:top w:val="single" w:color="auto" w:sz="8" w:space="0"/>
                  </w:tcBorders>
                  <w:vAlign w:val="center"/>
                </w:tcPr>
                <w:p>
                  <w:pPr>
                    <w:adjustRightInd w:val="0"/>
                    <w:snapToGrid w:val="0"/>
                    <w:jc w:val="center"/>
                    <w:rPr>
                      <w:color w:val="auto"/>
                      <w:szCs w:val="21"/>
                    </w:rPr>
                  </w:pPr>
                  <w:r>
                    <w:rPr>
                      <w:rFonts w:ascii="Times New Roman"/>
                      <w:color w:val="auto"/>
                      <w:szCs w:val="21"/>
                    </w:rPr>
                    <w:t>切割</w:t>
                  </w:r>
                  <w:r>
                    <w:rPr>
                      <w:rFonts w:hint="eastAsia" w:ascii="Times New Roman"/>
                      <w:color w:val="auto"/>
                      <w:szCs w:val="21"/>
                      <w:lang w:eastAsia="zh-CN"/>
                    </w:rPr>
                    <w:t>、</w:t>
                  </w:r>
                  <w:r>
                    <w:rPr>
                      <w:rFonts w:ascii="Times New Roman"/>
                      <w:color w:val="auto"/>
                      <w:szCs w:val="21"/>
                    </w:rPr>
                    <w:t>抛丸</w:t>
                  </w:r>
                  <w:r>
                    <w:rPr>
                      <w:rFonts w:hint="eastAsia" w:ascii="Times New Roman"/>
                      <w:color w:val="auto"/>
                      <w:szCs w:val="21"/>
                      <w:lang w:eastAsia="zh-CN"/>
                    </w:rPr>
                    <w:t>、</w:t>
                  </w:r>
                  <w:r>
                    <w:rPr>
                      <w:rFonts w:ascii="Times New Roman"/>
                      <w:color w:val="auto"/>
                      <w:szCs w:val="21"/>
                    </w:rPr>
                    <w:t>焊接</w:t>
                  </w:r>
                  <w:r>
                    <w:rPr>
                      <w:rFonts w:hint="eastAsia" w:ascii="Times New Roman"/>
                      <w:color w:val="auto"/>
                      <w:szCs w:val="21"/>
                      <w:lang w:eastAsia="zh-CN"/>
                    </w:rPr>
                    <w:t>、</w:t>
                  </w:r>
                  <w:r>
                    <w:rPr>
                      <w:rFonts w:ascii="Times New Roman"/>
                      <w:color w:val="auto"/>
                      <w:szCs w:val="21"/>
                    </w:rPr>
                    <w:t>打磨</w:t>
                  </w:r>
                </w:p>
              </w:tc>
              <w:tc>
                <w:tcPr>
                  <w:tcW w:w="1037" w:type="pct"/>
                  <w:tcBorders>
                    <w:top w:val="single" w:color="auto" w:sz="8" w:space="0"/>
                  </w:tcBorders>
                  <w:vAlign w:val="center"/>
                </w:tcPr>
                <w:p>
                  <w:pPr>
                    <w:adjustRightInd w:val="0"/>
                    <w:snapToGrid w:val="0"/>
                    <w:jc w:val="center"/>
                    <w:rPr>
                      <w:color w:val="auto"/>
                      <w:szCs w:val="21"/>
                    </w:rPr>
                  </w:pPr>
                  <w:r>
                    <w:rPr>
                      <w:color w:val="auto"/>
                      <w:szCs w:val="21"/>
                    </w:rPr>
                    <w:t>颗粒物</w:t>
                  </w:r>
                </w:p>
              </w:tc>
              <w:tc>
                <w:tcPr>
                  <w:tcW w:w="873" w:type="pct"/>
                  <w:vMerge w:val="restart"/>
                  <w:tcBorders>
                    <w:top w:val="single" w:color="auto" w:sz="8" w:space="0"/>
                  </w:tcBorders>
                  <w:vAlign w:val="center"/>
                </w:tcPr>
                <w:p>
                  <w:pPr>
                    <w:adjustRightInd w:val="0"/>
                    <w:snapToGrid w:val="0"/>
                    <w:jc w:val="center"/>
                    <w:rPr>
                      <w:color w:val="auto"/>
                      <w:szCs w:val="21"/>
                    </w:rPr>
                  </w:pPr>
                  <w:r>
                    <w:rPr>
                      <w:color w:val="auto"/>
                      <w:szCs w:val="21"/>
                    </w:rPr>
                    <w:t>周界外浓度最高点</w:t>
                  </w:r>
                </w:p>
              </w:tc>
              <w:tc>
                <w:tcPr>
                  <w:tcW w:w="1009" w:type="pct"/>
                  <w:tcBorders>
                    <w:top w:val="single" w:color="auto" w:sz="8" w:space="0"/>
                  </w:tcBorders>
                  <w:vAlign w:val="center"/>
                </w:tcPr>
                <w:p>
                  <w:pPr>
                    <w:adjustRightInd w:val="0"/>
                    <w:snapToGrid w:val="0"/>
                    <w:jc w:val="center"/>
                    <w:rPr>
                      <w:color w:val="auto"/>
                      <w:szCs w:val="21"/>
                    </w:rPr>
                  </w:pPr>
                  <w:r>
                    <w:rPr>
                      <w:color w:val="auto"/>
                      <w:szCs w:val="21"/>
                    </w:rPr>
                    <w:t>0.5</w:t>
                  </w:r>
                </w:p>
              </w:tc>
              <w:tc>
                <w:tcPr>
                  <w:tcW w:w="1383" w:type="pct"/>
                  <w:vMerge w:val="restart"/>
                  <w:tcBorders>
                    <w:top w:val="single" w:color="auto" w:sz="8" w:space="0"/>
                  </w:tcBorders>
                  <w:vAlign w:val="center"/>
                </w:tcPr>
                <w:p>
                  <w:pPr>
                    <w:adjustRightInd w:val="0"/>
                    <w:snapToGrid w:val="0"/>
                    <w:jc w:val="center"/>
                    <w:rPr>
                      <w:color w:val="auto"/>
                      <w:szCs w:val="21"/>
                    </w:rPr>
                  </w:pPr>
                  <w:r>
                    <w:rPr>
                      <w:color w:val="auto"/>
                      <w:szCs w:val="21"/>
                    </w:rPr>
                    <w:t>大气污染物综合排放标准（DB324041-2021）表3排放标准限值</w:t>
                  </w:r>
                </w:p>
                <w:p>
                  <w:pPr>
                    <w:adjustRightInd w:val="0"/>
                    <w:snapToGrid w:val="0"/>
                    <w:jc w:val="center"/>
                    <w:rPr>
                      <w:color w:val="auto"/>
                      <w:szCs w:val="21"/>
                    </w:rPr>
                  </w:pPr>
                  <w:r>
                    <w:rPr>
                      <w:color w:val="auto"/>
                      <w:szCs w:val="21"/>
                    </w:rPr>
                    <w:t xml:space="preserve">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7" w:type="dxa"/>
                  <w:bottom w:w="0" w:type="dxa"/>
                  <w:right w:w="17" w:type="dxa"/>
                </w:tblCellMar>
              </w:tblPrEx>
              <w:trPr>
                <w:trHeight w:val="90" w:hRule="atLeast"/>
                <w:jc w:val="center"/>
              </w:trPr>
              <w:tc>
                <w:tcPr>
                  <w:tcW w:w="696" w:type="pct"/>
                  <w:vMerge w:val="restart"/>
                  <w:vAlign w:val="center"/>
                </w:tcPr>
                <w:p>
                  <w:pPr>
                    <w:adjustRightInd w:val="0"/>
                    <w:snapToGrid w:val="0"/>
                    <w:jc w:val="center"/>
                    <w:rPr>
                      <w:color w:val="auto"/>
                      <w:szCs w:val="21"/>
                    </w:rPr>
                  </w:pPr>
                  <w:r>
                    <w:rPr>
                      <w:rFonts w:ascii="Times New Roman"/>
                      <w:color w:val="auto"/>
                      <w:szCs w:val="21"/>
                    </w:rPr>
                    <w:t>喷漆</w:t>
                  </w:r>
                  <w:r>
                    <w:rPr>
                      <w:rFonts w:hint="eastAsia" w:ascii="Times New Roman"/>
                      <w:color w:val="auto"/>
                      <w:szCs w:val="21"/>
                      <w:lang w:eastAsia="zh-CN"/>
                    </w:rPr>
                    <w:t>、调漆、晾干、危废库</w:t>
                  </w:r>
                </w:p>
              </w:tc>
              <w:tc>
                <w:tcPr>
                  <w:tcW w:w="1037" w:type="pct"/>
                  <w:vAlign w:val="center"/>
                </w:tcPr>
                <w:p>
                  <w:pPr>
                    <w:adjustRightInd w:val="0"/>
                    <w:snapToGrid w:val="0"/>
                    <w:jc w:val="center"/>
                    <w:rPr>
                      <w:color w:val="auto"/>
                      <w:szCs w:val="21"/>
                    </w:rPr>
                  </w:pPr>
                  <w:r>
                    <w:rPr>
                      <w:color w:val="auto"/>
                      <w:szCs w:val="21"/>
                    </w:rPr>
                    <w:t>颗粒物</w:t>
                  </w:r>
                </w:p>
              </w:tc>
              <w:tc>
                <w:tcPr>
                  <w:tcW w:w="873" w:type="pct"/>
                  <w:vMerge w:val="restart"/>
                  <w:vAlign w:val="center"/>
                </w:tcPr>
                <w:p>
                  <w:pPr>
                    <w:adjustRightInd w:val="0"/>
                    <w:snapToGrid w:val="0"/>
                    <w:jc w:val="center"/>
                    <w:rPr>
                      <w:color w:val="auto"/>
                      <w:szCs w:val="21"/>
                    </w:rPr>
                  </w:pPr>
                  <w:r>
                    <w:rPr>
                      <w:color w:val="auto"/>
                      <w:szCs w:val="21"/>
                    </w:rPr>
                    <w:t>周界外浓度最高点</w:t>
                  </w:r>
                </w:p>
              </w:tc>
              <w:tc>
                <w:tcPr>
                  <w:tcW w:w="1009" w:type="pct"/>
                  <w:vAlign w:val="center"/>
                </w:tcPr>
                <w:p>
                  <w:pPr>
                    <w:adjustRightInd w:val="0"/>
                    <w:snapToGrid w:val="0"/>
                    <w:jc w:val="center"/>
                    <w:rPr>
                      <w:color w:val="auto"/>
                      <w:szCs w:val="21"/>
                    </w:rPr>
                  </w:pPr>
                  <w:r>
                    <w:rPr>
                      <w:color w:val="auto"/>
                      <w:szCs w:val="21"/>
                    </w:rPr>
                    <w:t>0.5</w:t>
                  </w:r>
                </w:p>
              </w:tc>
              <w:tc>
                <w:tcPr>
                  <w:tcW w:w="1383" w:type="pct"/>
                  <w:vMerge w:val="continue"/>
                  <w:vAlign w:val="center"/>
                </w:tcPr>
                <w:p>
                  <w:pPr>
                    <w:adjustRightInd w:val="0"/>
                    <w:snapToGrid w:val="0"/>
                    <w:jc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7" w:type="dxa"/>
                  <w:bottom w:w="0" w:type="dxa"/>
                  <w:right w:w="17" w:type="dxa"/>
                </w:tblCellMar>
              </w:tblPrEx>
              <w:trPr>
                <w:trHeight w:val="90" w:hRule="atLeast"/>
                <w:jc w:val="center"/>
              </w:trPr>
              <w:tc>
                <w:tcPr>
                  <w:tcW w:w="696" w:type="pct"/>
                  <w:vMerge w:val="continue"/>
                  <w:tcBorders>
                    <w:bottom w:val="single" w:color="auto" w:sz="12" w:space="0"/>
                  </w:tcBorders>
                  <w:vAlign w:val="center"/>
                </w:tcPr>
                <w:p>
                  <w:pPr>
                    <w:adjustRightInd w:val="0"/>
                    <w:snapToGrid w:val="0"/>
                    <w:jc w:val="center"/>
                    <w:rPr>
                      <w:color w:val="auto"/>
                      <w:szCs w:val="21"/>
                    </w:rPr>
                  </w:pPr>
                </w:p>
              </w:tc>
              <w:tc>
                <w:tcPr>
                  <w:tcW w:w="1037" w:type="pct"/>
                  <w:tcBorders>
                    <w:bottom w:val="single" w:color="auto" w:sz="12" w:space="0"/>
                  </w:tcBorders>
                  <w:vAlign w:val="center"/>
                </w:tcPr>
                <w:p>
                  <w:pPr>
                    <w:adjustRightInd w:val="0"/>
                    <w:snapToGrid w:val="0"/>
                    <w:jc w:val="center"/>
                    <w:rPr>
                      <w:color w:val="auto"/>
                      <w:szCs w:val="21"/>
                    </w:rPr>
                  </w:pPr>
                  <w:r>
                    <w:rPr>
                      <w:color w:val="auto"/>
                      <w:szCs w:val="21"/>
                    </w:rPr>
                    <w:t>NMHC</w:t>
                  </w:r>
                </w:p>
              </w:tc>
              <w:tc>
                <w:tcPr>
                  <w:tcW w:w="873" w:type="pct"/>
                  <w:vMerge w:val="continue"/>
                  <w:tcBorders>
                    <w:bottom w:val="single" w:color="auto" w:sz="12" w:space="0"/>
                  </w:tcBorders>
                  <w:vAlign w:val="center"/>
                </w:tcPr>
                <w:p>
                  <w:pPr>
                    <w:adjustRightInd w:val="0"/>
                    <w:snapToGrid w:val="0"/>
                    <w:jc w:val="center"/>
                    <w:rPr>
                      <w:color w:val="auto"/>
                      <w:szCs w:val="21"/>
                    </w:rPr>
                  </w:pPr>
                </w:p>
              </w:tc>
              <w:tc>
                <w:tcPr>
                  <w:tcW w:w="1009" w:type="pct"/>
                  <w:tcBorders>
                    <w:bottom w:val="single" w:color="auto" w:sz="12" w:space="0"/>
                  </w:tcBorders>
                  <w:vAlign w:val="center"/>
                </w:tcPr>
                <w:p>
                  <w:pPr>
                    <w:adjustRightInd w:val="0"/>
                    <w:snapToGrid w:val="0"/>
                    <w:jc w:val="center"/>
                    <w:rPr>
                      <w:color w:val="auto"/>
                      <w:szCs w:val="21"/>
                    </w:rPr>
                  </w:pPr>
                  <w:r>
                    <w:rPr>
                      <w:color w:val="auto"/>
                      <w:szCs w:val="21"/>
                    </w:rPr>
                    <w:t>4.0</w:t>
                  </w:r>
                </w:p>
              </w:tc>
              <w:tc>
                <w:tcPr>
                  <w:tcW w:w="1383" w:type="pct"/>
                  <w:vMerge w:val="continue"/>
                  <w:tcBorders>
                    <w:bottom w:val="single" w:color="auto" w:sz="12" w:space="0"/>
                  </w:tcBorders>
                  <w:vAlign w:val="center"/>
                </w:tcPr>
                <w:p>
                  <w:pPr>
                    <w:adjustRightInd w:val="0"/>
                    <w:snapToGrid w:val="0"/>
                    <w:jc w:val="center"/>
                    <w:rPr>
                      <w:color w:val="auto"/>
                      <w:szCs w:val="21"/>
                    </w:rPr>
                  </w:pPr>
                </w:p>
              </w:tc>
            </w:tr>
          </w:tbl>
          <w:p>
            <w:pPr>
              <w:wordWrap w:val="0"/>
              <w:adjustRightInd w:val="0"/>
              <w:snapToGrid w:val="0"/>
              <w:spacing w:line="360" w:lineRule="auto"/>
              <w:jc w:val="center"/>
              <w:rPr>
                <w:b/>
                <w:color w:val="auto"/>
                <w:szCs w:val="21"/>
              </w:rPr>
            </w:pPr>
            <w:r>
              <w:rPr>
                <w:b/>
                <w:color w:val="auto"/>
                <w:szCs w:val="21"/>
              </w:rPr>
              <w:t>表3.3-4 厂区内VOCs无组织排放限值</w:t>
            </w:r>
          </w:p>
          <w:tbl>
            <w:tblPr>
              <w:tblStyle w:val="20"/>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14"/>
              <w:gridCol w:w="1784"/>
              <w:gridCol w:w="1717"/>
              <w:gridCol w:w="1463"/>
              <w:gridCol w:w="240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489" w:hRule="atLeast"/>
                <w:jc w:val="center"/>
              </w:trPr>
              <w:tc>
                <w:tcPr>
                  <w:tcW w:w="707" w:type="pct"/>
                  <w:tcBorders>
                    <w:top w:val="single" w:color="auto" w:sz="12" w:space="0"/>
                    <w:left w:val="nil"/>
                    <w:bottom w:val="single" w:color="auto" w:sz="4" w:space="0"/>
                    <w:right w:val="single" w:color="auto" w:sz="4" w:space="0"/>
                  </w:tcBorders>
                  <w:vAlign w:val="center"/>
                </w:tcPr>
                <w:p>
                  <w:pPr>
                    <w:pStyle w:val="28"/>
                    <w:wordWrap w:val="0"/>
                    <w:jc w:val="center"/>
                    <w:rPr>
                      <w:rFonts w:ascii="Times New Roman" w:hAnsi="Times New Roman"/>
                      <w:b/>
                      <w:color w:val="auto"/>
                      <w:sz w:val="21"/>
                      <w:szCs w:val="21"/>
                      <w:lang w:eastAsia="zh-CN"/>
                    </w:rPr>
                  </w:pPr>
                  <w:r>
                    <w:rPr>
                      <w:rFonts w:ascii="Times New Roman" w:hAnsi="Times New Roman"/>
                      <w:b/>
                      <w:color w:val="auto"/>
                      <w:sz w:val="21"/>
                      <w:szCs w:val="21"/>
                      <w:lang w:eastAsia="zh-CN"/>
                    </w:rPr>
                    <w:t>污染物</w:t>
                  </w:r>
                </w:p>
              </w:tc>
              <w:tc>
                <w:tcPr>
                  <w:tcW w:w="1039" w:type="pct"/>
                  <w:tcBorders>
                    <w:top w:val="single" w:color="auto" w:sz="12" w:space="0"/>
                    <w:left w:val="single" w:color="auto" w:sz="4" w:space="0"/>
                    <w:bottom w:val="single" w:color="auto" w:sz="4" w:space="0"/>
                    <w:right w:val="single" w:color="auto" w:sz="4" w:space="0"/>
                  </w:tcBorders>
                  <w:vAlign w:val="center"/>
                </w:tcPr>
                <w:p>
                  <w:pPr>
                    <w:pStyle w:val="28"/>
                    <w:wordWrap w:val="0"/>
                    <w:jc w:val="center"/>
                    <w:rPr>
                      <w:rFonts w:ascii="Times New Roman" w:hAnsi="Times New Roman"/>
                      <w:b/>
                      <w:color w:val="auto"/>
                      <w:sz w:val="21"/>
                      <w:szCs w:val="21"/>
                      <w:lang w:eastAsia="zh-CN"/>
                    </w:rPr>
                  </w:pPr>
                  <w:r>
                    <w:rPr>
                      <w:rFonts w:ascii="Times New Roman" w:hAnsi="Times New Roman"/>
                      <w:b/>
                      <w:color w:val="auto"/>
                      <w:sz w:val="21"/>
                      <w:szCs w:val="21"/>
                      <w:lang w:eastAsia="zh-CN"/>
                    </w:rPr>
                    <w:t>监控点限值</w:t>
                  </w:r>
                </w:p>
                <w:p>
                  <w:pPr>
                    <w:pStyle w:val="28"/>
                    <w:wordWrap w:val="0"/>
                    <w:jc w:val="center"/>
                    <w:rPr>
                      <w:rFonts w:ascii="Times New Roman" w:hAnsi="Times New Roman"/>
                      <w:b/>
                      <w:color w:val="auto"/>
                      <w:sz w:val="21"/>
                      <w:szCs w:val="21"/>
                      <w:lang w:eastAsia="zh-CN"/>
                    </w:rPr>
                  </w:pPr>
                  <w:r>
                    <w:rPr>
                      <w:rFonts w:ascii="Times New Roman" w:hAnsi="Times New Roman"/>
                      <w:b/>
                      <w:color w:val="auto"/>
                      <w:sz w:val="21"/>
                      <w:szCs w:val="21"/>
                      <w:lang w:eastAsia="zh-CN"/>
                    </w:rPr>
                    <w:t>（mg/m</w:t>
                  </w:r>
                  <w:r>
                    <w:rPr>
                      <w:rFonts w:ascii="Times New Roman" w:hAnsi="Times New Roman"/>
                      <w:b/>
                      <w:color w:val="auto"/>
                      <w:sz w:val="21"/>
                      <w:szCs w:val="21"/>
                      <w:vertAlign w:val="superscript"/>
                      <w:lang w:eastAsia="zh-CN"/>
                    </w:rPr>
                    <w:t>3</w:t>
                  </w:r>
                  <w:r>
                    <w:rPr>
                      <w:rFonts w:ascii="Times New Roman" w:hAnsi="Times New Roman"/>
                      <w:b/>
                      <w:color w:val="auto"/>
                      <w:sz w:val="21"/>
                      <w:szCs w:val="21"/>
                      <w:lang w:eastAsia="zh-CN"/>
                    </w:rPr>
                    <w:t>）</w:t>
                  </w:r>
                </w:p>
              </w:tc>
              <w:tc>
                <w:tcPr>
                  <w:tcW w:w="1000" w:type="pct"/>
                  <w:tcBorders>
                    <w:top w:val="single" w:color="auto" w:sz="12" w:space="0"/>
                    <w:left w:val="single" w:color="auto" w:sz="4" w:space="0"/>
                    <w:bottom w:val="single" w:color="auto" w:sz="4" w:space="0"/>
                    <w:right w:val="single" w:color="auto" w:sz="4" w:space="0"/>
                  </w:tcBorders>
                  <w:vAlign w:val="center"/>
                </w:tcPr>
                <w:p>
                  <w:pPr>
                    <w:pStyle w:val="28"/>
                    <w:wordWrap w:val="0"/>
                    <w:jc w:val="center"/>
                    <w:rPr>
                      <w:rFonts w:ascii="Times New Roman" w:hAnsi="Times New Roman"/>
                      <w:b/>
                      <w:color w:val="auto"/>
                      <w:sz w:val="21"/>
                      <w:szCs w:val="21"/>
                      <w:lang w:eastAsia="zh-CN"/>
                    </w:rPr>
                  </w:pPr>
                  <w:r>
                    <w:rPr>
                      <w:rFonts w:ascii="Times New Roman" w:hAnsi="Times New Roman"/>
                      <w:b/>
                      <w:color w:val="auto"/>
                      <w:sz w:val="21"/>
                      <w:szCs w:val="21"/>
                      <w:lang w:eastAsia="zh-CN"/>
                    </w:rPr>
                    <w:t>限值含义</w:t>
                  </w:r>
                </w:p>
              </w:tc>
              <w:tc>
                <w:tcPr>
                  <w:tcW w:w="852" w:type="pct"/>
                  <w:tcBorders>
                    <w:top w:val="single" w:color="auto" w:sz="12" w:space="0"/>
                    <w:left w:val="single" w:color="auto" w:sz="4" w:space="0"/>
                    <w:bottom w:val="single" w:color="auto" w:sz="4" w:space="0"/>
                    <w:right w:val="single" w:color="auto" w:sz="4" w:space="0"/>
                  </w:tcBorders>
                  <w:vAlign w:val="center"/>
                </w:tcPr>
                <w:p>
                  <w:pPr>
                    <w:pStyle w:val="28"/>
                    <w:wordWrap w:val="0"/>
                    <w:jc w:val="center"/>
                    <w:rPr>
                      <w:rFonts w:ascii="Times New Roman" w:hAnsi="Times New Roman"/>
                      <w:b/>
                      <w:color w:val="auto"/>
                      <w:sz w:val="21"/>
                      <w:szCs w:val="21"/>
                      <w:lang w:eastAsia="zh-CN"/>
                    </w:rPr>
                  </w:pPr>
                  <w:r>
                    <w:rPr>
                      <w:rFonts w:ascii="Times New Roman" w:hAnsi="Times New Roman"/>
                      <w:b/>
                      <w:color w:val="auto"/>
                      <w:sz w:val="21"/>
                      <w:szCs w:val="21"/>
                      <w:lang w:eastAsia="zh-CN"/>
                    </w:rPr>
                    <w:t>无组织排放监控位置</w:t>
                  </w:r>
                </w:p>
              </w:tc>
              <w:tc>
                <w:tcPr>
                  <w:tcW w:w="1400" w:type="pct"/>
                  <w:tcBorders>
                    <w:top w:val="single" w:color="auto" w:sz="12" w:space="0"/>
                    <w:left w:val="single" w:color="auto" w:sz="4" w:space="0"/>
                    <w:bottom w:val="single" w:color="auto" w:sz="4" w:space="0"/>
                    <w:right w:val="nil"/>
                  </w:tcBorders>
                  <w:vAlign w:val="center"/>
                </w:tcPr>
                <w:p>
                  <w:pPr>
                    <w:wordWrap w:val="0"/>
                    <w:jc w:val="center"/>
                    <w:rPr>
                      <w:b/>
                      <w:color w:val="auto"/>
                      <w:szCs w:val="21"/>
                    </w:rPr>
                  </w:pPr>
                  <w:r>
                    <w:rPr>
                      <w:b/>
                      <w:color w:val="auto"/>
                      <w:szCs w:val="21"/>
                    </w:rPr>
                    <w:t>执行标准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707" w:type="pct"/>
                  <w:vMerge w:val="restart"/>
                  <w:tcBorders>
                    <w:top w:val="single" w:color="auto" w:sz="4" w:space="0"/>
                    <w:left w:val="nil"/>
                    <w:bottom w:val="single" w:color="auto" w:sz="4" w:space="0"/>
                    <w:right w:val="single" w:color="auto" w:sz="4" w:space="0"/>
                  </w:tcBorders>
                  <w:vAlign w:val="center"/>
                </w:tcPr>
                <w:p>
                  <w:pPr>
                    <w:pStyle w:val="28"/>
                    <w:wordWrap w:val="0"/>
                    <w:jc w:val="center"/>
                    <w:rPr>
                      <w:rFonts w:ascii="Times New Roman" w:hAnsi="Times New Roman"/>
                      <w:color w:val="auto"/>
                      <w:sz w:val="21"/>
                      <w:szCs w:val="21"/>
                      <w:lang w:eastAsia="zh-CN"/>
                    </w:rPr>
                  </w:pPr>
                  <w:r>
                    <w:rPr>
                      <w:rFonts w:ascii="Times New Roman" w:hAnsi="Times New Roman"/>
                      <w:color w:val="auto"/>
                      <w:sz w:val="21"/>
                      <w:szCs w:val="21"/>
                      <w:lang w:eastAsia="zh-CN"/>
                    </w:rPr>
                    <w:t>非甲烷总烃</w:t>
                  </w:r>
                </w:p>
              </w:tc>
              <w:tc>
                <w:tcPr>
                  <w:tcW w:w="1039" w:type="pct"/>
                  <w:tcBorders>
                    <w:top w:val="single" w:color="auto" w:sz="4" w:space="0"/>
                    <w:left w:val="single" w:color="auto" w:sz="4" w:space="0"/>
                    <w:bottom w:val="single" w:color="auto" w:sz="4" w:space="0"/>
                    <w:right w:val="single" w:color="auto" w:sz="4" w:space="0"/>
                  </w:tcBorders>
                  <w:vAlign w:val="center"/>
                </w:tcPr>
                <w:p>
                  <w:pPr>
                    <w:pStyle w:val="28"/>
                    <w:wordWrap w:val="0"/>
                    <w:jc w:val="center"/>
                    <w:rPr>
                      <w:rFonts w:ascii="Times New Roman" w:hAnsi="Times New Roman"/>
                      <w:color w:val="auto"/>
                      <w:sz w:val="21"/>
                      <w:szCs w:val="21"/>
                      <w:lang w:eastAsia="zh-CN"/>
                    </w:rPr>
                  </w:pPr>
                  <w:r>
                    <w:rPr>
                      <w:rFonts w:ascii="Times New Roman" w:hAnsi="Times New Roman"/>
                      <w:color w:val="auto"/>
                      <w:sz w:val="21"/>
                      <w:szCs w:val="21"/>
                      <w:lang w:eastAsia="zh-CN"/>
                    </w:rPr>
                    <w:t>6</w:t>
                  </w:r>
                </w:p>
              </w:tc>
              <w:tc>
                <w:tcPr>
                  <w:tcW w:w="1000" w:type="pct"/>
                  <w:tcBorders>
                    <w:top w:val="single" w:color="auto" w:sz="4" w:space="0"/>
                    <w:left w:val="single" w:color="auto" w:sz="4" w:space="0"/>
                    <w:bottom w:val="single" w:color="auto" w:sz="4" w:space="0"/>
                    <w:right w:val="single" w:color="auto" w:sz="4" w:space="0"/>
                  </w:tcBorders>
                  <w:vAlign w:val="center"/>
                </w:tcPr>
                <w:p>
                  <w:pPr>
                    <w:pStyle w:val="28"/>
                    <w:wordWrap w:val="0"/>
                    <w:jc w:val="center"/>
                    <w:rPr>
                      <w:rFonts w:ascii="Times New Roman" w:hAnsi="Times New Roman"/>
                      <w:color w:val="auto"/>
                      <w:sz w:val="21"/>
                      <w:szCs w:val="21"/>
                      <w:lang w:eastAsia="zh-CN"/>
                    </w:rPr>
                  </w:pPr>
                  <w:r>
                    <w:rPr>
                      <w:rFonts w:ascii="Times New Roman" w:hAnsi="Times New Roman"/>
                      <w:color w:val="auto"/>
                      <w:sz w:val="21"/>
                      <w:szCs w:val="21"/>
                      <w:lang w:eastAsia="zh-CN"/>
                    </w:rPr>
                    <w:t>监控点处1h平均浓度值</w:t>
                  </w:r>
                </w:p>
              </w:tc>
              <w:tc>
                <w:tcPr>
                  <w:tcW w:w="852" w:type="pct"/>
                  <w:vMerge w:val="restart"/>
                  <w:tcBorders>
                    <w:top w:val="single" w:color="auto" w:sz="4" w:space="0"/>
                    <w:left w:val="single" w:color="auto" w:sz="4" w:space="0"/>
                    <w:bottom w:val="single" w:color="auto" w:sz="4" w:space="0"/>
                    <w:right w:val="single" w:color="auto" w:sz="4" w:space="0"/>
                  </w:tcBorders>
                  <w:vAlign w:val="center"/>
                </w:tcPr>
                <w:p>
                  <w:pPr>
                    <w:pStyle w:val="28"/>
                    <w:wordWrap w:val="0"/>
                    <w:jc w:val="center"/>
                    <w:rPr>
                      <w:rFonts w:ascii="Times New Roman" w:hAnsi="Times New Roman"/>
                      <w:color w:val="auto"/>
                      <w:sz w:val="21"/>
                      <w:szCs w:val="21"/>
                      <w:lang w:eastAsia="zh-CN"/>
                    </w:rPr>
                  </w:pPr>
                  <w:r>
                    <w:rPr>
                      <w:rFonts w:ascii="Times New Roman" w:hAnsi="Times New Roman"/>
                      <w:color w:val="auto"/>
                      <w:sz w:val="21"/>
                      <w:szCs w:val="21"/>
                      <w:lang w:eastAsia="zh-CN"/>
                    </w:rPr>
                    <w:t>在厂房外设置监控点</w:t>
                  </w:r>
                </w:p>
              </w:tc>
              <w:tc>
                <w:tcPr>
                  <w:tcW w:w="1400" w:type="pct"/>
                  <w:vMerge w:val="restart"/>
                  <w:tcBorders>
                    <w:top w:val="single" w:color="auto" w:sz="4" w:space="0"/>
                    <w:left w:val="single" w:color="auto" w:sz="4" w:space="0"/>
                    <w:bottom w:val="single" w:color="auto" w:sz="4" w:space="0"/>
                    <w:right w:val="nil"/>
                  </w:tcBorders>
                  <w:vAlign w:val="center"/>
                </w:tcPr>
                <w:p>
                  <w:pPr>
                    <w:adjustRightInd w:val="0"/>
                    <w:snapToGrid w:val="0"/>
                    <w:jc w:val="center"/>
                    <w:rPr>
                      <w:color w:val="auto"/>
                      <w:szCs w:val="21"/>
                    </w:rPr>
                  </w:pPr>
                  <w:r>
                    <w:rPr>
                      <w:color w:val="auto"/>
                      <w:szCs w:val="21"/>
                    </w:rPr>
                    <w:t>表面涂装（工程机械和钢结构行业）大气污染物排放标准（DB32/4147-2021）表3排放标准限值</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707" w:type="pct"/>
                  <w:vMerge w:val="continue"/>
                  <w:tcBorders>
                    <w:top w:val="single" w:color="auto" w:sz="4" w:space="0"/>
                    <w:left w:val="nil"/>
                    <w:bottom w:val="single" w:color="auto" w:sz="12" w:space="0"/>
                    <w:right w:val="single" w:color="auto" w:sz="4" w:space="0"/>
                  </w:tcBorders>
                  <w:vAlign w:val="center"/>
                </w:tcPr>
                <w:p>
                  <w:pPr>
                    <w:pStyle w:val="28"/>
                    <w:wordWrap w:val="0"/>
                    <w:jc w:val="center"/>
                    <w:rPr>
                      <w:rFonts w:ascii="Times New Roman" w:hAnsi="Times New Roman"/>
                      <w:color w:val="auto"/>
                      <w:sz w:val="21"/>
                      <w:szCs w:val="21"/>
                      <w:lang w:eastAsia="zh-CN"/>
                    </w:rPr>
                  </w:pPr>
                </w:p>
              </w:tc>
              <w:tc>
                <w:tcPr>
                  <w:tcW w:w="1039" w:type="pct"/>
                  <w:tcBorders>
                    <w:top w:val="single" w:color="auto" w:sz="4" w:space="0"/>
                    <w:left w:val="single" w:color="auto" w:sz="4" w:space="0"/>
                    <w:bottom w:val="single" w:color="auto" w:sz="12" w:space="0"/>
                    <w:right w:val="single" w:color="auto" w:sz="4" w:space="0"/>
                  </w:tcBorders>
                  <w:vAlign w:val="center"/>
                </w:tcPr>
                <w:p>
                  <w:pPr>
                    <w:pStyle w:val="28"/>
                    <w:wordWrap w:val="0"/>
                    <w:jc w:val="center"/>
                    <w:rPr>
                      <w:rFonts w:ascii="Times New Roman" w:hAnsi="Times New Roman"/>
                      <w:color w:val="auto"/>
                      <w:sz w:val="21"/>
                      <w:szCs w:val="21"/>
                      <w:lang w:eastAsia="zh-CN"/>
                    </w:rPr>
                  </w:pPr>
                  <w:r>
                    <w:rPr>
                      <w:rFonts w:ascii="Times New Roman" w:hAnsi="Times New Roman"/>
                      <w:color w:val="auto"/>
                      <w:sz w:val="21"/>
                      <w:szCs w:val="21"/>
                      <w:lang w:eastAsia="zh-CN"/>
                    </w:rPr>
                    <w:t>20</w:t>
                  </w:r>
                </w:p>
              </w:tc>
              <w:tc>
                <w:tcPr>
                  <w:tcW w:w="1000" w:type="pct"/>
                  <w:tcBorders>
                    <w:top w:val="single" w:color="auto" w:sz="4" w:space="0"/>
                    <w:left w:val="single" w:color="auto" w:sz="4" w:space="0"/>
                    <w:bottom w:val="single" w:color="auto" w:sz="12" w:space="0"/>
                    <w:right w:val="single" w:color="auto" w:sz="4" w:space="0"/>
                  </w:tcBorders>
                  <w:vAlign w:val="center"/>
                </w:tcPr>
                <w:p>
                  <w:pPr>
                    <w:pStyle w:val="28"/>
                    <w:wordWrap w:val="0"/>
                    <w:jc w:val="center"/>
                    <w:rPr>
                      <w:rFonts w:ascii="Times New Roman" w:hAnsi="Times New Roman"/>
                      <w:color w:val="auto"/>
                      <w:sz w:val="21"/>
                      <w:szCs w:val="21"/>
                      <w:lang w:eastAsia="zh-CN"/>
                    </w:rPr>
                  </w:pPr>
                  <w:r>
                    <w:rPr>
                      <w:rFonts w:ascii="Times New Roman" w:hAnsi="Times New Roman"/>
                      <w:color w:val="auto"/>
                      <w:sz w:val="21"/>
                      <w:szCs w:val="21"/>
                      <w:lang w:eastAsia="zh-CN"/>
                    </w:rPr>
                    <w:t>监控点处任意一次浓度值</w:t>
                  </w:r>
                </w:p>
              </w:tc>
              <w:tc>
                <w:tcPr>
                  <w:tcW w:w="852" w:type="pct"/>
                  <w:vMerge w:val="continue"/>
                  <w:tcBorders>
                    <w:top w:val="single" w:color="auto" w:sz="4" w:space="0"/>
                    <w:left w:val="single" w:color="auto" w:sz="4" w:space="0"/>
                    <w:bottom w:val="single" w:color="auto" w:sz="12" w:space="0"/>
                    <w:right w:val="single" w:color="auto" w:sz="4" w:space="0"/>
                  </w:tcBorders>
                  <w:vAlign w:val="center"/>
                </w:tcPr>
                <w:p>
                  <w:pPr>
                    <w:wordWrap w:val="0"/>
                    <w:jc w:val="center"/>
                    <w:rPr>
                      <w:b/>
                      <w:color w:val="auto"/>
                      <w:szCs w:val="21"/>
                    </w:rPr>
                  </w:pPr>
                </w:p>
              </w:tc>
              <w:tc>
                <w:tcPr>
                  <w:tcW w:w="1400" w:type="pct"/>
                  <w:vMerge w:val="continue"/>
                  <w:tcBorders>
                    <w:top w:val="single" w:color="auto" w:sz="4" w:space="0"/>
                    <w:left w:val="single" w:color="auto" w:sz="4" w:space="0"/>
                    <w:bottom w:val="single" w:color="auto" w:sz="12" w:space="0"/>
                    <w:right w:val="nil"/>
                  </w:tcBorders>
                  <w:vAlign w:val="center"/>
                </w:tcPr>
                <w:p>
                  <w:pPr>
                    <w:wordWrap w:val="0"/>
                    <w:jc w:val="center"/>
                    <w:rPr>
                      <w:b/>
                      <w:color w:val="auto"/>
                      <w:szCs w:val="21"/>
                    </w:rPr>
                  </w:pPr>
                </w:p>
              </w:tc>
            </w:tr>
          </w:tbl>
          <w:p>
            <w:pPr>
              <w:wordWrap w:val="0"/>
              <w:spacing w:line="360" w:lineRule="auto"/>
              <w:ind w:firstLine="482" w:firstLineChars="200"/>
              <w:jc w:val="left"/>
              <w:rPr>
                <w:b/>
                <w:color w:val="auto"/>
                <w:sz w:val="24"/>
              </w:rPr>
            </w:pPr>
            <w:r>
              <w:rPr>
                <w:b/>
                <w:color w:val="auto"/>
                <w:sz w:val="24"/>
              </w:rPr>
              <w:t>2、废水排放标准</w:t>
            </w:r>
          </w:p>
          <w:p>
            <w:pPr>
              <w:wordWrap w:val="0"/>
              <w:spacing w:line="360" w:lineRule="auto"/>
              <w:ind w:firstLine="480" w:firstLineChars="200"/>
              <w:jc w:val="left"/>
              <w:rPr>
                <w:b/>
                <w:color w:val="auto"/>
                <w:kern w:val="0"/>
                <w:szCs w:val="21"/>
                <w:lang w:val="zh-CN"/>
              </w:rPr>
            </w:pPr>
            <w:r>
              <w:rPr>
                <w:color w:val="auto"/>
                <w:kern w:val="0"/>
                <w:sz w:val="24"/>
              </w:rPr>
              <w:t>本项目废水主要为生活废水，不产生生产废水，生活污水经厂内化粪池处理后回用肥田。</w:t>
            </w:r>
            <w:r>
              <w:rPr>
                <w:color w:val="auto"/>
                <w:sz w:val="24"/>
              </w:rPr>
              <w:t>标准执行《农田灌溉水质标准》（GB5084-2021）表1中旱地作物标准，详见下表3.3-5。</w:t>
            </w:r>
          </w:p>
          <w:p>
            <w:pPr>
              <w:tabs>
                <w:tab w:val="left" w:pos="2160"/>
              </w:tabs>
              <w:wordWrap w:val="0"/>
              <w:adjustRightInd w:val="0"/>
              <w:snapToGrid w:val="0"/>
              <w:spacing w:line="360" w:lineRule="auto"/>
              <w:jc w:val="center"/>
              <w:rPr>
                <w:b/>
                <w:color w:val="auto"/>
                <w:kern w:val="0"/>
                <w:szCs w:val="21"/>
                <w:lang w:val="zh-CN"/>
              </w:rPr>
            </w:pPr>
            <w:r>
              <w:rPr>
                <w:b/>
                <w:color w:val="auto"/>
                <w:kern w:val="0"/>
                <w:szCs w:val="21"/>
                <w:lang w:val="zh-CN"/>
              </w:rPr>
              <w:t>表3.3-5  建设项目污水排放标准表单位：mg/L</w:t>
            </w:r>
          </w:p>
          <w:tbl>
            <w:tblPr>
              <w:tblStyle w:val="20"/>
              <w:tblW w:w="4998" w:type="pct"/>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80"/>
              <w:gridCol w:w="1539"/>
              <w:gridCol w:w="1814"/>
              <w:gridCol w:w="4546"/>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96" w:type="pct"/>
                  <w:tcBorders>
                    <w:top w:val="single" w:color="auto" w:sz="12" w:space="0"/>
                    <w:bottom w:val="single" w:color="auto" w:sz="4" w:space="0"/>
                  </w:tcBorders>
                </w:tcPr>
                <w:p>
                  <w:pPr>
                    <w:pStyle w:val="13"/>
                    <w:tabs>
                      <w:tab w:val="left" w:pos="2830"/>
                    </w:tabs>
                    <w:jc w:val="center"/>
                    <w:rPr>
                      <w:rFonts w:ascii="Times New Roman" w:hAnsi="Times New Roman"/>
                      <w:color w:val="auto"/>
                      <w:sz w:val="18"/>
                      <w:szCs w:val="18"/>
                    </w:rPr>
                  </w:pPr>
                  <w:r>
                    <w:rPr>
                      <w:rFonts w:ascii="Times New Roman" w:hAnsi="Times New Roman"/>
                      <w:color w:val="auto"/>
                      <w:sz w:val="18"/>
                      <w:szCs w:val="18"/>
                    </w:rPr>
                    <w:t>序号</w:t>
                  </w:r>
                </w:p>
              </w:tc>
              <w:tc>
                <w:tcPr>
                  <w:tcW w:w="897" w:type="pct"/>
                  <w:tcBorders>
                    <w:top w:val="single" w:color="auto" w:sz="12" w:space="0"/>
                    <w:bottom w:val="single" w:color="auto" w:sz="4" w:space="0"/>
                  </w:tcBorders>
                </w:tcPr>
                <w:p>
                  <w:pPr>
                    <w:pStyle w:val="13"/>
                    <w:tabs>
                      <w:tab w:val="left" w:pos="2830"/>
                    </w:tabs>
                    <w:jc w:val="center"/>
                    <w:rPr>
                      <w:rFonts w:ascii="Times New Roman" w:hAnsi="Times New Roman"/>
                      <w:color w:val="auto"/>
                      <w:sz w:val="18"/>
                      <w:szCs w:val="18"/>
                    </w:rPr>
                  </w:pPr>
                  <w:r>
                    <w:rPr>
                      <w:rFonts w:ascii="Times New Roman" w:hAnsi="Times New Roman"/>
                      <w:color w:val="auto"/>
                      <w:sz w:val="18"/>
                      <w:szCs w:val="18"/>
                    </w:rPr>
                    <w:t>基本控制项目</w:t>
                  </w:r>
                </w:p>
              </w:tc>
              <w:tc>
                <w:tcPr>
                  <w:tcW w:w="1057" w:type="pct"/>
                  <w:tcBorders>
                    <w:top w:val="single" w:color="auto" w:sz="12" w:space="0"/>
                    <w:bottom w:val="single" w:color="auto" w:sz="4" w:space="0"/>
                  </w:tcBorders>
                </w:tcPr>
                <w:p>
                  <w:pPr>
                    <w:pStyle w:val="13"/>
                    <w:tabs>
                      <w:tab w:val="left" w:pos="2830"/>
                    </w:tabs>
                    <w:jc w:val="center"/>
                    <w:rPr>
                      <w:rFonts w:ascii="Times New Roman" w:hAnsi="Times New Roman"/>
                      <w:color w:val="auto"/>
                      <w:sz w:val="18"/>
                      <w:szCs w:val="18"/>
                    </w:rPr>
                  </w:pPr>
                  <w:r>
                    <w:rPr>
                      <w:rFonts w:ascii="Times New Roman" w:hAnsi="Times New Roman"/>
                      <w:color w:val="auto"/>
                      <w:sz w:val="18"/>
                      <w:szCs w:val="18"/>
                    </w:rPr>
                    <w:t>标准限值</w:t>
                  </w:r>
                </w:p>
              </w:tc>
              <w:tc>
                <w:tcPr>
                  <w:tcW w:w="2649" w:type="pct"/>
                  <w:tcBorders>
                    <w:top w:val="single" w:color="auto" w:sz="12" w:space="0"/>
                    <w:bottom w:val="single" w:color="auto" w:sz="4" w:space="0"/>
                  </w:tcBorders>
                </w:tcPr>
                <w:p>
                  <w:pPr>
                    <w:pStyle w:val="13"/>
                    <w:tabs>
                      <w:tab w:val="left" w:pos="2830"/>
                    </w:tabs>
                    <w:jc w:val="center"/>
                    <w:rPr>
                      <w:rFonts w:ascii="Times New Roman" w:hAnsi="Times New Roman"/>
                      <w:color w:val="auto"/>
                      <w:sz w:val="18"/>
                      <w:szCs w:val="18"/>
                    </w:rPr>
                  </w:pPr>
                  <w:r>
                    <w:rPr>
                      <w:rFonts w:ascii="Times New Roman" w:hAnsi="Times New Roman"/>
                      <w:color w:val="auto"/>
                      <w:sz w:val="18"/>
                      <w:szCs w:val="18"/>
                    </w:rPr>
                    <w:t>执行标准</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96" w:type="pct"/>
                  <w:tcBorders>
                    <w:top w:val="single" w:color="auto" w:sz="4" w:space="0"/>
                  </w:tcBorders>
                </w:tcPr>
                <w:p>
                  <w:pPr>
                    <w:pStyle w:val="13"/>
                    <w:tabs>
                      <w:tab w:val="left" w:pos="2830"/>
                    </w:tabs>
                    <w:jc w:val="center"/>
                    <w:rPr>
                      <w:rFonts w:ascii="Times New Roman" w:hAnsi="Times New Roman"/>
                      <w:color w:val="auto"/>
                      <w:sz w:val="18"/>
                      <w:szCs w:val="18"/>
                    </w:rPr>
                  </w:pPr>
                  <w:r>
                    <w:rPr>
                      <w:rFonts w:ascii="Times New Roman" w:hAnsi="Times New Roman"/>
                      <w:color w:val="auto"/>
                      <w:sz w:val="18"/>
                      <w:szCs w:val="18"/>
                    </w:rPr>
                    <w:t>1</w:t>
                  </w:r>
                </w:p>
              </w:tc>
              <w:tc>
                <w:tcPr>
                  <w:tcW w:w="897" w:type="pct"/>
                  <w:tcBorders>
                    <w:top w:val="single" w:color="auto" w:sz="4" w:space="0"/>
                  </w:tcBorders>
                </w:tcPr>
                <w:p>
                  <w:pPr>
                    <w:pStyle w:val="13"/>
                    <w:tabs>
                      <w:tab w:val="left" w:pos="2830"/>
                    </w:tabs>
                    <w:jc w:val="center"/>
                    <w:rPr>
                      <w:rFonts w:ascii="Times New Roman" w:hAnsi="Times New Roman"/>
                      <w:color w:val="auto"/>
                      <w:sz w:val="18"/>
                      <w:szCs w:val="18"/>
                    </w:rPr>
                  </w:pPr>
                  <w:r>
                    <w:rPr>
                      <w:rFonts w:ascii="Times New Roman" w:hAnsi="Times New Roman"/>
                      <w:color w:val="auto"/>
                      <w:sz w:val="18"/>
                      <w:szCs w:val="18"/>
                    </w:rPr>
                    <w:t>COD</w:t>
                  </w:r>
                </w:p>
              </w:tc>
              <w:tc>
                <w:tcPr>
                  <w:tcW w:w="1057" w:type="pct"/>
                  <w:tcBorders>
                    <w:top w:val="single" w:color="auto" w:sz="4" w:space="0"/>
                  </w:tcBorders>
                </w:tcPr>
                <w:p>
                  <w:pPr>
                    <w:pStyle w:val="13"/>
                    <w:tabs>
                      <w:tab w:val="left" w:pos="2830"/>
                    </w:tabs>
                    <w:jc w:val="center"/>
                    <w:rPr>
                      <w:rFonts w:ascii="Times New Roman" w:hAnsi="Times New Roman"/>
                      <w:color w:val="auto"/>
                      <w:sz w:val="18"/>
                      <w:szCs w:val="18"/>
                    </w:rPr>
                  </w:pPr>
                  <w:r>
                    <w:rPr>
                      <w:rFonts w:ascii="Times New Roman" w:hAnsi="Times New Roman"/>
                      <w:color w:val="auto"/>
                      <w:sz w:val="18"/>
                      <w:szCs w:val="18"/>
                    </w:rPr>
                    <w:t>200</w:t>
                  </w:r>
                </w:p>
              </w:tc>
              <w:tc>
                <w:tcPr>
                  <w:tcW w:w="2649" w:type="pct"/>
                  <w:vMerge w:val="restart"/>
                  <w:tcBorders>
                    <w:top w:val="single" w:color="auto" w:sz="4" w:space="0"/>
                  </w:tcBorders>
                </w:tcPr>
                <w:p>
                  <w:pPr>
                    <w:pStyle w:val="13"/>
                    <w:tabs>
                      <w:tab w:val="left" w:pos="2830"/>
                    </w:tabs>
                    <w:jc w:val="center"/>
                    <w:rPr>
                      <w:rFonts w:ascii="Times New Roman" w:hAnsi="Times New Roman"/>
                      <w:color w:val="auto"/>
                      <w:sz w:val="18"/>
                      <w:szCs w:val="18"/>
                    </w:rPr>
                  </w:pPr>
                  <w:r>
                    <w:rPr>
                      <w:rFonts w:ascii="Times New Roman" w:hAnsi="Times New Roman"/>
                      <w:color w:val="auto"/>
                      <w:sz w:val="18"/>
                      <w:szCs w:val="18"/>
                    </w:rPr>
                    <w:t>《农田灌溉水质标准》（GB5084-2021）表1中旱地作物标准</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96" w:type="pct"/>
                </w:tcPr>
                <w:p>
                  <w:pPr>
                    <w:pStyle w:val="13"/>
                    <w:tabs>
                      <w:tab w:val="left" w:pos="2830"/>
                    </w:tabs>
                    <w:jc w:val="center"/>
                    <w:rPr>
                      <w:rFonts w:ascii="Times New Roman" w:hAnsi="Times New Roman"/>
                      <w:color w:val="auto"/>
                      <w:sz w:val="18"/>
                      <w:szCs w:val="18"/>
                    </w:rPr>
                  </w:pPr>
                  <w:r>
                    <w:rPr>
                      <w:rFonts w:ascii="Times New Roman" w:hAnsi="Times New Roman"/>
                      <w:color w:val="auto"/>
                      <w:sz w:val="18"/>
                      <w:szCs w:val="18"/>
                    </w:rPr>
                    <w:t>2</w:t>
                  </w:r>
                </w:p>
              </w:tc>
              <w:tc>
                <w:tcPr>
                  <w:tcW w:w="897" w:type="pct"/>
                </w:tcPr>
                <w:p>
                  <w:pPr>
                    <w:pStyle w:val="13"/>
                    <w:tabs>
                      <w:tab w:val="left" w:pos="2830"/>
                    </w:tabs>
                    <w:jc w:val="center"/>
                    <w:rPr>
                      <w:rFonts w:ascii="Times New Roman" w:hAnsi="Times New Roman"/>
                      <w:color w:val="auto"/>
                      <w:sz w:val="18"/>
                      <w:szCs w:val="18"/>
                    </w:rPr>
                  </w:pPr>
                  <w:r>
                    <w:rPr>
                      <w:rFonts w:ascii="Times New Roman" w:hAnsi="Times New Roman"/>
                      <w:color w:val="auto"/>
                      <w:sz w:val="18"/>
                      <w:szCs w:val="18"/>
                    </w:rPr>
                    <w:t>SS</w:t>
                  </w:r>
                </w:p>
              </w:tc>
              <w:tc>
                <w:tcPr>
                  <w:tcW w:w="1057" w:type="pct"/>
                </w:tcPr>
                <w:p>
                  <w:pPr>
                    <w:pStyle w:val="13"/>
                    <w:tabs>
                      <w:tab w:val="left" w:pos="2830"/>
                    </w:tabs>
                    <w:jc w:val="center"/>
                    <w:rPr>
                      <w:rFonts w:ascii="Times New Roman" w:hAnsi="Times New Roman"/>
                      <w:color w:val="auto"/>
                      <w:sz w:val="18"/>
                      <w:szCs w:val="18"/>
                    </w:rPr>
                  </w:pPr>
                  <w:r>
                    <w:rPr>
                      <w:rFonts w:ascii="Times New Roman" w:hAnsi="Times New Roman"/>
                      <w:color w:val="auto"/>
                      <w:sz w:val="18"/>
                      <w:szCs w:val="18"/>
                    </w:rPr>
                    <w:t>100</w:t>
                  </w:r>
                </w:p>
              </w:tc>
              <w:tc>
                <w:tcPr>
                  <w:tcW w:w="2649" w:type="pct"/>
                  <w:vMerge w:val="continue"/>
                </w:tcPr>
                <w:p>
                  <w:pPr>
                    <w:jc w:val="center"/>
                    <w:rPr>
                      <w:bCs/>
                      <w:color w:val="auto"/>
                      <w:sz w:val="18"/>
                      <w:szCs w:val="18"/>
                    </w:rPr>
                  </w:pPr>
                </w:p>
              </w:tc>
            </w:tr>
          </w:tbl>
          <w:p>
            <w:pPr>
              <w:wordWrap w:val="0"/>
              <w:spacing w:line="360" w:lineRule="auto"/>
              <w:ind w:firstLine="482" w:firstLineChars="200"/>
              <w:jc w:val="left"/>
              <w:rPr>
                <w:b/>
                <w:color w:val="auto"/>
                <w:sz w:val="24"/>
                <w:lang w:val="zh-CN"/>
              </w:rPr>
            </w:pPr>
            <w:r>
              <w:rPr>
                <w:b/>
                <w:color w:val="auto"/>
                <w:sz w:val="24"/>
              </w:rPr>
              <w:t>3、</w:t>
            </w:r>
            <w:r>
              <w:rPr>
                <w:b/>
                <w:color w:val="auto"/>
                <w:sz w:val="24"/>
                <w:lang w:val="zh-CN"/>
              </w:rPr>
              <w:t>噪声排放标准</w:t>
            </w:r>
          </w:p>
          <w:p>
            <w:pPr>
              <w:tabs>
                <w:tab w:val="left" w:pos="2160"/>
              </w:tabs>
              <w:wordWrap w:val="0"/>
              <w:adjustRightInd w:val="0"/>
              <w:snapToGrid w:val="0"/>
              <w:spacing w:line="360" w:lineRule="auto"/>
              <w:ind w:firstLine="480" w:firstLineChars="200"/>
              <w:rPr>
                <w:color w:val="auto"/>
                <w:sz w:val="24"/>
              </w:rPr>
            </w:pPr>
            <w:r>
              <w:rPr>
                <w:color w:val="auto"/>
                <w:sz w:val="24"/>
              </w:rPr>
              <w:t>(1)施工期：项目施工期噪声执行《建筑施工场界环境噪声排放标准》（GB12523-2011）中的要求，具体见下表3.3-6。</w:t>
            </w:r>
          </w:p>
          <w:p>
            <w:pPr>
              <w:tabs>
                <w:tab w:val="left" w:pos="2160"/>
              </w:tabs>
              <w:wordWrap w:val="0"/>
              <w:adjustRightInd w:val="0"/>
              <w:snapToGrid w:val="0"/>
              <w:spacing w:line="360" w:lineRule="auto"/>
              <w:jc w:val="center"/>
              <w:rPr>
                <w:b/>
                <w:color w:val="auto"/>
                <w:kern w:val="0"/>
                <w:szCs w:val="21"/>
                <w:lang w:val="zh-CN"/>
              </w:rPr>
            </w:pPr>
          </w:p>
          <w:p>
            <w:pPr>
              <w:tabs>
                <w:tab w:val="left" w:pos="2160"/>
              </w:tabs>
              <w:wordWrap w:val="0"/>
              <w:adjustRightInd w:val="0"/>
              <w:snapToGrid w:val="0"/>
              <w:spacing w:line="360" w:lineRule="auto"/>
              <w:jc w:val="center"/>
              <w:rPr>
                <w:b/>
                <w:color w:val="auto"/>
                <w:kern w:val="0"/>
                <w:szCs w:val="21"/>
                <w:lang w:val="zh-CN"/>
              </w:rPr>
            </w:pPr>
          </w:p>
          <w:p>
            <w:pPr>
              <w:tabs>
                <w:tab w:val="left" w:pos="2160"/>
              </w:tabs>
              <w:wordWrap w:val="0"/>
              <w:adjustRightInd w:val="0"/>
              <w:snapToGrid w:val="0"/>
              <w:spacing w:line="360" w:lineRule="auto"/>
              <w:jc w:val="center"/>
              <w:rPr>
                <w:b/>
                <w:color w:val="auto"/>
                <w:sz w:val="24"/>
              </w:rPr>
            </w:pPr>
            <w:r>
              <w:rPr>
                <w:b/>
                <w:color w:val="auto"/>
                <w:kern w:val="0"/>
                <w:szCs w:val="21"/>
                <w:lang w:val="zh-CN"/>
              </w:rPr>
              <w:t>表</w:t>
            </w:r>
            <w:r>
              <w:rPr>
                <w:b/>
                <w:color w:val="auto"/>
                <w:kern w:val="0"/>
                <w:szCs w:val="21"/>
              </w:rPr>
              <w:t>3.3-6</w:t>
            </w:r>
            <w:r>
              <w:rPr>
                <w:b/>
                <w:color w:val="auto"/>
                <w:kern w:val="0"/>
                <w:szCs w:val="21"/>
                <w:lang w:val="zh-CN"/>
              </w:rPr>
              <w:t xml:space="preserve"> 建筑施工场界环境噪声排放标准 单位：dB（A）</w:t>
            </w:r>
          </w:p>
          <w:tbl>
            <w:tblPr>
              <w:tblStyle w:val="20"/>
              <w:tblW w:w="4996"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66"/>
              <w:gridCol w:w="1462"/>
              <w:gridCol w:w="574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96" w:type="pct"/>
                  <w:tcBorders>
                    <w:bottom w:val="single" w:color="auto" w:sz="4" w:space="0"/>
                    <w:right w:val="single" w:color="auto" w:sz="4" w:space="0"/>
                  </w:tcBorders>
                  <w:vAlign w:val="center"/>
                </w:tcPr>
                <w:p>
                  <w:pPr>
                    <w:pStyle w:val="33"/>
                    <w:rPr>
                      <w:b/>
                      <w:color w:val="auto"/>
                      <w:szCs w:val="21"/>
                    </w:rPr>
                  </w:pPr>
                  <w:r>
                    <w:rPr>
                      <w:b/>
                      <w:color w:val="auto"/>
                      <w:szCs w:val="21"/>
                    </w:rPr>
                    <w:t>昼间</w:t>
                  </w:r>
                </w:p>
              </w:tc>
              <w:tc>
                <w:tcPr>
                  <w:tcW w:w="852" w:type="pct"/>
                  <w:tcBorders>
                    <w:left w:val="single" w:color="auto" w:sz="4" w:space="0"/>
                    <w:bottom w:val="single" w:color="auto" w:sz="4" w:space="0"/>
                    <w:right w:val="single" w:color="auto" w:sz="4" w:space="0"/>
                  </w:tcBorders>
                  <w:vAlign w:val="center"/>
                </w:tcPr>
                <w:p>
                  <w:pPr>
                    <w:pStyle w:val="33"/>
                    <w:rPr>
                      <w:b/>
                      <w:color w:val="auto"/>
                      <w:szCs w:val="21"/>
                    </w:rPr>
                  </w:pPr>
                  <w:r>
                    <w:rPr>
                      <w:b/>
                      <w:color w:val="auto"/>
                      <w:szCs w:val="21"/>
                    </w:rPr>
                    <w:t>夜间</w:t>
                  </w:r>
                </w:p>
              </w:tc>
              <w:tc>
                <w:tcPr>
                  <w:tcW w:w="3350" w:type="pct"/>
                  <w:tcBorders>
                    <w:left w:val="single" w:color="auto" w:sz="4" w:space="0"/>
                    <w:bottom w:val="single" w:color="auto" w:sz="4" w:space="0"/>
                  </w:tcBorders>
                  <w:vAlign w:val="center"/>
                </w:tcPr>
                <w:p>
                  <w:pPr>
                    <w:pStyle w:val="33"/>
                    <w:rPr>
                      <w:b/>
                      <w:color w:val="auto"/>
                      <w:szCs w:val="21"/>
                    </w:rPr>
                  </w:pPr>
                  <w:r>
                    <w:rPr>
                      <w:b/>
                      <w:color w:val="auto"/>
                      <w:szCs w:val="21"/>
                    </w:rPr>
                    <w:t>标准来源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96" w:type="pct"/>
                  <w:tcBorders>
                    <w:top w:val="single" w:color="auto" w:sz="4" w:space="0"/>
                    <w:right w:val="single" w:color="auto" w:sz="4" w:space="0"/>
                  </w:tcBorders>
                  <w:vAlign w:val="center"/>
                </w:tcPr>
                <w:p>
                  <w:pPr>
                    <w:pStyle w:val="33"/>
                    <w:rPr>
                      <w:color w:val="auto"/>
                      <w:szCs w:val="21"/>
                    </w:rPr>
                  </w:pPr>
                  <w:r>
                    <w:rPr>
                      <w:color w:val="auto"/>
                      <w:szCs w:val="21"/>
                    </w:rPr>
                    <w:t>70</w:t>
                  </w:r>
                </w:p>
              </w:tc>
              <w:tc>
                <w:tcPr>
                  <w:tcW w:w="852" w:type="pct"/>
                  <w:tcBorders>
                    <w:top w:val="single" w:color="auto" w:sz="4" w:space="0"/>
                    <w:left w:val="single" w:color="auto" w:sz="4" w:space="0"/>
                    <w:right w:val="single" w:color="auto" w:sz="4" w:space="0"/>
                  </w:tcBorders>
                  <w:vAlign w:val="center"/>
                </w:tcPr>
                <w:p>
                  <w:pPr>
                    <w:pStyle w:val="33"/>
                    <w:rPr>
                      <w:color w:val="auto"/>
                      <w:szCs w:val="21"/>
                    </w:rPr>
                  </w:pPr>
                  <w:r>
                    <w:rPr>
                      <w:color w:val="auto"/>
                      <w:szCs w:val="21"/>
                    </w:rPr>
                    <w:t>55</w:t>
                  </w:r>
                </w:p>
              </w:tc>
              <w:tc>
                <w:tcPr>
                  <w:tcW w:w="3350" w:type="pct"/>
                  <w:tcBorders>
                    <w:top w:val="single" w:color="auto" w:sz="4" w:space="0"/>
                    <w:left w:val="single" w:color="auto" w:sz="4" w:space="0"/>
                  </w:tcBorders>
                  <w:vAlign w:val="center"/>
                </w:tcPr>
                <w:p>
                  <w:pPr>
                    <w:pStyle w:val="33"/>
                    <w:rPr>
                      <w:color w:val="auto"/>
                      <w:szCs w:val="21"/>
                    </w:rPr>
                  </w:pPr>
                  <w:r>
                    <w:rPr>
                      <w:color w:val="auto"/>
                      <w:szCs w:val="21"/>
                    </w:rPr>
                    <w:t>《建筑施工场界环境噪声排放标准》（GB12523-2011）</w:t>
                  </w:r>
                </w:p>
              </w:tc>
            </w:tr>
          </w:tbl>
          <w:p>
            <w:pPr>
              <w:tabs>
                <w:tab w:val="left" w:pos="2160"/>
              </w:tabs>
              <w:wordWrap w:val="0"/>
              <w:adjustRightInd w:val="0"/>
              <w:snapToGrid w:val="0"/>
              <w:spacing w:line="360" w:lineRule="auto"/>
              <w:ind w:firstLine="422" w:firstLineChars="200"/>
              <w:rPr>
                <w:color w:val="auto"/>
                <w:sz w:val="24"/>
              </w:rPr>
            </w:pPr>
            <w:r>
              <w:rPr>
                <w:b/>
                <w:bCs/>
                <w:color w:val="auto"/>
                <w:szCs w:val="21"/>
              </w:rPr>
              <w:t>注：夜间噪声最大声级超过限值的幅度不得高于15dB（A）。</w:t>
            </w:r>
          </w:p>
          <w:p>
            <w:pPr>
              <w:numPr>
                <w:ilvl w:val="0"/>
                <w:numId w:val="4"/>
              </w:numPr>
              <w:tabs>
                <w:tab w:val="left" w:pos="2160"/>
              </w:tabs>
              <w:wordWrap w:val="0"/>
              <w:adjustRightInd w:val="0"/>
              <w:snapToGrid w:val="0"/>
              <w:spacing w:line="360" w:lineRule="auto"/>
              <w:ind w:firstLine="480" w:firstLineChars="200"/>
              <w:rPr>
                <w:color w:val="auto"/>
                <w:sz w:val="24"/>
              </w:rPr>
            </w:pPr>
            <w:r>
              <w:rPr>
                <w:color w:val="auto"/>
                <w:sz w:val="24"/>
              </w:rPr>
              <w:t>运营期：建设项目所在地位于淮阴区古清口街道，施工期执行《建筑施工厂界环境噪声排放标准》（GB12523-2011）表1中标准，营运期厂界噪声执行《工业企业厂界环境噪声排放标准》（GB12348-2008）中的</w:t>
            </w:r>
            <w:r>
              <w:rPr>
                <w:rFonts w:hint="eastAsia"/>
                <w:color w:val="auto"/>
                <w:sz w:val="24"/>
              </w:rPr>
              <w:t>3</w:t>
            </w:r>
            <w:r>
              <w:rPr>
                <w:color w:val="auto"/>
                <w:sz w:val="24"/>
              </w:rPr>
              <w:t>类标准，具体标准见表 3.3-7。</w:t>
            </w:r>
          </w:p>
          <w:p>
            <w:pPr>
              <w:tabs>
                <w:tab w:val="left" w:pos="2160"/>
              </w:tabs>
              <w:wordWrap w:val="0"/>
              <w:adjustRightInd w:val="0"/>
              <w:snapToGrid w:val="0"/>
              <w:jc w:val="center"/>
              <w:rPr>
                <w:b/>
                <w:color w:val="auto"/>
                <w:kern w:val="0"/>
                <w:szCs w:val="21"/>
              </w:rPr>
            </w:pPr>
            <w:r>
              <w:rPr>
                <w:b/>
                <w:color w:val="auto"/>
                <w:kern w:val="0"/>
                <w:szCs w:val="21"/>
              </w:rPr>
              <w:t>表3.3-7 运营期</w:t>
            </w:r>
            <w:r>
              <w:rPr>
                <w:b/>
                <w:color w:val="auto"/>
                <w:kern w:val="0"/>
                <w:szCs w:val="21"/>
                <w:lang w:val="zh-CN"/>
              </w:rPr>
              <w:t>噪声排放标准</w:t>
            </w:r>
            <w:r>
              <w:rPr>
                <w:b/>
                <w:color w:val="auto"/>
                <w:kern w:val="0"/>
                <w:szCs w:val="21"/>
              </w:rPr>
              <w:t xml:space="preserve">  </w:t>
            </w:r>
            <w:r>
              <w:rPr>
                <w:b/>
                <w:color w:val="auto"/>
                <w:szCs w:val="21"/>
              </w:rPr>
              <w:t>单位：dB（A）</w:t>
            </w:r>
          </w:p>
          <w:tbl>
            <w:tblPr>
              <w:tblStyle w:val="20"/>
              <w:tblW w:w="4924"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365"/>
              <w:gridCol w:w="976"/>
              <w:gridCol w:w="869"/>
              <w:gridCol w:w="869"/>
              <w:gridCol w:w="237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990" w:type="pct"/>
                  <w:tcBorders>
                    <w:top w:val="single" w:color="auto" w:sz="12" w:space="0"/>
                    <w:left w:val="nil"/>
                    <w:bottom w:val="single" w:color="auto" w:sz="4" w:space="0"/>
                    <w:right w:val="single" w:color="auto" w:sz="4" w:space="0"/>
                  </w:tcBorders>
                  <w:vAlign w:val="center"/>
                </w:tcPr>
                <w:p>
                  <w:pPr>
                    <w:wordWrap w:val="0"/>
                    <w:jc w:val="center"/>
                    <w:rPr>
                      <w:b/>
                      <w:color w:val="auto"/>
                      <w:szCs w:val="21"/>
                    </w:rPr>
                  </w:pPr>
                  <w:r>
                    <w:rPr>
                      <w:b/>
                      <w:color w:val="auto"/>
                      <w:szCs w:val="21"/>
                    </w:rPr>
                    <w:t>评价标准</w:t>
                  </w:r>
                </w:p>
              </w:tc>
              <w:tc>
                <w:tcPr>
                  <w:tcW w:w="577" w:type="pct"/>
                  <w:tcBorders>
                    <w:top w:val="single" w:color="auto" w:sz="12" w:space="0"/>
                    <w:left w:val="single" w:color="auto" w:sz="4" w:space="0"/>
                    <w:bottom w:val="single" w:color="auto" w:sz="4" w:space="0"/>
                    <w:right w:val="single" w:color="auto" w:sz="4" w:space="0"/>
                  </w:tcBorders>
                  <w:vAlign w:val="center"/>
                </w:tcPr>
                <w:p>
                  <w:pPr>
                    <w:wordWrap w:val="0"/>
                    <w:jc w:val="center"/>
                    <w:rPr>
                      <w:b/>
                      <w:color w:val="auto"/>
                      <w:szCs w:val="21"/>
                    </w:rPr>
                  </w:pPr>
                  <w:r>
                    <w:rPr>
                      <w:b/>
                      <w:color w:val="auto"/>
                      <w:szCs w:val="21"/>
                    </w:rPr>
                    <w:t>类别</w:t>
                  </w:r>
                </w:p>
              </w:tc>
              <w:tc>
                <w:tcPr>
                  <w:tcW w:w="514" w:type="pct"/>
                  <w:tcBorders>
                    <w:top w:val="single" w:color="auto" w:sz="12" w:space="0"/>
                    <w:left w:val="single" w:color="auto" w:sz="4" w:space="0"/>
                    <w:bottom w:val="single" w:color="auto" w:sz="4" w:space="0"/>
                    <w:right w:val="single" w:color="auto" w:sz="4" w:space="0"/>
                  </w:tcBorders>
                  <w:vAlign w:val="center"/>
                </w:tcPr>
                <w:p>
                  <w:pPr>
                    <w:wordWrap w:val="0"/>
                    <w:jc w:val="center"/>
                    <w:rPr>
                      <w:b/>
                      <w:color w:val="auto"/>
                      <w:szCs w:val="21"/>
                    </w:rPr>
                  </w:pPr>
                  <w:r>
                    <w:rPr>
                      <w:b/>
                      <w:color w:val="auto"/>
                      <w:szCs w:val="21"/>
                    </w:rPr>
                    <w:t>昼间</w:t>
                  </w:r>
                </w:p>
              </w:tc>
              <w:tc>
                <w:tcPr>
                  <w:tcW w:w="514" w:type="pct"/>
                  <w:tcBorders>
                    <w:top w:val="single" w:color="auto" w:sz="12" w:space="0"/>
                    <w:left w:val="single" w:color="auto" w:sz="4" w:space="0"/>
                    <w:bottom w:val="single" w:color="auto" w:sz="4" w:space="0"/>
                    <w:right w:val="single" w:color="auto" w:sz="4" w:space="0"/>
                  </w:tcBorders>
                  <w:vAlign w:val="center"/>
                </w:tcPr>
                <w:p>
                  <w:pPr>
                    <w:wordWrap w:val="0"/>
                    <w:jc w:val="center"/>
                    <w:rPr>
                      <w:b/>
                      <w:color w:val="auto"/>
                      <w:szCs w:val="21"/>
                    </w:rPr>
                  </w:pPr>
                  <w:r>
                    <w:rPr>
                      <w:b/>
                      <w:color w:val="auto"/>
                      <w:szCs w:val="21"/>
                    </w:rPr>
                    <w:t>夜间</w:t>
                  </w:r>
                </w:p>
              </w:tc>
              <w:tc>
                <w:tcPr>
                  <w:tcW w:w="1403" w:type="pct"/>
                  <w:tcBorders>
                    <w:top w:val="single" w:color="auto" w:sz="12" w:space="0"/>
                    <w:left w:val="single" w:color="auto" w:sz="4" w:space="0"/>
                    <w:bottom w:val="single" w:color="auto" w:sz="4" w:space="0"/>
                    <w:right w:val="nil"/>
                  </w:tcBorders>
                  <w:vAlign w:val="center"/>
                </w:tcPr>
                <w:p>
                  <w:pPr>
                    <w:wordWrap w:val="0"/>
                    <w:jc w:val="center"/>
                    <w:rPr>
                      <w:b/>
                      <w:color w:val="auto"/>
                      <w:szCs w:val="21"/>
                    </w:rPr>
                  </w:pPr>
                  <w:r>
                    <w:rPr>
                      <w:b/>
                      <w:color w:val="auto"/>
                      <w:szCs w:val="21"/>
                    </w:rPr>
                    <w:t>备注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990" w:type="pct"/>
                  <w:tcBorders>
                    <w:top w:val="single" w:color="auto" w:sz="4" w:space="0"/>
                    <w:left w:val="nil"/>
                    <w:bottom w:val="single" w:color="auto" w:sz="12" w:space="0"/>
                    <w:right w:val="single" w:color="auto" w:sz="4" w:space="0"/>
                  </w:tcBorders>
                  <w:vAlign w:val="center"/>
                </w:tcPr>
                <w:p>
                  <w:pPr>
                    <w:wordWrap w:val="0"/>
                    <w:jc w:val="center"/>
                    <w:rPr>
                      <w:color w:val="auto"/>
                      <w:szCs w:val="21"/>
                    </w:rPr>
                  </w:pPr>
                  <w:r>
                    <w:rPr>
                      <w:color w:val="auto"/>
                      <w:szCs w:val="21"/>
                    </w:rPr>
                    <w:t>《工业企业厂界环境噪声排放标准》（GB12348-2008）</w:t>
                  </w:r>
                </w:p>
              </w:tc>
              <w:tc>
                <w:tcPr>
                  <w:tcW w:w="577" w:type="pct"/>
                  <w:tcBorders>
                    <w:top w:val="single" w:color="auto" w:sz="4" w:space="0"/>
                    <w:left w:val="single" w:color="auto" w:sz="4" w:space="0"/>
                    <w:bottom w:val="single" w:color="auto" w:sz="12" w:space="0"/>
                    <w:right w:val="single" w:color="auto" w:sz="4" w:space="0"/>
                  </w:tcBorders>
                  <w:vAlign w:val="center"/>
                </w:tcPr>
                <w:p>
                  <w:pPr>
                    <w:wordWrap w:val="0"/>
                    <w:jc w:val="center"/>
                    <w:rPr>
                      <w:color w:val="auto"/>
                      <w:szCs w:val="21"/>
                    </w:rPr>
                  </w:pPr>
                  <w:r>
                    <w:rPr>
                      <w:rFonts w:hint="eastAsia"/>
                      <w:color w:val="auto"/>
                      <w:szCs w:val="21"/>
                    </w:rPr>
                    <w:t>3</w:t>
                  </w:r>
                  <w:r>
                    <w:rPr>
                      <w:color w:val="auto"/>
                      <w:szCs w:val="21"/>
                    </w:rPr>
                    <w:t>类</w:t>
                  </w:r>
                </w:p>
              </w:tc>
              <w:tc>
                <w:tcPr>
                  <w:tcW w:w="514" w:type="pct"/>
                  <w:tcBorders>
                    <w:top w:val="single" w:color="auto" w:sz="4" w:space="0"/>
                    <w:left w:val="single" w:color="auto" w:sz="4" w:space="0"/>
                    <w:bottom w:val="single" w:color="auto" w:sz="12" w:space="0"/>
                    <w:right w:val="single" w:color="auto" w:sz="4" w:space="0"/>
                  </w:tcBorders>
                  <w:vAlign w:val="center"/>
                </w:tcPr>
                <w:p>
                  <w:pPr>
                    <w:wordWrap w:val="0"/>
                    <w:jc w:val="center"/>
                    <w:rPr>
                      <w:color w:val="auto"/>
                      <w:szCs w:val="21"/>
                    </w:rPr>
                  </w:pPr>
                  <w:r>
                    <w:rPr>
                      <w:color w:val="auto"/>
                      <w:szCs w:val="21"/>
                    </w:rPr>
                    <w:t>6</w:t>
                  </w:r>
                  <w:r>
                    <w:rPr>
                      <w:rFonts w:hint="eastAsia"/>
                      <w:color w:val="auto"/>
                      <w:szCs w:val="21"/>
                    </w:rPr>
                    <w:t>5</w:t>
                  </w:r>
                </w:p>
              </w:tc>
              <w:tc>
                <w:tcPr>
                  <w:tcW w:w="514" w:type="pct"/>
                  <w:tcBorders>
                    <w:top w:val="single" w:color="auto" w:sz="4" w:space="0"/>
                    <w:left w:val="single" w:color="auto" w:sz="4" w:space="0"/>
                    <w:bottom w:val="single" w:color="auto" w:sz="12" w:space="0"/>
                    <w:right w:val="single" w:color="auto" w:sz="4" w:space="0"/>
                  </w:tcBorders>
                  <w:vAlign w:val="center"/>
                </w:tcPr>
                <w:p>
                  <w:pPr>
                    <w:wordWrap w:val="0"/>
                    <w:jc w:val="center"/>
                    <w:rPr>
                      <w:color w:val="auto"/>
                      <w:szCs w:val="21"/>
                    </w:rPr>
                  </w:pPr>
                  <w:r>
                    <w:rPr>
                      <w:color w:val="auto"/>
                      <w:szCs w:val="21"/>
                    </w:rPr>
                    <w:t>5</w:t>
                  </w:r>
                  <w:r>
                    <w:rPr>
                      <w:rFonts w:hint="eastAsia"/>
                      <w:color w:val="auto"/>
                      <w:szCs w:val="21"/>
                    </w:rPr>
                    <w:t>5</w:t>
                  </w:r>
                </w:p>
              </w:tc>
              <w:tc>
                <w:tcPr>
                  <w:tcW w:w="1403" w:type="pct"/>
                  <w:tcBorders>
                    <w:top w:val="single" w:color="auto" w:sz="4" w:space="0"/>
                    <w:left w:val="single" w:color="auto" w:sz="4" w:space="0"/>
                    <w:bottom w:val="single" w:color="auto" w:sz="12" w:space="0"/>
                    <w:right w:val="nil"/>
                  </w:tcBorders>
                  <w:vAlign w:val="center"/>
                </w:tcPr>
                <w:p>
                  <w:pPr>
                    <w:widowControl/>
                    <w:jc w:val="left"/>
                    <w:rPr>
                      <w:color w:val="auto"/>
                      <w:szCs w:val="21"/>
                    </w:rPr>
                  </w:pPr>
                  <w:r>
                    <w:rPr>
                      <w:color w:val="auto"/>
                      <w:kern w:val="0"/>
                      <w:szCs w:val="21"/>
                      <w:lang w:bidi="ar"/>
                    </w:rPr>
                    <w:t>厂界东侧、西侧、南侧、北侧</w:t>
                  </w:r>
                </w:p>
              </w:tc>
            </w:tr>
          </w:tbl>
          <w:p>
            <w:pPr>
              <w:wordWrap w:val="0"/>
              <w:spacing w:line="360" w:lineRule="auto"/>
              <w:ind w:firstLine="482" w:firstLineChars="200"/>
              <w:jc w:val="left"/>
              <w:rPr>
                <w:b/>
                <w:color w:val="auto"/>
                <w:sz w:val="24"/>
                <w:lang w:val="zh-CN"/>
              </w:rPr>
            </w:pPr>
            <w:r>
              <w:rPr>
                <w:b/>
                <w:color w:val="auto"/>
                <w:sz w:val="24"/>
                <w:lang w:val="zh-CN"/>
              </w:rPr>
              <w:t>4、固体废物</w:t>
            </w:r>
          </w:p>
          <w:p>
            <w:pPr>
              <w:widowControl/>
              <w:adjustRightInd w:val="0"/>
              <w:snapToGrid w:val="0"/>
              <w:spacing w:line="360" w:lineRule="auto"/>
              <w:ind w:firstLine="480" w:firstLineChars="200"/>
              <w:jc w:val="left"/>
              <w:rPr>
                <w:color w:val="auto"/>
                <w:kern w:val="0"/>
                <w:sz w:val="24"/>
              </w:rPr>
            </w:pPr>
            <w:r>
              <w:rPr>
                <w:color w:val="auto"/>
                <w:kern w:val="0"/>
                <w:sz w:val="24"/>
              </w:rPr>
              <w:t>固体废物环境监管执行《省生态环境厅关于印发&lt;江苏省固体废物全过程环境监管工作意见&gt;的通知》（苏环办[2024]16号）相关要求，属性鉴别执行《固体废物鉴别标准通则》（GB34330-2017），危险废物属性鉴别执行《危险废物鉴别标准通则》（GB5085.7-2019）、《危险废物鉴别技术规范》（HJ298-2019）相关规定。</w:t>
            </w:r>
          </w:p>
          <w:p>
            <w:pPr>
              <w:adjustRightInd w:val="0"/>
              <w:snapToGrid w:val="0"/>
              <w:spacing w:line="360" w:lineRule="auto"/>
              <w:ind w:firstLine="480" w:firstLineChars="200"/>
              <w:rPr>
                <w:color w:val="auto"/>
                <w:sz w:val="24"/>
              </w:rPr>
            </w:pPr>
            <w:r>
              <w:rPr>
                <w:color w:val="auto"/>
                <w:sz w:val="24"/>
              </w:rPr>
              <w:t>一般工业固废储存执行《一般工业固体废物贮存和填埋污染控制标准》（GB18599-2020）中相关规定；生活垃圾的储存与处置参照执行《城市生活垃圾管理办法》（住房和城乡建设部令第24号，2015年5月4日修正）。</w:t>
            </w:r>
          </w:p>
          <w:p>
            <w:pPr>
              <w:wordWrap w:val="0"/>
              <w:spacing w:line="360" w:lineRule="auto"/>
              <w:ind w:firstLine="480" w:firstLineChars="200"/>
              <w:jc w:val="left"/>
              <w:rPr>
                <w:bCs/>
                <w:color w:val="auto"/>
                <w:sz w:val="24"/>
                <w:lang w:val="zh-CN"/>
              </w:rPr>
            </w:pPr>
            <w:r>
              <w:rPr>
                <w:color w:val="auto"/>
                <w:kern w:val="0"/>
                <w:sz w:val="24"/>
              </w:rPr>
              <w:t>危险废物贮存执行《危险废物贮存污染控制标准》（GB18597-2023）、《危险废物收集贮存运输技术规范》（HJ2025-2012）中相关规定；固废贮存场所标志执行《危险废物识别标志设置技术规范》（HJ 1276-2022）、《环境保护图形标志固体废物贮存（处置）场》（GB15562.2-1995）及修改单、《江苏省危险废物集中收集体系建设工作方案（试行）》（苏环办〔2021〕290号）要求、《省生态环境厅关于做好&lt;危险废物贮存污染控制标准&gt;等标准规范实施后危险废物环境管理衔接工作的通知》（苏环办[2023]154号）要求。</w:t>
            </w:r>
          </w:p>
        </w:tc>
      </w:tr>
    </w:tbl>
    <w:p>
      <w:pPr>
        <w:wordWrap w:val="0"/>
        <w:adjustRightInd w:val="0"/>
        <w:snapToGrid w:val="0"/>
        <w:jc w:val="center"/>
        <w:rPr>
          <w:b/>
          <w:bCs/>
          <w:color w:val="auto"/>
          <w:kern w:val="0"/>
          <w:sz w:val="24"/>
        </w:rPr>
      </w:pPr>
      <w:r>
        <w:rPr>
          <w:b/>
          <w:bCs/>
          <w:color w:val="auto"/>
          <w:kern w:val="0"/>
          <w:sz w:val="24"/>
        </w:rPr>
        <w:br w:type="page"/>
      </w:r>
    </w:p>
    <w:tbl>
      <w:tblPr>
        <w:tblStyle w:val="20"/>
        <w:tblW w:w="925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57"/>
        <w:gridCol w:w="879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7" w:type="dxa"/>
            <w:vAlign w:val="center"/>
          </w:tcPr>
          <w:p>
            <w:pPr>
              <w:wordWrap w:val="0"/>
              <w:adjustRightInd w:val="0"/>
              <w:snapToGrid w:val="0"/>
              <w:jc w:val="center"/>
              <w:rPr>
                <w:b/>
                <w:bCs/>
                <w:color w:val="auto"/>
                <w:kern w:val="0"/>
                <w:sz w:val="24"/>
              </w:rPr>
            </w:pPr>
            <w:r>
              <w:rPr>
                <w:b/>
                <w:bCs/>
                <w:color w:val="auto"/>
                <w:kern w:val="0"/>
                <w:sz w:val="24"/>
              </w:rPr>
              <w:t>总量</w:t>
            </w:r>
          </w:p>
          <w:p>
            <w:pPr>
              <w:wordWrap w:val="0"/>
              <w:adjustRightInd w:val="0"/>
              <w:snapToGrid w:val="0"/>
              <w:jc w:val="center"/>
              <w:rPr>
                <w:b/>
                <w:bCs/>
                <w:color w:val="auto"/>
                <w:kern w:val="0"/>
                <w:sz w:val="24"/>
              </w:rPr>
            </w:pPr>
            <w:r>
              <w:rPr>
                <w:b/>
                <w:bCs/>
                <w:color w:val="auto"/>
                <w:kern w:val="0"/>
                <w:sz w:val="24"/>
              </w:rPr>
              <w:t>控制</w:t>
            </w:r>
          </w:p>
          <w:p>
            <w:pPr>
              <w:wordWrap w:val="0"/>
              <w:adjustRightInd w:val="0"/>
              <w:snapToGrid w:val="0"/>
              <w:jc w:val="center"/>
              <w:rPr>
                <w:color w:val="auto"/>
                <w:kern w:val="0"/>
                <w:szCs w:val="21"/>
              </w:rPr>
            </w:pPr>
            <w:r>
              <w:rPr>
                <w:b/>
                <w:bCs/>
                <w:color w:val="auto"/>
                <w:kern w:val="0"/>
                <w:sz w:val="24"/>
              </w:rPr>
              <w:t>指标</w:t>
            </w:r>
          </w:p>
        </w:tc>
        <w:tc>
          <w:tcPr>
            <w:tcW w:w="8798" w:type="dxa"/>
          </w:tcPr>
          <w:p>
            <w:pPr>
              <w:wordWrap w:val="0"/>
              <w:spacing w:before="120" w:beforeLines="50" w:line="360" w:lineRule="auto"/>
              <w:ind w:firstLine="480" w:firstLineChars="200"/>
              <w:rPr>
                <w:bCs/>
                <w:color w:val="auto"/>
                <w:sz w:val="24"/>
                <w:lang w:val="zh-CN"/>
              </w:rPr>
            </w:pPr>
            <w:r>
              <w:rPr>
                <w:bCs/>
                <w:color w:val="auto"/>
                <w:sz w:val="24"/>
                <w:lang w:val="zh-CN"/>
              </w:rPr>
              <w:t>本项目建成后总污染物排放情况</w:t>
            </w:r>
            <w:r>
              <w:rPr>
                <w:bCs/>
                <w:color w:val="auto"/>
                <w:sz w:val="24"/>
              </w:rPr>
              <w:t>见下表</w:t>
            </w:r>
            <w:r>
              <w:rPr>
                <w:bCs/>
                <w:color w:val="auto"/>
                <w:sz w:val="24"/>
                <w:lang w:val="zh-CN"/>
              </w:rPr>
              <w:t>。</w:t>
            </w:r>
          </w:p>
          <w:p>
            <w:pPr>
              <w:wordWrap w:val="0"/>
              <w:adjustRightInd w:val="0"/>
              <w:snapToGrid w:val="0"/>
              <w:spacing w:line="360" w:lineRule="auto"/>
              <w:ind w:firstLine="422" w:firstLineChars="200"/>
              <w:jc w:val="center"/>
              <w:rPr>
                <w:b/>
                <w:color w:val="auto"/>
                <w:szCs w:val="21"/>
              </w:rPr>
            </w:pPr>
            <w:r>
              <w:rPr>
                <w:b/>
                <w:color w:val="auto"/>
                <w:szCs w:val="21"/>
              </w:rPr>
              <w:t>表3.4-1 本项目污染物排放产生及排放三本账（t/a）</w:t>
            </w:r>
          </w:p>
          <w:tbl>
            <w:tblPr>
              <w:tblStyle w:val="20"/>
              <w:tblW w:w="4998" w:type="pct"/>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6"/>
              <w:gridCol w:w="872"/>
              <w:gridCol w:w="1332"/>
              <w:gridCol w:w="1487"/>
              <w:gridCol w:w="1488"/>
              <w:gridCol w:w="1486"/>
              <w:gridCol w:w="1488"/>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4" w:hRule="atLeast"/>
                <w:jc w:val="center"/>
              </w:trPr>
              <w:tc>
                <w:tcPr>
                  <w:tcW w:w="756" w:type="pct"/>
                  <w:gridSpan w:val="2"/>
                  <w:tcBorders>
                    <w:top w:val="single" w:color="auto" w:sz="12" w:space="0"/>
                    <w:left w:val="nil"/>
                    <w:bottom w:val="single" w:color="000000" w:sz="4" w:space="0"/>
                    <w:right w:val="single" w:color="000000" w:sz="4" w:space="0"/>
                  </w:tcBorders>
                  <w:vAlign w:val="center"/>
                </w:tcPr>
                <w:p>
                  <w:pPr>
                    <w:widowControl/>
                    <w:wordWrap w:val="0"/>
                    <w:jc w:val="center"/>
                    <w:textAlignment w:val="center"/>
                    <w:rPr>
                      <w:b/>
                      <w:color w:val="auto"/>
                      <w:szCs w:val="21"/>
                    </w:rPr>
                  </w:pPr>
                  <w:r>
                    <w:rPr>
                      <w:b/>
                      <w:color w:val="auto"/>
                      <w:kern w:val="0"/>
                      <w:szCs w:val="21"/>
                      <w:lang w:bidi="ar"/>
                    </w:rPr>
                    <w:t>类别</w:t>
                  </w:r>
                </w:p>
              </w:tc>
              <w:tc>
                <w:tcPr>
                  <w:tcW w:w="776" w:type="pct"/>
                  <w:tcBorders>
                    <w:top w:val="single" w:color="auto" w:sz="12" w:space="0"/>
                    <w:left w:val="single" w:color="000000" w:sz="4" w:space="0"/>
                    <w:bottom w:val="single" w:color="000000" w:sz="4" w:space="0"/>
                    <w:right w:val="single" w:color="000000" w:sz="4" w:space="0"/>
                  </w:tcBorders>
                  <w:vAlign w:val="center"/>
                </w:tcPr>
                <w:p>
                  <w:pPr>
                    <w:widowControl/>
                    <w:wordWrap w:val="0"/>
                    <w:jc w:val="center"/>
                    <w:textAlignment w:val="center"/>
                    <w:rPr>
                      <w:b/>
                      <w:color w:val="auto"/>
                      <w:szCs w:val="21"/>
                    </w:rPr>
                  </w:pPr>
                  <w:r>
                    <w:rPr>
                      <w:b/>
                      <w:color w:val="auto"/>
                      <w:kern w:val="0"/>
                      <w:szCs w:val="21"/>
                      <w:lang w:bidi="ar"/>
                    </w:rPr>
                    <w:t>污染物名称</w:t>
                  </w:r>
                </w:p>
              </w:tc>
              <w:tc>
                <w:tcPr>
                  <w:tcW w:w="866" w:type="pct"/>
                  <w:tcBorders>
                    <w:top w:val="single" w:color="auto" w:sz="12" w:space="0"/>
                    <w:left w:val="single" w:color="000000" w:sz="4" w:space="0"/>
                    <w:bottom w:val="single" w:color="000000" w:sz="4" w:space="0"/>
                    <w:right w:val="nil"/>
                  </w:tcBorders>
                  <w:vAlign w:val="center"/>
                </w:tcPr>
                <w:p>
                  <w:pPr>
                    <w:widowControl/>
                    <w:wordWrap w:val="0"/>
                    <w:jc w:val="center"/>
                    <w:textAlignment w:val="center"/>
                    <w:rPr>
                      <w:b/>
                      <w:color w:val="auto"/>
                      <w:kern w:val="0"/>
                      <w:szCs w:val="21"/>
                      <w:lang w:bidi="ar"/>
                    </w:rPr>
                  </w:pPr>
                  <w:r>
                    <w:rPr>
                      <w:b/>
                      <w:color w:val="auto"/>
                      <w:kern w:val="0"/>
                      <w:szCs w:val="21"/>
                      <w:lang w:bidi="ar"/>
                    </w:rPr>
                    <w:t>产生量</w:t>
                  </w:r>
                </w:p>
              </w:tc>
              <w:tc>
                <w:tcPr>
                  <w:tcW w:w="867" w:type="pct"/>
                  <w:tcBorders>
                    <w:top w:val="single" w:color="auto" w:sz="12" w:space="0"/>
                    <w:left w:val="single" w:color="000000" w:sz="4" w:space="0"/>
                    <w:bottom w:val="single" w:color="000000" w:sz="4" w:space="0"/>
                    <w:right w:val="nil"/>
                  </w:tcBorders>
                  <w:vAlign w:val="center"/>
                </w:tcPr>
                <w:p>
                  <w:pPr>
                    <w:widowControl/>
                    <w:wordWrap w:val="0"/>
                    <w:jc w:val="center"/>
                    <w:textAlignment w:val="center"/>
                    <w:rPr>
                      <w:b/>
                      <w:color w:val="auto"/>
                      <w:kern w:val="0"/>
                      <w:szCs w:val="21"/>
                      <w:lang w:bidi="ar"/>
                    </w:rPr>
                  </w:pPr>
                  <w:r>
                    <w:rPr>
                      <w:rFonts w:hint="eastAsia"/>
                      <w:b/>
                      <w:color w:val="auto"/>
                      <w:kern w:val="0"/>
                      <w:szCs w:val="21"/>
                      <w:lang w:bidi="ar"/>
                    </w:rPr>
                    <w:t>削减量</w:t>
                  </w:r>
                </w:p>
              </w:tc>
              <w:tc>
                <w:tcPr>
                  <w:tcW w:w="866" w:type="pct"/>
                  <w:tcBorders>
                    <w:top w:val="single" w:color="auto" w:sz="12" w:space="0"/>
                    <w:left w:val="single" w:color="000000" w:sz="4" w:space="0"/>
                    <w:bottom w:val="single" w:color="000000" w:sz="4" w:space="0"/>
                    <w:right w:val="nil"/>
                  </w:tcBorders>
                  <w:vAlign w:val="center"/>
                </w:tcPr>
                <w:p>
                  <w:pPr>
                    <w:widowControl/>
                    <w:wordWrap w:val="0"/>
                    <w:jc w:val="center"/>
                    <w:textAlignment w:val="center"/>
                    <w:rPr>
                      <w:b/>
                      <w:color w:val="auto"/>
                      <w:kern w:val="0"/>
                      <w:szCs w:val="21"/>
                      <w:lang w:bidi="ar"/>
                    </w:rPr>
                  </w:pPr>
                  <w:r>
                    <w:rPr>
                      <w:rFonts w:hint="eastAsia"/>
                      <w:b/>
                      <w:color w:val="auto"/>
                      <w:kern w:val="0"/>
                      <w:szCs w:val="21"/>
                      <w:lang w:bidi="ar"/>
                    </w:rPr>
                    <w:t>接管量</w:t>
                  </w:r>
                </w:p>
              </w:tc>
              <w:tc>
                <w:tcPr>
                  <w:tcW w:w="867" w:type="pct"/>
                  <w:tcBorders>
                    <w:top w:val="single" w:color="auto" w:sz="12" w:space="0"/>
                    <w:left w:val="single" w:color="000000" w:sz="4" w:space="0"/>
                    <w:bottom w:val="single" w:color="000000" w:sz="4" w:space="0"/>
                    <w:right w:val="nil"/>
                  </w:tcBorders>
                  <w:vAlign w:val="center"/>
                </w:tcPr>
                <w:p>
                  <w:pPr>
                    <w:widowControl/>
                    <w:wordWrap w:val="0"/>
                    <w:jc w:val="center"/>
                    <w:textAlignment w:val="center"/>
                    <w:rPr>
                      <w:b/>
                      <w:color w:val="auto"/>
                      <w:szCs w:val="21"/>
                      <w:highlight w:val="green"/>
                    </w:rPr>
                  </w:pPr>
                  <w:r>
                    <w:rPr>
                      <w:b/>
                      <w:color w:val="auto"/>
                      <w:kern w:val="0"/>
                      <w:szCs w:val="21"/>
                      <w:lang w:bidi="ar"/>
                    </w:rPr>
                    <w:t>环境排放量</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7" w:hRule="atLeast"/>
                <w:jc w:val="center"/>
              </w:trPr>
              <w:tc>
                <w:tcPr>
                  <w:tcW w:w="248" w:type="pct"/>
                  <w:vMerge w:val="restart"/>
                  <w:tcBorders>
                    <w:top w:val="single" w:color="000000" w:sz="4" w:space="0"/>
                    <w:left w:val="nil"/>
                    <w:right w:val="single" w:color="000000" w:sz="4" w:space="0"/>
                  </w:tcBorders>
                  <w:vAlign w:val="center"/>
                </w:tcPr>
                <w:p>
                  <w:pPr>
                    <w:wordWrap w:val="0"/>
                    <w:jc w:val="center"/>
                    <w:rPr>
                      <w:color w:val="auto"/>
                      <w:szCs w:val="21"/>
                    </w:rPr>
                  </w:pPr>
                  <w:r>
                    <w:rPr>
                      <w:color w:val="auto"/>
                      <w:szCs w:val="21"/>
                    </w:rPr>
                    <w:t>废气</w:t>
                  </w:r>
                </w:p>
              </w:tc>
              <w:tc>
                <w:tcPr>
                  <w:tcW w:w="508" w:type="pct"/>
                  <w:tcBorders>
                    <w:top w:val="single" w:color="000000" w:sz="4" w:space="0"/>
                    <w:left w:val="single" w:color="000000" w:sz="4" w:space="0"/>
                    <w:bottom w:val="nil"/>
                    <w:right w:val="single" w:color="000000" w:sz="4" w:space="0"/>
                  </w:tcBorders>
                  <w:vAlign w:val="center"/>
                </w:tcPr>
                <w:p>
                  <w:pPr>
                    <w:wordWrap w:val="0"/>
                    <w:jc w:val="center"/>
                    <w:rPr>
                      <w:color w:val="auto"/>
                      <w:szCs w:val="21"/>
                    </w:rPr>
                  </w:pPr>
                  <w:r>
                    <w:rPr>
                      <w:color w:val="auto"/>
                      <w:szCs w:val="21"/>
                    </w:rPr>
                    <w:t>有组织</w:t>
                  </w:r>
                </w:p>
              </w:tc>
              <w:tc>
                <w:tcPr>
                  <w:tcW w:w="776" w:type="pct"/>
                  <w:tcBorders>
                    <w:top w:val="single" w:color="000000" w:sz="4" w:space="0"/>
                    <w:left w:val="single" w:color="000000" w:sz="4" w:space="0"/>
                    <w:bottom w:val="single" w:color="000000" w:sz="4" w:space="0"/>
                    <w:right w:val="single" w:color="000000" w:sz="4" w:space="0"/>
                  </w:tcBorders>
                  <w:vAlign w:val="center"/>
                </w:tcPr>
                <w:p>
                  <w:pPr>
                    <w:wordWrap w:val="0"/>
                    <w:jc w:val="center"/>
                    <w:rPr>
                      <w:color w:val="auto"/>
                      <w:szCs w:val="21"/>
                    </w:rPr>
                  </w:pPr>
                  <w:r>
                    <w:rPr>
                      <w:color w:val="auto"/>
                      <w:szCs w:val="21"/>
                    </w:rPr>
                    <w:t>非甲烷总烃</w:t>
                  </w:r>
                </w:p>
              </w:tc>
              <w:tc>
                <w:tcPr>
                  <w:tcW w:w="866" w:type="pct"/>
                  <w:tcBorders>
                    <w:top w:val="single" w:color="000000" w:sz="4" w:space="0"/>
                    <w:left w:val="single" w:color="000000" w:sz="4" w:space="0"/>
                    <w:bottom w:val="single" w:color="000000" w:sz="4" w:space="0"/>
                    <w:right w:val="nil"/>
                  </w:tcBorders>
                  <w:noWrap/>
                  <w:vAlign w:val="center"/>
                </w:tcPr>
                <w:p>
                  <w:pPr>
                    <w:wordWrap w:val="0"/>
                    <w:jc w:val="center"/>
                    <w:rPr>
                      <w:rFonts w:hint="default"/>
                      <w:color w:val="auto"/>
                      <w:szCs w:val="21"/>
                      <w:lang w:val="en-US" w:eastAsia="zh-CN"/>
                    </w:rPr>
                  </w:pPr>
                  <w:r>
                    <w:rPr>
                      <w:rFonts w:hint="eastAsia"/>
                      <w:color w:val="auto"/>
                      <w:szCs w:val="21"/>
                      <w:lang w:val="en-US" w:eastAsia="zh-CN"/>
                    </w:rPr>
                    <w:t>2.1027</w:t>
                  </w:r>
                </w:p>
              </w:tc>
              <w:tc>
                <w:tcPr>
                  <w:tcW w:w="867" w:type="pct"/>
                  <w:tcBorders>
                    <w:top w:val="single" w:color="000000" w:sz="4" w:space="0"/>
                    <w:left w:val="single" w:color="000000" w:sz="4" w:space="0"/>
                    <w:bottom w:val="single" w:color="000000" w:sz="4" w:space="0"/>
                    <w:right w:val="nil"/>
                  </w:tcBorders>
                  <w:noWrap/>
                  <w:vAlign w:val="center"/>
                </w:tcPr>
                <w:p>
                  <w:pPr>
                    <w:wordWrap w:val="0"/>
                    <w:jc w:val="center"/>
                    <w:rPr>
                      <w:rFonts w:hint="default"/>
                      <w:color w:val="auto"/>
                      <w:szCs w:val="21"/>
                      <w:lang w:val="en-US" w:eastAsia="zh-CN"/>
                    </w:rPr>
                  </w:pPr>
                  <w:r>
                    <w:rPr>
                      <w:rFonts w:hint="eastAsia"/>
                      <w:color w:val="auto"/>
                      <w:szCs w:val="21"/>
                      <w:lang w:val="en-US" w:eastAsia="zh-CN"/>
                    </w:rPr>
                    <w:t>1.8924</w:t>
                  </w:r>
                </w:p>
              </w:tc>
              <w:tc>
                <w:tcPr>
                  <w:tcW w:w="866" w:type="pct"/>
                  <w:tcBorders>
                    <w:top w:val="single" w:color="000000" w:sz="4" w:space="0"/>
                    <w:left w:val="single" w:color="000000" w:sz="4" w:space="0"/>
                    <w:bottom w:val="single" w:color="000000" w:sz="4" w:space="0"/>
                    <w:right w:val="nil"/>
                  </w:tcBorders>
                  <w:noWrap/>
                  <w:vAlign w:val="center"/>
                </w:tcPr>
                <w:p>
                  <w:pPr>
                    <w:wordWrap w:val="0"/>
                    <w:jc w:val="center"/>
                    <w:rPr>
                      <w:color w:val="auto"/>
                      <w:szCs w:val="21"/>
                    </w:rPr>
                  </w:pPr>
                  <w:r>
                    <w:rPr>
                      <w:rFonts w:hint="eastAsia"/>
                      <w:color w:val="auto"/>
                      <w:szCs w:val="21"/>
                    </w:rPr>
                    <w:t>/</w:t>
                  </w:r>
                </w:p>
              </w:tc>
              <w:tc>
                <w:tcPr>
                  <w:tcW w:w="867" w:type="pct"/>
                  <w:tcBorders>
                    <w:top w:val="single" w:color="000000" w:sz="4" w:space="0"/>
                    <w:left w:val="single" w:color="000000" w:sz="4" w:space="0"/>
                    <w:bottom w:val="single" w:color="000000" w:sz="4" w:space="0"/>
                    <w:right w:val="nil"/>
                  </w:tcBorders>
                  <w:noWrap/>
                  <w:vAlign w:val="center"/>
                </w:tcPr>
                <w:p>
                  <w:pPr>
                    <w:wordWrap w:val="0"/>
                    <w:jc w:val="center"/>
                    <w:rPr>
                      <w:rFonts w:hint="default"/>
                      <w:color w:val="auto"/>
                      <w:szCs w:val="21"/>
                      <w:lang w:val="en-US" w:eastAsia="zh-CN"/>
                    </w:rPr>
                  </w:pPr>
                  <w:r>
                    <w:rPr>
                      <w:rFonts w:hint="eastAsia"/>
                      <w:color w:val="auto"/>
                      <w:szCs w:val="21"/>
                      <w:lang w:val="en-US" w:eastAsia="zh-CN"/>
                    </w:rPr>
                    <w:t>0.2103</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48" w:type="pct"/>
                  <w:vMerge w:val="continue"/>
                  <w:tcBorders>
                    <w:left w:val="nil"/>
                    <w:right w:val="single" w:color="000000" w:sz="4" w:space="0"/>
                  </w:tcBorders>
                  <w:vAlign w:val="center"/>
                </w:tcPr>
                <w:p>
                  <w:pPr>
                    <w:wordWrap w:val="0"/>
                    <w:jc w:val="center"/>
                    <w:rPr>
                      <w:color w:val="auto"/>
                      <w:szCs w:val="21"/>
                    </w:rPr>
                  </w:pPr>
                </w:p>
              </w:tc>
              <w:tc>
                <w:tcPr>
                  <w:tcW w:w="508" w:type="pct"/>
                  <w:tcBorders>
                    <w:top w:val="single" w:color="auto" w:sz="4" w:space="0"/>
                    <w:left w:val="single" w:color="000000" w:sz="4" w:space="0"/>
                    <w:bottom w:val="nil"/>
                    <w:right w:val="single" w:color="000000" w:sz="4" w:space="0"/>
                  </w:tcBorders>
                  <w:vAlign w:val="center"/>
                </w:tcPr>
                <w:p>
                  <w:pPr>
                    <w:wordWrap w:val="0"/>
                    <w:jc w:val="center"/>
                    <w:rPr>
                      <w:color w:val="auto"/>
                      <w:szCs w:val="21"/>
                    </w:rPr>
                  </w:pPr>
                  <w:r>
                    <w:rPr>
                      <w:color w:val="auto"/>
                      <w:szCs w:val="21"/>
                    </w:rPr>
                    <w:t>无组织</w:t>
                  </w:r>
                </w:p>
              </w:tc>
              <w:tc>
                <w:tcPr>
                  <w:tcW w:w="776" w:type="pct"/>
                  <w:tcBorders>
                    <w:top w:val="single" w:color="000000" w:sz="4" w:space="0"/>
                    <w:left w:val="single" w:color="000000" w:sz="4" w:space="0"/>
                    <w:bottom w:val="single" w:color="000000" w:sz="4" w:space="0"/>
                    <w:right w:val="single" w:color="000000" w:sz="4" w:space="0"/>
                  </w:tcBorders>
                  <w:vAlign w:val="center"/>
                </w:tcPr>
                <w:p>
                  <w:pPr>
                    <w:wordWrap w:val="0"/>
                    <w:jc w:val="center"/>
                    <w:rPr>
                      <w:color w:val="auto"/>
                      <w:kern w:val="0"/>
                      <w:szCs w:val="21"/>
                      <w:lang w:bidi="ar"/>
                    </w:rPr>
                  </w:pPr>
                  <w:r>
                    <w:rPr>
                      <w:color w:val="auto"/>
                      <w:szCs w:val="21"/>
                    </w:rPr>
                    <w:t>非甲烷总烃</w:t>
                  </w:r>
                </w:p>
              </w:tc>
              <w:tc>
                <w:tcPr>
                  <w:tcW w:w="866" w:type="pct"/>
                  <w:tcBorders>
                    <w:top w:val="single" w:color="000000" w:sz="4" w:space="0"/>
                    <w:left w:val="single" w:color="000000" w:sz="4" w:space="0"/>
                    <w:bottom w:val="single" w:color="000000" w:sz="4" w:space="0"/>
                    <w:right w:val="nil"/>
                  </w:tcBorders>
                  <w:noWrap/>
                  <w:vAlign w:val="center"/>
                </w:tcPr>
                <w:p>
                  <w:pPr>
                    <w:wordWrap w:val="0"/>
                    <w:jc w:val="center"/>
                    <w:rPr>
                      <w:rFonts w:hint="default"/>
                      <w:color w:val="auto"/>
                      <w:szCs w:val="21"/>
                      <w:lang w:val="en-US" w:eastAsia="zh-CN"/>
                    </w:rPr>
                  </w:pPr>
                  <w:r>
                    <w:rPr>
                      <w:rFonts w:hint="eastAsia"/>
                      <w:color w:val="auto"/>
                      <w:szCs w:val="21"/>
                      <w:lang w:val="en-US" w:eastAsia="zh-CN"/>
                    </w:rPr>
                    <w:t>0.117</w:t>
                  </w:r>
                </w:p>
              </w:tc>
              <w:tc>
                <w:tcPr>
                  <w:tcW w:w="867" w:type="pct"/>
                  <w:tcBorders>
                    <w:top w:val="single" w:color="000000" w:sz="4" w:space="0"/>
                    <w:left w:val="single" w:color="000000" w:sz="4" w:space="0"/>
                    <w:bottom w:val="single" w:color="000000" w:sz="4" w:space="0"/>
                    <w:right w:val="nil"/>
                  </w:tcBorders>
                  <w:noWrap/>
                  <w:vAlign w:val="center"/>
                </w:tcPr>
                <w:p>
                  <w:pPr>
                    <w:wordWrap w:val="0"/>
                    <w:jc w:val="center"/>
                    <w:rPr>
                      <w:color w:val="auto"/>
                      <w:szCs w:val="21"/>
                    </w:rPr>
                  </w:pPr>
                  <w:r>
                    <w:rPr>
                      <w:rFonts w:hint="eastAsia"/>
                      <w:color w:val="auto"/>
                      <w:szCs w:val="21"/>
                    </w:rPr>
                    <w:t>0</w:t>
                  </w:r>
                </w:p>
              </w:tc>
              <w:tc>
                <w:tcPr>
                  <w:tcW w:w="866" w:type="pct"/>
                  <w:tcBorders>
                    <w:top w:val="single" w:color="000000" w:sz="4" w:space="0"/>
                    <w:left w:val="single" w:color="000000" w:sz="4" w:space="0"/>
                    <w:bottom w:val="single" w:color="000000" w:sz="4" w:space="0"/>
                    <w:right w:val="nil"/>
                  </w:tcBorders>
                  <w:noWrap/>
                  <w:vAlign w:val="center"/>
                </w:tcPr>
                <w:p>
                  <w:pPr>
                    <w:wordWrap w:val="0"/>
                    <w:jc w:val="center"/>
                    <w:rPr>
                      <w:color w:val="auto"/>
                      <w:szCs w:val="21"/>
                    </w:rPr>
                  </w:pPr>
                  <w:r>
                    <w:rPr>
                      <w:rFonts w:hint="eastAsia"/>
                      <w:color w:val="auto"/>
                      <w:szCs w:val="21"/>
                    </w:rPr>
                    <w:t>/</w:t>
                  </w:r>
                </w:p>
              </w:tc>
              <w:tc>
                <w:tcPr>
                  <w:tcW w:w="867" w:type="pct"/>
                  <w:tcBorders>
                    <w:top w:val="single" w:color="000000" w:sz="4" w:space="0"/>
                    <w:left w:val="single" w:color="000000" w:sz="4" w:space="0"/>
                    <w:bottom w:val="single" w:color="000000" w:sz="4" w:space="0"/>
                    <w:right w:val="nil"/>
                  </w:tcBorders>
                  <w:noWrap/>
                  <w:vAlign w:val="center"/>
                </w:tcPr>
                <w:p>
                  <w:pPr>
                    <w:wordWrap w:val="0"/>
                    <w:jc w:val="center"/>
                    <w:rPr>
                      <w:rFonts w:hint="default"/>
                      <w:color w:val="auto"/>
                      <w:szCs w:val="21"/>
                      <w:lang w:val="en-US" w:eastAsia="zh-CN"/>
                    </w:rPr>
                  </w:pPr>
                  <w:r>
                    <w:rPr>
                      <w:rFonts w:hint="eastAsia"/>
                      <w:color w:val="auto"/>
                      <w:szCs w:val="21"/>
                      <w:lang w:val="en-US" w:eastAsia="zh-CN"/>
                    </w:rPr>
                    <w:t>0.117</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48" w:type="pct"/>
                  <w:vMerge w:val="continue"/>
                  <w:tcBorders>
                    <w:left w:val="nil"/>
                    <w:right w:val="single" w:color="000000" w:sz="4" w:space="0"/>
                  </w:tcBorders>
                  <w:vAlign w:val="center"/>
                </w:tcPr>
                <w:p>
                  <w:pPr>
                    <w:wordWrap w:val="0"/>
                    <w:jc w:val="center"/>
                    <w:rPr>
                      <w:color w:val="auto"/>
                      <w:szCs w:val="21"/>
                    </w:rPr>
                  </w:pPr>
                </w:p>
              </w:tc>
              <w:tc>
                <w:tcPr>
                  <w:tcW w:w="508" w:type="pct"/>
                  <w:tcBorders>
                    <w:top w:val="single" w:color="auto" w:sz="4" w:space="0"/>
                    <w:left w:val="single" w:color="000000" w:sz="4" w:space="0"/>
                    <w:bottom w:val="nil"/>
                    <w:right w:val="single" w:color="000000" w:sz="4" w:space="0"/>
                  </w:tcBorders>
                  <w:vAlign w:val="center"/>
                </w:tcPr>
                <w:p>
                  <w:pPr>
                    <w:wordWrap w:val="0"/>
                    <w:jc w:val="center"/>
                    <w:rPr>
                      <w:color w:val="auto"/>
                      <w:szCs w:val="21"/>
                    </w:rPr>
                  </w:pPr>
                  <w:r>
                    <w:rPr>
                      <w:color w:val="auto"/>
                      <w:szCs w:val="21"/>
                    </w:rPr>
                    <w:t>有组织</w:t>
                  </w:r>
                </w:p>
              </w:tc>
              <w:tc>
                <w:tcPr>
                  <w:tcW w:w="776" w:type="pct"/>
                  <w:tcBorders>
                    <w:top w:val="single" w:color="000000" w:sz="4" w:space="0"/>
                    <w:left w:val="single" w:color="000000" w:sz="4" w:space="0"/>
                    <w:bottom w:val="single" w:color="000000" w:sz="4" w:space="0"/>
                    <w:right w:val="single" w:color="000000" w:sz="4" w:space="0"/>
                  </w:tcBorders>
                  <w:vAlign w:val="center"/>
                </w:tcPr>
                <w:p>
                  <w:pPr>
                    <w:wordWrap w:val="0"/>
                    <w:jc w:val="center"/>
                    <w:rPr>
                      <w:color w:val="auto"/>
                      <w:szCs w:val="21"/>
                    </w:rPr>
                  </w:pPr>
                  <w:r>
                    <w:rPr>
                      <w:color w:val="auto"/>
                      <w:szCs w:val="21"/>
                    </w:rPr>
                    <w:t>颗粒物</w:t>
                  </w:r>
                </w:p>
              </w:tc>
              <w:tc>
                <w:tcPr>
                  <w:tcW w:w="866" w:type="pct"/>
                  <w:tcBorders>
                    <w:top w:val="single" w:color="000000" w:sz="4" w:space="0"/>
                    <w:left w:val="single" w:color="000000" w:sz="4" w:space="0"/>
                    <w:bottom w:val="single" w:color="000000" w:sz="4" w:space="0"/>
                    <w:right w:val="nil"/>
                  </w:tcBorders>
                  <w:noWrap/>
                  <w:vAlign w:val="center"/>
                </w:tcPr>
                <w:p>
                  <w:pPr>
                    <w:wordWrap w:val="0"/>
                    <w:jc w:val="center"/>
                    <w:rPr>
                      <w:rFonts w:hint="default"/>
                      <w:color w:val="auto"/>
                      <w:szCs w:val="21"/>
                      <w:lang w:val="en-US" w:eastAsia="zh-CN"/>
                    </w:rPr>
                  </w:pPr>
                  <w:r>
                    <w:rPr>
                      <w:rFonts w:hint="eastAsia"/>
                      <w:color w:val="auto"/>
                      <w:szCs w:val="21"/>
                      <w:lang w:val="en-US" w:eastAsia="zh-CN"/>
                    </w:rPr>
                    <w:t>67.278</w:t>
                  </w:r>
                </w:p>
              </w:tc>
              <w:tc>
                <w:tcPr>
                  <w:tcW w:w="867" w:type="pct"/>
                  <w:tcBorders>
                    <w:top w:val="single" w:color="000000" w:sz="4" w:space="0"/>
                    <w:left w:val="single" w:color="000000" w:sz="4" w:space="0"/>
                    <w:bottom w:val="single" w:color="000000" w:sz="4" w:space="0"/>
                    <w:right w:val="nil"/>
                  </w:tcBorders>
                  <w:noWrap/>
                  <w:vAlign w:val="center"/>
                </w:tcPr>
                <w:p>
                  <w:pPr>
                    <w:wordWrap w:val="0"/>
                    <w:jc w:val="center"/>
                    <w:rPr>
                      <w:rFonts w:hint="default"/>
                      <w:color w:val="auto"/>
                      <w:szCs w:val="21"/>
                      <w:lang w:val="en-US" w:eastAsia="zh-CN"/>
                    </w:rPr>
                  </w:pPr>
                  <w:r>
                    <w:rPr>
                      <w:rFonts w:hint="eastAsia"/>
                      <w:color w:val="auto"/>
                      <w:szCs w:val="21"/>
                      <w:lang w:val="en-US" w:eastAsia="zh-CN"/>
                    </w:rPr>
                    <w:t>66.4562</w:t>
                  </w:r>
                </w:p>
              </w:tc>
              <w:tc>
                <w:tcPr>
                  <w:tcW w:w="866" w:type="pct"/>
                  <w:tcBorders>
                    <w:top w:val="single" w:color="000000" w:sz="4" w:space="0"/>
                    <w:left w:val="single" w:color="000000" w:sz="4" w:space="0"/>
                    <w:bottom w:val="single" w:color="000000" w:sz="4" w:space="0"/>
                    <w:right w:val="nil"/>
                  </w:tcBorders>
                  <w:noWrap/>
                  <w:vAlign w:val="center"/>
                </w:tcPr>
                <w:p>
                  <w:pPr>
                    <w:wordWrap w:val="0"/>
                    <w:jc w:val="center"/>
                    <w:rPr>
                      <w:color w:val="auto"/>
                      <w:szCs w:val="21"/>
                    </w:rPr>
                  </w:pPr>
                  <w:r>
                    <w:rPr>
                      <w:rFonts w:hint="eastAsia"/>
                      <w:color w:val="auto"/>
                      <w:szCs w:val="21"/>
                    </w:rPr>
                    <w:t>/</w:t>
                  </w:r>
                </w:p>
              </w:tc>
              <w:tc>
                <w:tcPr>
                  <w:tcW w:w="867" w:type="pct"/>
                  <w:tcBorders>
                    <w:top w:val="single" w:color="000000" w:sz="4" w:space="0"/>
                    <w:left w:val="single" w:color="000000" w:sz="4" w:space="0"/>
                    <w:bottom w:val="single" w:color="000000" w:sz="4" w:space="0"/>
                    <w:right w:val="nil"/>
                  </w:tcBorders>
                  <w:noWrap/>
                  <w:vAlign w:val="center"/>
                </w:tcPr>
                <w:p>
                  <w:pPr>
                    <w:wordWrap w:val="0"/>
                    <w:jc w:val="center"/>
                    <w:rPr>
                      <w:rFonts w:hint="default"/>
                      <w:color w:val="auto"/>
                      <w:szCs w:val="21"/>
                      <w:lang w:val="en-US" w:eastAsia="zh-CN"/>
                    </w:rPr>
                  </w:pPr>
                  <w:r>
                    <w:rPr>
                      <w:rFonts w:hint="eastAsia"/>
                      <w:color w:val="auto"/>
                      <w:szCs w:val="21"/>
                      <w:lang w:val="en-US" w:eastAsia="zh-CN"/>
                    </w:rPr>
                    <w:t>0.8218</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48" w:type="pct"/>
                  <w:vMerge w:val="continue"/>
                  <w:tcBorders>
                    <w:left w:val="nil"/>
                    <w:bottom w:val="nil"/>
                    <w:right w:val="single" w:color="000000" w:sz="4" w:space="0"/>
                  </w:tcBorders>
                  <w:vAlign w:val="center"/>
                </w:tcPr>
                <w:p>
                  <w:pPr>
                    <w:wordWrap w:val="0"/>
                    <w:jc w:val="center"/>
                    <w:rPr>
                      <w:color w:val="auto"/>
                      <w:szCs w:val="21"/>
                    </w:rPr>
                  </w:pPr>
                </w:p>
              </w:tc>
              <w:tc>
                <w:tcPr>
                  <w:tcW w:w="508" w:type="pct"/>
                  <w:tcBorders>
                    <w:top w:val="single" w:color="auto" w:sz="4" w:space="0"/>
                    <w:left w:val="single" w:color="000000" w:sz="4" w:space="0"/>
                    <w:bottom w:val="nil"/>
                    <w:right w:val="single" w:color="000000" w:sz="4" w:space="0"/>
                  </w:tcBorders>
                  <w:vAlign w:val="center"/>
                </w:tcPr>
                <w:p>
                  <w:pPr>
                    <w:wordWrap w:val="0"/>
                    <w:jc w:val="center"/>
                    <w:rPr>
                      <w:color w:val="auto"/>
                      <w:szCs w:val="21"/>
                    </w:rPr>
                  </w:pPr>
                  <w:r>
                    <w:rPr>
                      <w:color w:val="auto"/>
                      <w:szCs w:val="21"/>
                    </w:rPr>
                    <w:t>无组织</w:t>
                  </w:r>
                </w:p>
              </w:tc>
              <w:tc>
                <w:tcPr>
                  <w:tcW w:w="776" w:type="pct"/>
                  <w:tcBorders>
                    <w:top w:val="single" w:color="000000" w:sz="4" w:space="0"/>
                    <w:left w:val="single" w:color="000000" w:sz="4" w:space="0"/>
                    <w:bottom w:val="single" w:color="000000" w:sz="4" w:space="0"/>
                    <w:right w:val="single" w:color="000000" w:sz="4" w:space="0"/>
                  </w:tcBorders>
                  <w:vAlign w:val="center"/>
                </w:tcPr>
                <w:p>
                  <w:pPr>
                    <w:wordWrap w:val="0"/>
                    <w:jc w:val="center"/>
                    <w:rPr>
                      <w:color w:val="auto"/>
                      <w:szCs w:val="21"/>
                    </w:rPr>
                  </w:pPr>
                  <w:r>
                    <w:rPr>
                      <w:color w:val="auto"/>
                      <w:szCs w:val="21"/>
                    </w:rPr>
                    <w:t>颗粒物</w:t>
                  </w:r>
                </w:p>
              </w:tc>
              <w:tc>
                <w:tcPr>
                  <w:tcW w:w="866" w:type="pct"/>
                  <w:tcBorders>
                    <w:top w:val="single" w:color="000000" w:sz="4" w:space="0"/>
                    <w:left w:val="single" w:color="000000" w:sz="4" w:space="0"/>
                    <w:bottom w:val="single" w:color="000000" w:sz="4" w:space="0"/>
                    <w:right w:val="nil"/>
                  </w:tcBorders>
                  <w:noWrap/>
                  <w:vAlign w:val="center"/>
                </w:tcPr>
                <w:p>
                  <w:pPr>
                    <w:wordWrap w:val="0"/>
                    <w:jc w:val="center"/>
                    <w:rPr>
                      <w:rFonts w:hint="default"/>
                      <w:color w:val="auto"/>
                      <w:szCs w:val="21"/>
                      <w:lang w:val="en-US" w:eastAsia="zh-CN"/>
                    </w:rPr>
                  </w:pPr>
                  <w:r>
                    <w:rPr>
                      <w:rFonts w:hint="eastAsia"/>
                      <w:color w:val="auto"/>
                      <w:szCs w:val="21"/>
                      <w:lang w:val="en-US" w:eastAsia="zh-CN"/>
                    </w:rPr>
                    <w:t>0.9668</w:t>
                  </w:r>
                </w:p>
              </w:tc>
              <w:tc>
                <w:tcPr>
                  <w:tcW w:w="867" w:type="pct"/>
                  <w:tcBorders>
                    <w:top w:val="single" w:color="000000" w:sz="4" w:space="0"/>
                    <w:left w:val="single" w:color="000000" w:sz="4" w:space="0"/>
                    <w:bottom w:val="single" w:color="000000" w:sz="4" w:space="0"/>
                    <w:right w:val="nil"/>
                  </w:tcBorders>
                  <w:noWrap/>
                  <w:vAlign w:val="center"/>
                </w:tcPr>
                <w:p>
                  <w:pPr>
                    <w:wordWrap w:val="0"/>
                    <w:jc w:val="center"/>
                    <w:rPr>
                      <w:rFonts w:hint="eastAsia"/>
                      <w:color w:val="auto"/>
                      <w:szCs w:val="21"/>
                      <w:lang w:val="en-US" w:eastAsia="zh-CN"/>
                    </w:rPr>
                  </w:pPr>
                  <w:r>
                    <w:rPr>
                      <w:rFonts w:hint="eastAsia"/>
                      <w:color w:val="auto"/>
                      <w:szCs w:val="21"/>
                      <w:lang w:val="en-US" w:eastAsia="zh-CN"/>
                    </w:rPr>
                    <w:t>0</w:t>
                  </w:r>
                </w:p>
              </w:tc>
              <w:tc>
                <w:tcPr>
                  <w:tcW w:w="866" w:type="pct"/>
                  <w:tcBorders>
                    <w:top w:val="single" w:color="000000" w:sz="4" w:space="0"/>
                    <w:left w:val="single" w:color="000000" w:sz="4" w:space="0"/>
                    <w:bottom w:val="single" w:color="000000" w:sz="4" w:space="0"/>
                    <w:right w:val="nil"/>
                  </w:tcBorders>
                  <w:noWrap/>
                  <w:vAlign w:val="center"/>
                </w:tcPr>
                <w:p>
                  <w:pPr>
                    <w:wordWrap w:val="0"/>
                    <w:jc w:val="center"/>
                    <w:rPr>
                      <w:color w:val="auto"/>
                      <w:szCs w:val="21"/>
                    </w:rPr>
                  </w:pPr>
                  <w:r>
                    <w:rPr>
                      <w:rFonts w:hint="eastAsia"/>
                      <w:color w:val="auto"/>
                      <w:szCs w:val="21"/>
                    </w:rPr>
                    <w:t>/</w:t>
                  </w:r>
                </w:p>
              </w:tc>
              <w:tc>
                <w:tcPr>
                  <w:tcW w:w="867" w:type="pct"/>
                  <w:tcBorders>
                    <w:top w:val="single" w:color="000000" w:sz="4" w:space="0"/>
                    <w:left w:val="single" w:color="000000" w:sz="4" w:space="0"/>
                    <w:bottom w:val="single" w:color="000000" w:sz="4" w:space="0"/>
                    <w:right w:val="nil"/>
                  </w:tcBorders>
                  <w:noWrap/>
                  <w:vAlign w:val="center"/>
                </w:tcPr>
                <w:p>
                  <w:pPr>
                    <w:wordWrap w:val="0"/>
                    <w:jc w:val="center"/>
                    <w:rPr>
                      <w:rFonts w:hint="default"/>
                      <w:color w:val="auto"/>
                      <w:szCs w:val="21"/>
                      <w:lang w:val="en-US" w:eastAsia="zh-CN"/>
                    </w:rPr>
                  </w:pPr>
                  <w:r>
                    <w:rPr>
                      <w:rFonts w:hint="eastAsia"/>
                      <w:color w:val="auto"/>
                      <w:szCs w:val="21"/>
                      <w:lang w:val="en-US" w:eastAsia="zh-CN"/>
                    </w:rPr>
                    <w:t>0.9668</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48" w:type="pct"/>
                  <w:vMerge w:val="restart"/>
                  <w:tcBorders>
                    <w:top w:val="single" w:color="000000" w:sz="4" w:space="0"/>
                    <w:left w:val="nil"/>
                    <w:right w:val="single" w:color="auto" w:sz="4" w:space="0"/>
                  </w:tcBorders>
                  <w:vAlign w:val="center"/>
                </w:tcPr>
                <w:p>
                  <w:pPr>
                    <w:wordWrap w:val="0"/>
                    <w:jc w:val="center"/>
                    <w:rPr>
                      <w:color w:val="auto"/>
                      <w:szCs w:val="21"/>
                      <w:highlight w:val="green"/>
                    </w:rPr>
                  </w:pPr>
                  <w:r>
                    <w:rPr>
                      <w:color w:val="auto"/>
                      <w:szCs w:val="21"/>
                    </w:rPr>
                    <w:t>废水</w:t>
                  </w:r>
                </w:p>
              </w:tc>
              <w:tc>
                <w:tcPr>
                  <w:tcW w:w="508" w:type="pct"/>
                  <w:vMerge w:val="restart"/>
                  <w:tcBorders>
                    <w:top w:val="single" w:color="000000" w:sz="4" w:space="0"/>
                    <w:left w:val="single" w:color="auto" w:sz="4" w:space="0"/>
                    <w:bottom w:val="nil"/>
                    <w:right w:val="single" w:color="000000" w:sz="4" w:space="0"/>
                  </w:tcBorders>
                  <w:vAlign w:val="center"/>
                </w:tcPr>
                <w:p>
                  <w:pPr>
                    <w:wordWrap w:val="0"/>
                    <w:jc w:val="center"/>
                    <w:rPr>
                      <w:color w:val="auto"/>
                      <w:szCs w:val="21"/>
                    </w:rPr>
                  </w:pPr>
                  <w:r>
                    <w:rPr>
                      <w:color w:val="auto"/>
                      <w:szCs w:val="21"/>
                    </w:rPr>
                    <w:t>生活污水</w:t>
                  </w:r>
                </w:p>
              </w:tc>
              <w:tc>
                <w:tcPr>
                  <w:tcW w:w="776" w:type="pct"/>
                  <w:tcBorders>
                    <w:top w:val="single" w:color="000000" w:sz="4" w:space="0"/>
                    <w:left w:val="single" w:color="000000" w:sz="4" w:space="0"/>
                    <w:bottom w:val="single" w:color="000000" w:sz="4" w:space="0"/>
                    <w:right w:val="single" w:color="000000" w:sz="4" w:space="0"/>
                  </w:tcBorders>
                  <w:vAlign w:val="center"/>
                </w:tcPr>
                <w:p>
                  <w:pPr>
                    <w:wordWrap w:val="0"/>
                    <w:jc w:val="center"/>
                    <w:rPr>
                      <w:color w:val="auto"/>
                      <w:szCs w:val="21"/>
                    </w:rPr>
                  </w:pPr>
                  <w:r>
                    <w:rPr>
                      <w:color w:val="auto"/>
                      <w:szCs w:val="21"/>
                    </w:rPr>
                    <w:t>废水量</w:t>
                  </w:r>
                </w:p>
              </w:tc>
              <w:tc>
                <w:tcPr>
                  <w:tcW w:w="866" w:type="pct"/>
                  <w:tcBorders>
                    <w:top w:val="single" w:color="000000" w:sz="4" w:space="0"/>
                    <w:left w:val="single" w:color="000000" w:sz="4" w:space="0"/>
                    <w:bottom w:val="single" w:color="000000" w:sz="4" w:space="0"/>
                    <w:right w:val="nil"/>
                  </w:tcBorders>
                  <w:noWrap/>
                  <w:vAlign w:val="center"/>
                </w:tcPr>
                <w:p>
                  <w:pPr>
                    <w:wordWrap w:val="0"/>
                    <w:jc w:val="center"/>
                    <w:rPr>
                      <w:color w:val="auto"/>
                      <w:szCs w:val="21"/>
                    </w:rPr>
                  </w:pPr>
                  <w:r>
                    <w:rPr>
                      <w:color w:val="auto"/>
                      <w:szCs w:val="21"/>
                    </w:rPr>
                    <w:t>360</w:t>
                  </w:r>
                </w:p>
              </w:tc>
              <w:tc>
                <w:tcPr>
                  <w:tcW w:w="867" w:type="pct"/>
                  <w:tcBorders>
                    <w:top w:val="single" w:color="000000" w:sz="4" w:space="0"/>
                    <w:left w:val="single" w:color="000000" w:sz="4" w:space="0"/>
                    <w:bottom w:val="single" w:color="000000" w:sz="4" w:space="0"/>
                    <w:right w:val="nil"/>
                  </w:tcBorders>
                  <w:noWrap/>
                  <w:vAlign w:val="center"/>
                </w:tcPr>
                <w:p>
                  <w:pPr>
                    <w:wordWrap w:val="0"/>
                    <w:jc w:val="center"/>
                    <w:rPr>
                      <w:color w:val="auto"/>
                      <w:szCs w:val="21"/>
                    </w:rPr>
                  </w:pPr>
                  <w:r>
                    <w:rPr>
                      <w:rFonts w:hint="eastAsia"/>
                      <w:color w:val="auto"/>
                      <w:szCs w:val="21"/>
                    </w:rPr>
                    <w:t>0</w:t>
                  </w:r>
                </w:p>
              </w:tc>
              <w:tc>
                <w:tcPr>
                  <w:tcW w:w="866" w:type="pct"/>
                  <w:tcBorders>
                    <w:top w:val="single" w:color="000000" w:sz="4" w:space="0"/>
                    <w:left w:val="single" w:color="000000" w:sz="4" w:space="0"/>
                    <w:bottom w:val="single" w:color="000000" w:sz="4" w:space="0"/>
                    <w:right w:val="nil"/>
                  </w:tcBorders>
                  <w:noWrap/>
                  <w:vAlign w:val="center"/>
                </w:tcPr>
                <w:p>
                  <w:pPr>
                    <w:wordWrap w:val="0"/>
                    <w:jc w:val="center"/>
                    <w:rPr>
                      <w:color w:val="auto"/>
                      <w:szCs w:val="21"/>
                    </w:rPr>
                  </w:pPr>
                  <w:r>
                    <w:rPr>
                      <w:rFonts w:hint="eastAsia"/>
                      <w:color w:val="auto"/>
                      <w:szCs w:val="21"/>
                    </w:rPr>
                    <w:t>/</w:t>
                  </w:r>
                </w:p>
              </w:tc>
              <w:tc>
                <w:tcPr>
                  <w:tcW w:w="867" w:type="pct"/>
                  <w:tcBorders>
                    <w:top w:val="single" w:color="000000" w:sz="4" w:space="0"/>
                    <w:left w:val="single" w:color="000000" w:sz="4" w:space="0"/>
                    <w:bottom w:val="single" w:color="000000" w:sz="4" w:space="0"/>
                    <w:right w:val="nil"/>
                  </w:tcBorders>
                  <w:noWrap/>
                  <w:vAlign w:val="center"/>
                </w:tcPr>
                <w:p>
                  <w:pPr>
                    <w:wordWrap w:val="0"/>
                    <w:jc w:val="center"/>
                    <w:rPr>
                      <w:color w:val="auto"/>
                      <w:szCs w:val="21"/>
                    </w:rPr>
                  </w:pPr>
                  <w:r>
                    <w:rPr>
                      <w:rFonts w:hint="eastAsia"/>
                      <w:color w:val="auto"/>
                    </w:rPr>
                    <w:t>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3" w:hRule="atLeast"/>
                <w:jc w:val="center"/>
              </w:trPr>
              <w:tc>
                <w:tcPr>
                  <w:tcW w:w="248" w:type="pct"/>
                  <w:vMerge w:val="continue"/>
                  <w:tcBorders>
                    <w:left w:val="nil"/>
                    <w:right w:val="single" w:color="auto" w:sz="4" w:space="0"/>
                  </w:tcBorders>
                  <w:vAlign w:val="center"/>
                </w:tcPr>
                <w:p>
                  <w:pPr>
                    <w:wordWrap w:val="0"/>
                    <w:jc w:val="center"/>
                    <w:rPr>
                      <w:color w:val="auto"/>
                      <w:szCs w:val="21"/>
                      <w:highlight w:val="green"/>
                    </w:rPr>
                  </w:pPr>
                </w:p>
              </w:tc>
              <w:tc>
                <w:tcPr>
                  <w:tcW w:w="508" w:type="pct"/>
                  <w:vMerge w:val="continue"/>
                  <w:tcBorders>
                    <w:top w:val="nil"/>
                    <w:left w:val="single" w:color="auto" w:sz="4" w:space="0"/>
                    <w:bottom w:val="nil"/>
                    <w:right w:val="single" w:color="000000" w:sz="4" w:space="0"/>
                  </w:tcBorders>
                  <w:vAlign w:val="center"/>
                </w:tcPr>
                <w:p>
                  <w:pPr>
                    <w:wordWrap w:val="0"/>
                    <w:jc w:val="center"/>
                    <w:rPr>
                      <w:color w:val="auto"/>
                      <w:szCs w:val="21"/>
                    </w:rPr>
                  </w:pPr>
                </w:p>
              </w:tc>
              <w:tc>
                <w:tcPr>
                  <w:tcW w:w="776" w:type="pct"/>
                  <w:tcBorders>
                    <w:top w:val="single" w:color="000000" w:sz="4" w:space="0"/>
                    <w:left w:val="single" w:color="000000" w:sz="4" w:space="0"/>
                    <w:bottom w:val="single" w:color="000000" w:sz="4" w:space="0"/>
                    <w:right w:val="single" w:color="000000" w:sz="4" w:space="0"/>
                  </w:tcBorders>
                  <w:vAlign w:val="center"/>
                </w:tcPr>
                <w:p>
                  <w:pPr>
                    <w:wordWrap w:val="0"/>
                    <w:jc w:val="center"/>
                    <w:rPr>
                      <w:color w:val="auto"/>
                      <w:szCs w:val="21"/>
                    </w:rPr>
                  </w:pPr>
                  <w:r>
                    <w:rPr>
                      <w:color w:val="auto"/>
                      <w:szCs w:val="21"/>
                    </w:rPr>
                    <w:t>COD</w:t>
                  </w:r>
                </w:p>
              </w:tc>
              <w:tc>
                <w:tcPr>
                  <w:tcW w:w="866" w:type="pct"/>
                  <w:tcBorders>
                    <w:top w:val="single" w:color="000000" w:sz="4" w:space="0"/>
                    <w:left w:val="single" w:color="000000" w:sz="4" w:space="0"/>
                    <w:bottom w:val="single" w:color="000000" w:sz="4" w:space="0"/>
                    <w:right w:val="nil"/>
                  </w:tcBorders>
                  <w:noWrap/>
                  <w:vAlign w:val="center"/>
                </w:tcPr>
                <w:p>
                  <w:pPr>
                    <w:wordWrap w:val="0"/>
                    <w:jc w:val="center"/>
                    <w:rPr>
                      <w:color w:val="auto"/>
                      <w:szCs w:val="21"/>
                    </w:rPr>
                  </w:pPr>
                  <w:r>
                    <w:rPr>
                      <w:rFonts w:hint="eastAsia"/>
                      <w:color w:val="auto"/>
                      <w:szCs w:val="21"/>
                    </w:rPr>
                    <w:t>0.0504</w:t>
                  </w:r>
                </w:p>
              </w:tc>
              <w:tc>
                <w:tcPr>
                  <w:tcW w:w="867" w:type="pct"/>
                  <w:tcBorders>
                    <w:top w:val="single" w:color="000000" w:sz="4" w:space="0"/>
                    <w:left w:val="single" w:color="000000" w:sz="4" w:space="0"/>
                    <w:bottom w:val="single" w:color="000000" w:sz="4" w:space="0"/>
                    <w:right w:val="nil"/>
                  </w:tcBorders>
                  <w:noWrap/>
                  <w:vAlign w:val="center"/>
                </w:tcPr>
                <w:p>
                  <w:pPr>
                    <w:wordWrap w:val="0"/>
                    <w:jc w:val="center"/>
                    <w:rPr>
                      <w:color w:val="auto"/>
                      <w:szCs w:val="21"/>
                    </w:rPr>
                  </w:pPr>
                  <w:r>
                    <w:rPr>
                      <w:rFonts w:hint="eastAsia"/>
                      <w:color w:val="auto"/>
                      <w:szCs w:val="21"/>
                    </w:rPr>
                    <w:t>0.0504</w:t>
                  </w:r>
                </w:p>
              </w:tc>
              <w:tc>
                <w:tcPr>
                  <w:tcW w:w="866" w:type="pct"/>
                  <w:tcBorders>
                    <w:top w:val="single" w:color="000000" w:sz="4" w:space="0"/>
                    <w:left w:val="single" w:color="000000" w:sz="4" w:space="0"/>
                    <w:bottom w:val="single" w:color="000000" w:sz="4" w:space="0"/>
                    <w:right w:val="nil"/>
                  </w:tcBorders>
                  <w:noWrap/>
                  <w:vAlign w:val="center"/>
                </w:tcPr>
                <w:p>
                  <w:pPr>
                    <w:wordWrap w:val="0"/>
                    <w:jc w:val="center"/>
                    <w:rPr>
                      <w:color w:val="auto"/>
                      <w:szCs w:val="21"/>
                    </w:rPr>
                  </w:pPr>
                  <w:r>
                    <w:rPr>
                      <w:rFonts w:hint="eastAsia"/>
                      <w:color w:val="auto"/>
                      <w:szCs w:val="21"/>
                    </w:rPr>
                    <w:t>/</w:t>
                  </w:r>
                </w:p>
              </w:tc>
              <w:tc>
                <w:tcPr>
                  <w:tcW w:w="867" w:type="pct"/>
                  <w:tcBorders>
                    <w:top w:val="single" w:color="000000" w:sz="4" w:space="0"/>
                    <w:left w:val="single" w:color="000000" w:sz="4" w:space="0"/>
                    <w:bottom w:val="single" w:color="000000" w:sz="4" w:space="0"/>
                    <w:right w:val="nil"/>
                  </w:tcBorders>
                  <w:noWrap/>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3" w:hRule="atLeast"/>
                <w:jc w:val="center"/>
              </w:trPr>
              <w:tc>
                <w:tcPr>
                  <w:tcW w:w="248" w:type="pct"/>
                  <w:vMerge w:val="continue"/>
                  <w:tcBorders>
                    <w:left w:val="nil"/>
                    <w:right w:val="single" w:color="auto" w:sz="4" w:space="0"/>
                  </w:tcBorders>
                  <w:vAlign w:val="center"/>
                </w:tcPr>
                <w:p>
                  <w:pPr>
                    <w:wordWrap w:val="0"/>
                    <w:jc w:val="center"/>
                    <w:rPr>
                      <w:color w:val="auto"/>
                      <w:szCs w:val="21"/>
                      <w:highlight w:val="green"/>
                    </w:rPr>
                  </w:pPr>
                </w:p>
              </w:tc>
              <w:tc>
                <w:tcPr>
                  <w:tcW w:w="508" w:type="pct"/>
                  <w:vMerge w:val="continue"/>
                  <w:tcBorders>
                    <w:top w:val="nil"/>
                    <w:left w:val="single" w:color="auto" w:sz="4" w:space="0"/>
                    <w:bottom w:val="nil"/>
                    <w:right w:val="single" w:color="000000" w:sz="4" w:space="0"/>
                  </w:tcBorders>
                  <w:vAlign w:val="center"/>
                </w:tcPr>
                <w:p>
                  <w:pPr>
                    <w:wordWrap w:val="0"/>
                    <w:jc w:val="center"/>
                    <w:rPr>
                      <w:color w:val="auto"/>
                      <w:szCs w:val="21"/>
                    </w:rPr>
                  </w:pPr>
                </w:p>
              </w:tc>
              <w:tc>
                <w:tcPr>
                  <w:tcW w:w="776" w:type="pct"/>
                  <w:tcBorders>
                    <w:top w:val="single" w:color="000000" w:sz="4" w:space="0"/>
                    <w:left w:val="single" w:color="000000" w:sz="4" w:space="0"/>
                    <w:bottom w:val="single" w:color="000000" w:sz="4" w:space="0"/>
                    <w:right w:val="single" w:color="000000" w:sz="4" w:space="0"/>
                  </w:tcBorders>
                  <w:vAlign w:val="center"/>
                </w:tcPr>
                <w:p>
                  <w:pPr>
                    <w:wordWrap w:val="0"/>
                    <w:jc w:val="center"/>
                    <w:rPr>
                      <w:color w:val="auto"/>
                      <w:szCs w:val="21"/>
                    </w:rPr>
                  </w:pPr>
                  <w:r>
                    <w:rPr>
                      <w:color w:val="auto"/>
                      <w:szCs w:val="21"/>
                    </w:rPr>
                    <w:t>SS</w:t>
                  </w:r>
                </w:p>
              </w:tc>
              <w:tc>
                <w:tcPr>
                  <w:tcW w:w="866" w:type="pct"/>
                  <w:tcBorders>
                    <w:top w:val="single" w:color="000000" w:sz="4" w:space="0"/>
                    <w:left w:val="single" w:color="000000" w:sz="4" w:space="0"/>
                    <w:bottom w:val="single" w:color="000000" w:sz="4" w:space="0"/>
                    <w:right w:val="nil"/>
                  </w:tcBorders>
                  <w:noWrap/>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0.288</w:t>
                  </w:r>
                </w:p>
              </w:tc>
              <w:tc>
                <w:tcPr>
                  <w:tcW w:w="867" w:type="pct"/>
                  <w:tcBorders>
                    <w:top w:val="single" w:color="000000" w:sz="4" w:space="0"/>
                    <w:left w:val="single" w:color="000000" w:sz="4" w:space="0"/>
                    <w:bottom w:val="single" w:color="000000" w:sz="4" w:space="0"/>
                    <w:right w:val="nil"/>
                  </w:tcBorders>
                  <w:noWrap/>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0.288</w:t>
                  </w:r>
                </w:p>
              </w:tc>
              <w:tc>
                <w:tcPr>
                  <w:tcW w:w="866" w:type="pct"/>
                  <w:tcBorders>
                    <w:top w:val="single" w:color="000000" w:sz="4" w:space="0"/>
                    <w:left w:val="single" w:color="000000" w:sz="4" w:space="0"/>
                    <w:bottom w:val="single" w:color="000000" w:sz="4" w:space="0"/>
                    <w:right w:val="nil"/>
                  </w:tcBorders>
                  <w:noWrap/>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w:t>
                  </w:r>
                </w:p>
              </w:tc>
              <w:tc>
                <w:tcPr>
                  <w:tcW w:w="867" w:type="pct"/>
                  <w:tcBorders>
                    <w:top w:val="single" w:color="000000" w:sz="4" w:space="0"/>
                    <w:left w:val="single" w:color="000000" w:sz="4" w:space="0"/>
                    <w:bottom w:val="single" w:color="000000" w:sz="4" w:space="0"/>
                    <w:right w:val="nil"/>
                  </w:tcBorders>
                  <w:noWrap/>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3" w:hRule="atLeast"/>
                <w:jc w:val="center"/>
              </w:trPr>
              <w:tc>
                <w:tcPr>
                  <w:tcW w:w="248" w:type="pct"/>
                  <w:vMerge w:val="continue"/>
                  <w:tcBorders>
                    <w:left w:val="nil"/>
                    <w:right w:val="single" w:color="auto" w:sz="4" w:space="0"/>
                  </w:tcBorders>
                  <w:vAlign w:val="center"/>
                </w:tcPr>
                <w:p>
                  <w:pPr>
                    <w:wordWrap w:val="0"/>
                    <w:jc w:val="center"/>
                    <w:rPr>
                      <w:color w:val="auto"/>
                      <w:szCs w:val="21"/>
                      <w:highlight w:val="green"/>
                    </w:rPr>
                  </w:pPr>
                </w:p>
              </w:tc>
              <w:tc>
                <w:tcPr>
                  <w:tcW w:w="508" w:type="pct"/>
                  <w:vMerge w:val="continue"/>
                  <w:tcBorders>
                    <w:top w:val="nil"/>
                    <w:left w:val="single" w:color="auto" w:sz="4" w:space="0"/>
                    <w:bottom w:val="nil"/>
                    <w:right w:val="single" w:color="000000" w:sz="4" w:space="0"/>
                  </w:tcBorders>
                  <w:vAlign w:val="center"/>
                </w:tcPr>
                <w:p>
                  <w:pPr>
                    <w:wordWrap w:val="0"/>
                    <w:jc w:val="center"/>
                    <w:rPr>
                      <w:color w:val="auto"/>
                      <w:szCs w:val="21"/>
                    </w:rPr>
                  </w:pPr>
                </w:p>
              </w:tc>
              <w:tc>
                <w:tcPr>
                  <w:tcW w:w="776" w:type="pct"/>
                  <w:tcBorders>
                    <w:top w:val="single" w:color="000000" w:sz="4" w:space="0"/>
                    <w:left w:val="single" w:color="000000" w:sz="4" w:space="0"/>
                    <w:bottom w:val="single" w:color="000000" w:sz="4" w:space="0"/>
                    <w:right w:val="single" w:color="000000" w:sz="4" w:space="0"/>
                  </w:tcBorders>
                  <w:vAlign w:val="center"/>
                </w:tcPr>
                <w:p>
                  <w:pPr>
                    <w:wordWrap w:val="0"/>
                    <w:jc w:val="center"/>
                    <w:rPr>
                      <w:color w:val="auto"/>
                      <w:szCs w:val="21"/>
                    </w:rPr>
                  </w:pPr>
                  <w:r>
                    <w:rPr>
                      <w:color w:val="auto"/>
                      <w:szCs w:val="21"/>
                    </w:rPr>
                    <w:t>氨氮</w:t>
                  </w:r>
                </w:p>
              </w:tc>
              <w:tc>
                <w:tcPr>
                  <w:tcW w:w="866" w:type="pct"/>
                  <w:tcBorders>
                    <w:top w:val="single" w:color="000000" w:sz="4" w:space="0"/>
                    <w:left w:val="single" w:color="000000" w:sz="4" w:space="0"/>
                    <w:bottom w:val="single" w:color="000000" w:sz="4" w:space="0"/>
                    <w:right w:val="nil"/>
                  </w:tcBorders>
                  <w:noWrap/>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0.0432</w:t>
                  </w:r>
                </w:p>
              </w:tc>
              <w:tc>
                <w:tcPr>
                  <w:tcW w:w="867" w:type="pct"/>
                  <w:tcBorders>
                    <w:top w:val="single" w:color="000000" w:sz="4" w:space="0"/>
                    <w:left w:val="single" w:color="000000" w:sz="4" w:space="0"/>
                    <w:bottom w:val="single" w:color="000000" w:sz="4" w:space="0"/>
                    <w:right w:val="nil"/>
                  </w:tcBorders>
                  <w:noWrap/>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0.0432</w:t>
                  </w:r>
                </w:p>
              </w:tc>
              <w:tc>
                <w:tcPr>
                  <w:tcW w:w="866" w:type="pct"/>
                  <w:tcBorders>
                    <w:top w:val="single" w:color="000000" w:sz="4" w:space="0"/>
                    <w:left w:val="single" w:color="000000" w:sz="4" w:space="0"/>
                    <w:bottom w:val="single" w:color="000000" w:sz="4" w:space="0"/>
                    <w:right w:val="nil"/>
                  </w:tcBorders>
                  <w:noWrap/>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w:t>
                  </w:r>
                </w:p>
              </w:tc>
              <w:tc>
                <w:tcPr>
                  <w:tcW w:w="867" w:type="pct"/>
                  <w:tcBorders>
                    <w:top w:val="single" w:color="000000" w:sz="4" w:space="0"/>
                    <w:left w:val="single" w:color="000000" w:sz="4" w:space="0"/>
                    <w:bottom w:val="single" w:color="000000" w:sz="4" w:space="0"/>
                    <w:right w:val="nil"/>
                  </w:tcBorders>
                  <w:noWrap/>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3" w:hRule="atLeast"/>
                <w:jc w:val="center"/>
              </w:trPr>
              <w:tc>
                <w:tcPr>
                  <w:tcW w:w="248" w:type="pct"/>
                  <w:vMerge w:val="continue"/>
                  <w:tcBorders>
                    <w:left w:val="nil"/>
                    <w:right w:val="single" w:color="auto" w:sz="4" w:space="0"/>
                  </w:tcBorders>
                  <w:vAlign w:val="center"/>
                </w:tcPr>
                <w:p>
                  <w:pPr>
                    <w:wordWrap w:val="0"/>
                    <w:jc w:val="center"/>
                    <w:rPr>
                      <w:color w:val="auto"/>
                      <w:szCs w:val="21"/>
                      <w:highlight w:val="green"/>
                    </w:rPr>
                  </w:pPr>
                </w:p>
              </w:tc>
              <w:tc>
                <w:tcPr>
                  <w:tcW w:w="508" w:type="pct"/>
                  <w:vMerge w:val="continue"/>
                  <w:tcBorders>
                    <w:top w:val="nil"/>
                    <w:left w:val="single" w:color="auto" w:sz="4" w:space="0"/>
                    <w:bottom w:val="nil"/>
                    <w:right w:val="single" w:color="000000" w:sz="4" w:space="0"/>
                  </w:tcBorders>
                  <w:vAlign w:val="center"/>
                </w:tcPr>
                <w:p>
                  <w:pPr>
                    <w:wordWrap w:val="0"/>
                    <w:jc w:val="center"/>
                    <w:rPr>
                      <w:color w:val="auto"/>
                      <w:szCs w:val="21"/>
                    </w:rPr>
                  </w:pPr>
                </w:p>
              </w:tc>
              <w:tc>
                <w:tcPr>
                  <w:tcW w:w="776" w:type="pct"/>
                  <w:tcBorders>
                    <w:top w:val="single" w:color="000000" w:sz="4" w:space="0"/>
                    <w:left w:val="single" w:color="000000" w:sz="4" w:space="0"/>
                    <w:bottom w:val="single" w:color="000000" w:sz="4" w:space="0"/>
                    <w:right w:val="single" w:color="000000" w:sz="4" w:space="0"/>
                  </w:tcBorders>
                  <w:vAlign w:val="center"/>
                </w:tcPr>
                <w:p>
                  <w:pPr>
                    <w:wordWrap w:val="0"/>
                    <w:jc w:val="center"/>
                    <w:rPr>
                      <w:color w:val="auto"/>
                      <w:szCs w:val="21"/>
                    </w:rPr>
                  </w:pPr>
                  <w:r>
                    <w:rPr>
                      <w:color w:val="auto"/>
                      <w:szCs w:val="21"/>
                    </w:rPr>
                    <w:t>总磷</w:t>
                  </w:r>
                </w:p>
              </w:tc>
              <w:tc>
                <w:tcPr>
                  <w:tcW w:w="866" w:type="pct"/>
                  <w:tcBorders>
                    <w:top w:val="single" w:color="000000" w:sz="4" w:space="0"/>
                    <w:left w:val="single" w:color="000000" w:sz="4" w:space="0"/>
                    <w:bottom w:val="single" w:color="000000" w:sz="4" w:space="0"/>
                    <w:right w:val="nil"/>
                  </w:tcBorders>
                  <w:noWrap/>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0.000576</w:t>
                  </w:r>
                </w:p>
              </w:tc>
              <w:tc>
                <w:tcPr>
                  <w:tcW w:w="867" w:type="pct"/>
                  <w:tcBorders>
                    <w:top w:val="single" w:color="000000" w:sz="4" w:space="0"/>
                    <w:left w:val="single" w:color="000000" w:sz="4" w:space="0"/>
                    <w:bottom w:val="single" w:color="000000" w:sz="4" w:space="0"/>
                    <w:right w:val="nil"/>
                  </w:tcBorders>
                  <w:noWrap/>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0.000576</w:t>
                  </w:r>
                </w:p>
              </w:tc>
              <w:tc>
                <w:tcPr>
                  <w:tcW w:w="866" w:type="pct"/>
                  <w:tcBorders>
                    <w:top w:val="single" w:color="000000" w:sz="4" w:space="0"/>
                    <w:left w:val="single" w:color="000000" w:sz="4" w:space="0"/>
                    <w:bottom w:val="single" w:color="000000" w:sz="4" w:space="0"/>
                    <w:right w:val="nil"/>
                  </w:tcBorders>
                  <w:noWrap/>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w:t>
                  </w:r>
                </w:p>
              </w:tc>
              <w:tc>
                <w:tcPr>
                  <w:tcW w:w="867" w:type="pct"/>
                  <w:tcBorders>
                    <w:top w:val="single" w:color="000000" w:sz="4" w:space="0"/>
                    <w:left w:val="single" w:color="000000" w:sz="4" w:space="0"/>
                    <w:bottom w:val="single" w:color="000000" w:sz="4" w:space="0"/>
                    <w:right w:val="nil"/>
                  </w:tcBorders>
                  <w:noWrap/>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3" w:hRule="atLeast"/>
                <w:jc w:val="center"/>
              </w:trPr>
              <w:tc>
                <w:tcPr>
                  <w:tcW w:w="248" w:type="pct"/>
                  <w:vMerge w:val="continue"/>
                  <w:tcBorders>
                    <w:left w:val="nil"/>
                    <w:right w:val="single" w:color="auto" w:sz="4" w:space="0"/>
                  </w:tcBorders>
                  <w:vAlign w:val="center"/>
                </w:tcPr>
                <w:p>
                  <w:pPr>
                    <w:wordWrap w:val="0"/>
                    <w:jc w:val="center"/>
                    <w:rPr>
                      <w:color w:val="auto"/>
                      <w:szCs w:val="21"/>
                      <w:highlight w:val="green"/>
                    </w:rPr>
                  </w:pPr>
                </w:p>
              </w:tc>
              <w:tc>
                <w:tcPr>
                  <w:tcW w:w="508" w:type="pct"/>
                  <w:vMerge w:val="continue"/>
                  <w:tcBorders>
                    <w:top w:val="nil"/>
                    <w:left w:val="single" w:color="auto" w:sz="4" w:space="0"/>
                    <w:bottom w:val="single" w:color="auto" w:sz="4" w:space="0"/>
                    <w:right w:val="single" w:color="000000" w:sz="4" w:space="0"/>
                  </w:tcBorders>
                  <w:vAlign w:val="center"/>
                </w:tcPr>
                <w:p>
                  <w:pPr>
                    <w:wordWrap w:val="0"/>
                    <w:jc w:val="center"/>
                    <w:rPr>
                      <w:color w:val="auto"/>
                      <w:szCs w:val="21"/>
                    </w:rPr>
                  </w:pPr>
                </w:p>
              </w:tc>
              <w:tc>
                <w:tcPr>
                  <w:tcW w:w="776" w:type="pct"/>
                  <w:tcBorders>
                    <w:top w:val="single" w:color="000000" w:sz="4" w:space="0"/>
                    <w:left w:val="single" w:color="000000" w:sz="4" w:space="0"/>
                    <w:bottom w:val="single" w:color="auto" w:sz="4" w:space="0"/>
                    <w:right w:val="single" w:color="000000" w:sz="4" w:space="0"/>
                  </w:tcBorders>
                  <w:vAlign w:val="center"/>
                </w:tcPr>
                <w:p>
                  <w:pPr>
                    <w:wordWrap w:val="0"/>
                    <w:jc w:val="center"/>
                    <w:rPr>
                      <w:color w:val="auto"/>
                      <w:szCs w:val="21"/>
                    </w:rPr>
                  </w:pPr>
                  <w:r>
                    <w:rPr>
                      <w:color w:val="auto"/>
                      <w:szCs w:val="21"/>
                    </w:rPr>
                    <w:t>总氮</w:t>
                  </w:r>
                </w:p>
              </w:tc>
              <w:tc>
                <w:tcPr>
                  <w:tcW w:w="866" w:type="pct"/>
                  <w:tcBorders>
                    <w:top w:val="single" w:color="000000" w:sz="4" w:space="0"/>
                    <w:left w:val="single" w:color="000000" w:sz="4" w:space="0"/>
                    <w:bottom w:val="single" w:color="000000" w:sz="4" w:space="0"/>
                    <w:right w:val="nil"/>
                  </w:tcBorders>
                  <w:noWrap/>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0.0576</w:t>
                  </w:r>
                </w:p>
              </w:tc>
              <w:tc>
                <w:tcPr>
                  <w:tcW w:w="867" w:type="pct"/>
                  <w:tcBorders>
                    <w:top w:val="single" w:color="000000" w:sz="4" w:space="0"/>
                    <w:left w:val="single" w:color="000000" w:sz="4" w:space="0"/>
                    <w:bottom w:val="single" w:color="000000" w:sz="4" w:space="0"/>
                    <w:right w:val="nil"/>
                  </w:tcBorders>
                  <w:noWrap/>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0.0576</w:t>
                  </w:r>
                </w:p>
              </w:tc>
              <w:tc>
                <w:tcPr>
                  <w:tcW w:w="866" w:type="pct"/>
                  <w:tcBorders>
                    <w:top w:val="single" w:color="000000" w:sz="4" w:space="0"/>
                    <w:left w:val="single" w:color="000000" w:sz="4" w:space="0"/>
                    <w:bottom w:val="single" w:color="000000" w:sz="4" w:space="0"/>
                    <w:right w:val="nil"/>
                  </w:tcBorders>
                  <w:noWrap/>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w:t>
                  </w:r>
                </w:p>
              </w:tc>
              <w:tc>
                <w:tcPr>
                  <w:tcW w:w="867" w:type="pct"/>
                  <w:tcBorders>
                    <w:top w:val="single" w:color="000000" w:sz="4" w:space="0"/>
                    <w:left w:val="single" w:color="000000" w:sz="4" w:space="0"/>
                    <w:bottom w:val="single" w:color="000000" w:sz="4" w:space="0"/>
                    <w:right w:val="nil"/>
                  </w:tcBorders>
                  <w:noWrap/>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3" w:hRule="atLeast"/>
                <w:jc w:val="center"/>
              </w:trPr>
              <w:tc>
                <w:tcPr>
                  <w:tcW w:w="756" w:type="pct"/>
                  <w:gridSpan w:val="2"/>
                  <w:vMerge w:val="restart"/>
                  <w:tcBorders>
                    <w:top w:val="single" w:color="auto" w:sz="4" w:space="0"/>
                    <w:left w:val="nil"/>
                    <w:bottom w:val="nil"/>
                    <w:right w:val="single" w:color="000000" w:sz="4" w:space="0"/>
                  </w:tcBorders>
                  <w:vAlign w:val="center"/>
                </w:tcPr>
                <w:p>
                  <w:pPr>
                    <w:wordWrap w:val="0"/>
                    <w:jc w:val="center"/>
                    <w:rPr>
                      <w:color w:val="auto"/>
                      <w:szCs w:val="21"/>
                      <w:highlight w:val="green"/>
                    </w:rPr>
                  </w:pPr>
                  <w:r>
                    <w:rPr>
                      <w:color w:val="auto"/>
                      <w:szCs w:val="21"/>
                    </w:rPr>
                    <w:t>固废</w:t>
                  </w:r>
                </w:p>
              </w:tc>
              <w:tc>
                <w:tcPr>
                  <w:tcW w:w="776" w:type="pct"/>
                  <w:tcBorders>
                    <w:top w:val="single" w:color="auto" w:sz="4" w:space="0"/>
                    <w:left w:val="single" w:color="000000" w:sz="4" w:space="0"/>
                    <w:bottom w:val="single" w:color="000000" w:sz="4" w:space="0"/>
                    <w:right w:val="single" w:color="000000" w:sz="4" w:space="0"/>
                  </w:tcBorders>
                  <w:vAlign w:val="center"/>
                </w:tcPr>
                <w:p>
                  <w:pPr>
                    <w:wordWrap w:val="0"/>
                    <w:jc w:val="center"/>
                    <w:rPr>
                      <w:color w:val="auto"/>
                      <w:szCs w:val="21"/>
                    </w:rPr>
                  </w:pPr>
                  <w:r>
                    <w:rPr>
                      <w:color w:val="auto"/>
                      <w:szCs w:val="21"/>
                    </w:rPr>
                    <w:t>危险废物</w:t>
                  </w:r>
                </w:p>
              </w:tc>
              <w:tc>
                <w:tcPr>
                  <w:tcW w:w="866" w:type="pct"/>
                  <w:tcBorders>
                    <w:top w:val="single" w:color="auto" w:sz="4" w:space="0"/>
                    <w:left w:val="single" w:color="000000" w:sz="4" w:space="0"/>
                    <w:bottom w:val="single" w:color="000000" w:sz="4" w:space="0"/>
                    <w:right w:val="nil"/>
                  </w:tcBorders>
                  <w:noWrap/>
                  <w:vAlign w:val="center"/>
                </w:tcPr>
                <w:p>
                  <w:pPr>
                    <w:wordWrap w:val="0"/>
                    <w:jc w:val="center"/>
                    <w:rPr>
                      <w:rFonts w:hint="default" w:eastAsia="宋体"/>
                      <w:color w:val="auto"/>
                      <w:szCs w:val="21"/>
                      <w:lang w:val="en-US" w:eastAsia="zh-CN"/>
                    </w:rPr>
                  </w:pPr>
                  <w:r>
                    <w:rPr>
                      <w:rFonts w:hint="eastAsia"/>
                      <w:color w:val="auto"/>
                      <w:szCs w:val="21"/>
                      <w:lang w:val="en-US" w:eastAsia="zh-CN"/>
                    </w:rPr>
                    <w:t>11.9901</w:t>
                  </w:r>
                </w:p>
              </w:tc>
              <w:tc>
                <w:tcPr>
                  <w:tcW w:w="867" w:type="pct"/>
                  <w:tcBorders>
                    <w:top w:val="single" w:color="auto" w:sz="4" w:space="0"/>
                    <w:left w:val="single" w:color="000000" w:sz="4" w:space="0"/>
                    <w:bottom w:val="single" w:color="000000" w:sz="4" w:space="0"/>
                    <w:right w:val="nil"/>
                  </w:tcBorders>
                  <w:noWrap/>
                  <w:vAlign w:val="center"/>
                </w:tcPr>
                <w:p>
                  <w:pPr>
                    <w:wordWrap w:val="0"/>
                    <w:jc w:val="center"/>
                    <w:rPr>
                      <w:color w:val="auto"/>
                      <w:szCs w:val="21"/>
                    </w:rPr>
                  </w:pPr>
                  <w:r>
                    <w:rPr>
                      <w:rFonts w:hint="eastAsia"/>
                      <w:color w:val="auto"/>
                      <w:szCs w:val="21"/>
                      <w:lang w:val="en-US" w:eastAsia="zh-CN"/>
                    </w:rPr>
                    <w:t>11.9901</w:t>
                  </w:r>
                </w:p>
              </w:tc>
              <w:tc>
                <w:tcPr>
                  <w:tcW w:w="866" w:type="pct"/>
                  <w:tcBorders>
                    <w:top w:val="single" w:color="auto" w:sz="4" w:space="0"/>
                    <w:left w:val="single" w:color="000000" w:sz="4" w:space="0"/>
                    <w:bottom w:val="single" w:color="000000" w:sz="4" w:space="0"/>
                    <w:right w:val="nil"/>
                  </w:tcBorders>
                  <w:noWrap/>
                  <w:vAlign w:val="center"/>
                </w:tcPr>
                <w:p>
                  <w:pPr>
                    <w:wordWrap w:val="0"/>
                    <w:jc w:val="center"/>
                    <w:rPr>
                      <w:color w:val="auto"/>
                      <w:szCs w:val="21"/>
                    </w:rPr>
                  </w:pPr>
                  <w:r>
                    <w:rPr>
                      <w:rFonts w:hint="eastAsia"/>
                      <w:color w:val="auto"/>
                      <w:szCs w:val="21"/>
                    </w:rPr>
                    <w:t>/</w:t>
                  </w:r>
                </w:p>
              </w:tc>
              <w:tc>
                <w:tcPr>
                  <w:tcW w:w="867" w:type="pct"/>
                  <w:tcBorders>
                    <w:top w:val="single" w:color="auto" w:sz="4" w:space="0"/>
                    <w:left w:val="single" w:color="000000" w:sz="4" w:space="0"/>
                    <w:bottom w:val="single" w:color="000000" w:sz="4" w:space="0"/>
                    <w:right w:val="nil"/>
                  </w:tcBorders>
                  <w:noWrap/>
                  <w:vAlign w:val="center"/>
                </w:tcPr>
                <w:p>
                  <w:pPr>
                    <w:wordWrap w:val="0"/>
                    <w:jc w:val="center"/>
                    <w:rPr>
                      <w:color w:val="auto"/>
                      <w:szCs w:val="21"/>
                    </w:rPr>
                  </w:pPr>
                  <w:r>
                    <w:rPr>
                      <w:color w:val="auto"/>
                      <w:szCs w:val="21"/>
                    </w:rPr>
                    <w:t>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56" w:type="pct"/>
                  <w:gridSpan w:val="2"/>
                  <w:vMerge w:val="continue"/>
                  <w:tcBorders>
                    <w:top w:val="nil"/>
                    <w:left w:val="nil"/>
                    <w:bottom w:val="nil"/>
                    <w:right w:val="single" w:color="000000" w:sz="4" w:space="0"/>
                  </w:tcBorders>
                  <w:vAlign w:val="center"/>
                </w:tcPr>
                <w:p>
                  <w:pPr>
                    <w:wordWrap w:val="0"/>
                    <w:jc w:val="center"/>
                    <w:rPr>
                      <w:color w:val="auto"/>
                      <w:szCs w:val="21"/>
                      <w:highlight w:val="green"/>
                    </w:rPr>
                  </w:pPr>
                </w:p>
              </w:tc>
              <w:tc>
                <w:tcPr>
                  <w:tcW w:w="776" w:type="pct"/>
                  <w:tcBorders>
                    <w:top w:val="single" w:color="000000" w:sz="4" w:space="0"/>
                    <w:left w:val="single" w:color="000000" w:sz="4" w:space="0"/>
                    <w:bottom w:val="single" w:color="000000" w:sz="4" w:space="0"/>
                    <w:right w:val="single" w:color="000000" w:sz="4" w:space="0"/>
                  </w:tcBorders>
                  <w:vAlign w:val="center"/>
                </w:tcPr>
                <w:p>
                  <w:pPr>
                    <w:wordWrap w:val="0"/>
                    <w:jc w:val="center"/>
                    <w:rPr>
                      <w:color w:val="auto"/>
                      <w:szCs w:val="21"/>
                    </w:rPr>
                  </w:pPr>
                  <w:r>
                    <w:rPr>
                      <w:color w:val="auto"/>
                      <w:szCs w:val="21"/>
                    </w:rPr>
                    <w:t>一般固废</w:t>
                  </w:r>
                </w:p>
              </w:tc>
              <w:tc>
                <w:tcPr>
                  <w:tcW w:w="866" w:type="pct"/>
                  <w:tcBorders>
                    <w:top w:val="single" w:color="000000" w:sz="4" w:space="0"/>
                    <w:left w:val="single" w:color="000000" w:sz="4" w:space="0"/>
                    <w:bottom w:val="single" w:color="000000" w:sz="4" w:space="0"/>
                    <w:right w:val="nil"/>
                  </w:tcBorders>
                  <w:noWrap/>
                  <w:vAlign w:val="center"/>
                </w:tcPr>
                <w:p>
                  <w:pPr>
                    <w:wordWrap w:val="0"/>
                    <w:jc w:val="center"/>
                    <w:rPr>
                      <w:rFonts w:hint="default" w:eastAsia="宋体"/>
                      <w:color w:val="auto"/>
                      <w:szCs w:val="21"/>
                      <w:lang w:val="en-US" w:eastAsia="zh-CN"/>
                    </w:rPr>
                  </w:pPr>
                  <w:r>
                    <w:rPr>
                      <w:rFonts w:hint="eastAsia"/>
                      <w:color w:val="auto"/>
                      <w:szCs w:val="21"/>
                      <w:lang w:val="en-US" w:eastAsia="zh-CN"/>
                    </w:rPr>
                    <w:t>173.4522</w:t>
                  </w:r>
                </w:p>
              </w:tc>
              <w:tc>
                <w:tcPr>
                  <w:tcW w:w="867" w:type="pct"/>
                  <w:tcBorders>
                    <w:top w:val="single" w:color="000000" w:sz="4" w:space="0"/>
                    <w:left w:val="single" w:color="000000" w:sz="4" w:space="0"/>
                    <w:bottom w:val="single" w:color="000000" w:sz="4" w:space="0"/>
                    <w:right w:val="nil"/>
                  </w:tcBorders>
                  <w:noWrap/>
                  <w:vAlign w:val="center"/>
                </w:tcPr>
                <w:p>
                  <w:pPr>
                    <w:wordWrap w:val="0"/>
                    <w:jc w:val="center"/>
                    <w:rPr>
                      <w:color w:val="auto"/>
                      <w:szCs w:val="21"/>
                    </w:rPr>
                  </w:pPr>
                  <w:r>
                    <w:rPr>
                      <w:rFonts w:hint="eastAsia"/>
                      <w:color w:val="auto"/>
                      <w:szCs w:val="21"/>
                      <w:lang w:val="en-US" w:eastAsia="zh-CN"/>
                    </w:rPr>
                    <w:t>173.4522</w:t>
                  </w:r>
                </w:p>
              </w:tc>
              <w:tc>
                <w:tcPr>
                  <w:tcW w:w="866" w:type="pct"/>
                  <w:tcBorders>
                    <w:top w:val="single" w:color="000000" w:sz="4" w:space="0"/>
                    <w:left w:val="single" w:color="000000" w:sz="4" w:space="0"/>
                    <w:bottom w:val="single" w:color="000000" w:sz="4" w:space="0"/>
                    <w:right w:val="nil"/>
                  </w:tcBorders>
                  <w:noWrap/>
                  <w:vAlign w:val="center"/>
                </w:tcPr>
                <w:p>
                  <w:pPr>
                    <w:wordWrap w:val="0"/>
                    <w:jc w:val="center"/>
                    <w:rPr>
                      <w:color w:val="auto"/>
                      <w:szCs w:val="21"/>
                    </w:rPr>
                  </w:pPr>
                  <w:r>
                    <w:rPr>
                      <w:rFonts w:hint="eastAsia"/>
                      <w:color w:val="auto"/>
                      <w:szCs w:val="21"/>
                    </w:rPr>
                    <w:t>/</w:t>
                  </w:r>
                </w:p>
              </w:tc>
              <w:tc>
                <w:tcPr>
                  <w:tcW w:w="867" w:type="pct"/>
                  <w:tcBorders>
                    <w:top w:val="single" w:color="000000" w:sz="4" w:space="0"/>
                    <w:left w:val="single" w:color="000000" w:sz="4" w:space="0"/>
                    <w:bottom w:val="single" w:color="000000" w:sz="4" w:space="0"/>
                    <w:right w:val="nil"/>
                  </w:tcBorders>
                  <w:noWrap/>
                  <w:vAlign w:val="center"/>
                </w:tcPr>
                <w:p>
                  <w:pPr>
                    <w:wordWrap w:val="0"/>
                    <w:jc w:val="center"/>
                    <w:rPr>
                      <w:color w:val="auto"/>
                      <w:kern w:val="0"/>
                      <w:szCs w:val="21"/>
                      <w:lang w:bidi="ar"/>
                    </w:rPr>
                  </w:pPr>
                  <w:r>
                    <w:rPr>
                      <w:color w:val="auto"/>
                      <w:szCs w:val="21"/>
                    </w:rPr>
                    <w:t>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56" w:type="pct"/>
                  <w:gridSpan w:val="2"/>
                  <w:vMerge w:val="continue"/>
                  <w:tcBorders>
                    <w:top w:val="nil"/>
                    <w:left w:val="nil"/>
                    <w:bottom w:val="single" w:color="auto" w:sz="12" w:space="0"/>
                    <w:right w:val="single" w:color="000000" w:sz="4" w:space="0"/>
                  </w:tcBorders>
                  <w:vAlign w:val="center"/>
                </w:tcPr>
                <w:p>
                  <w:pPr>
                    <w:wordWrap w:val="0"/>
                    <w:jc w:val="center"/>
                    <w:rPr>
                      <w:color w:val="auto"/>
                      <w:szCs w:val="21"/>
                      <w:highlight w:val="green"/>
                    </w:rPr>
                  </w:pPr>
                </w:p>
              </w:tc>
              <w:tc>
                <w:tcPr>
                  <w:tcW w:w="776" w:type="pct"/>
                  <w:tcBorders>
                    <w:top w:val="single" w:color="000000" w:sz="4" w:space="0"/>
                    <w:left w:val="single" w:color="000000" w:sz="4" w:space="0"/>
                    <w:bottom w:val="single" w:color="auto" w:sz="12" w:space="0"/>
                    <w:right w:val="single" w:color="000000" w:sz="4" w:space="0"/>
                  </w:tcBorders>
                  <w:vAlign w:val="center"/>
                </w:tcPr>
                <w:p>
                  <w:pPr>
                    <w:wordWrap w:val="0"/>
                    <w:jc w:val="center"/>
                    <w:rPr>
                      <w:color w:val="auto"/>
                      <w:szCs w:val="21"/>
                    </w:rPr>
                  </w:pPr>
                  <w:r>
                    <w:rPr>
                      <w:color w:val="auto"/>
                      <w:szCs w:val="21"/>
                    </w:rPr>
                    <w:t>生活垃圾</w:t>
                  </w:r>
                </w:p>
              </w:tc>
              <w:tc>
                <w:tcPr>
                  <w:tcW w:w="866" w:type="pct"/>
                  <w:tcBorders>
                    <w:top w:val="single" w:color="000000" w:sz="4" w:space="0"/>
                    <w:left w:val="single" w:color="000000" w:sz="4" w:space="0"/>
                    <w:bottom w:val="single" w:color="auto" w:sz="12" w:space="0"/>
                    <w:right w:val="nil"/>
                  </w:tcBorders>
                  <w:noWrap/>
                  <w:vAlign w:val="center"/>
                </w:tcPr>
                <w:p>
                  <w:pPr>
                    <w:wordWrap w:val="0"/>
                    <w:jc w:val="center"/>
                    <w:rPr>
                      <w:color w:val="auto"/>
                      <w:szCs w:val="21"/>
                    </w:rPr>
                  </w:pPr>
                  <w:r>
                    <w:rPr>
                      <w:color w:val="auto"/>
                      <w:szCs w:val="21"/>
                    </w:rPr>
                    <w:t>7.56</w:t>
                  </w:r>
                </w:p>
              </w:tc>
              <w:tc>
                <w:tcPr>
                  <w:tcW w:w="867" w:type="pct"/>
                  <w:tcBorders>
                    <w:top w:val="single" w:color="000000" w:sz="4" w:space="0"/>
                    <w:left w:val="single" w:color="000000" w:sz="4" w:space="0"/>
                    <w:bottom w:val="single" w:color="auto" w:sz="12" w:space="0"/>
                    <w:right w:val="nil"/>
                  </w:tcBorders>
                  <w:noWrap/>
                  <w:vAlign w:val="center"/>
                </w:tcPr>
                <w:p>
                  <w:pPr>
                    <w:wordWrap w:val="0"/>
                    <w:jc w:val="center"/>
                    <w:rPr>
                      <w:color w:val="auto"/>
                      <w:szCs w:val="21"/>
                    </w:rPr>
                  </w:pPr>
                  <w:r>
                    <w:rPr>
                      <w:color w:val="auto"/>
                      <w:szCs w:val="21"/>
                    </w:rPr>
                    <w:t>7.56</w:t>
                  </w:r>
                </w:p>
              </w:tc>
              <w:tc>
                <w:tcPr>
                  <w:tcW w:w="866" w:type="pct"/>
                  <w:tcBorders>
                    <w:top w:val="single" w:color="000000" w:sz="4" w:space="0"/>
                    <w:left w:val="single" w:color="000000" w:sz="4" w:space="0"/>
                    <w:bottom w:val="single" w:color="auto" w:sz="12" w:space="0"/>
                    <w:right w:val="nil"/>
                  </w:tcBorders>
                  <w:noWrap/>
                  <w:vAlign w:val="center"/>
                </w:tcPr>
                <w:p>
                  <w:pPr>
                    <w:wordWrap w:val="0"/>
                    <w:jc w:val="center"/>
                    <w:rPr>
                      <w:color w:val="auto"/>
                      <w:szCs w:val="21"/>
                    </w:rPr>
                  </w:pPr>
                  <w:r>
                    <w:rPr>
                      <w:rFonts w:hint="eastAsia"/>
                      <w:color w:val="auto"/>
                      <w:szCs w:val="21"/>
                    </w:rPr>
                    <w:t>/</w:t>
                  </w:r>
                </w:p>
              </w:tc>
              <w:tc>
                <w:tcPr>
                  <w:tcW w:w="867" w:type="pct"/>
                  <w:tcBorders>
                    <w:top w:val="single" w:color="000000" w:sz="4" w:space="0"/>
                    <w:left w:val="single" w:color="000000" w:sz="4" w:space="0"/>
                    <w:bottom w:val="single" w:color="auto" w:sz="12" w:space="0"/>
                    <w:right w:val="nil"/>
                  </w:tcBorders>
                  <w:noWrap/>
                  <w:vAlign w:val="center"/>
                </w:tcPr>
                <w:p>
                  <w:pPr>
                    <w:wordWrap w:val="0"/>
                    <w:jc w:val="center"/>
                    <w:rPr>
                      <w:color w:val="auto"/>
                      <w:kern w:val="0"/>
                      <w:szCs w:val="21"/>
                      <w:lang w:bidi="ar"/>
                    </w:rPr>
                  </w:pPr>
                  <w:r>
                    <w:rPr>
                      <w:color w:val="auto"/>
                      <w:szCs w:val="21"/>
                    </w:rPr>
                    <w:t>0</w:t>
                  </w:r>
                </w:p>
              </w:tc>
            </w:tr>
          </w:tbl>
          <w:p>
            <w:pPr>
              <w:wordWrap w:val="0"/>
              <w:spacing w:line="360" w:lineRule="auto"/>
              <w:ind w:firstLine="480" w:firstLineChars="200"/>
              <w:rPr>
                <w:bCs/>
                <w:color w:val="auto"/>
                <w:sz w:val="24"/>
                <w:lang w:val="zh-CN"/>
              </w:rPr>
            </w:pPr>
            <w:r>
              <w:rPr>
                <w:bCs/>
                <w:color w:val="auto"/>
                <w:sz w:val="24"/>
                <w:lang w:val="zh-CN"/>
              </w:rPr>
              <w:t>结合项目环境污染特征，确定项目实施总量控制因子为：</w:t>
            </w:r>
          </w:p>
          <w:p>
            <w:pPr>
              <w:wordWrap w:val="0"/>
              <w:spacing w:line="360" w:lineRule="auto"/>
              <w:ind w:firstLine="480" w:firstLineChars="200"/>
              <w:rPr>
                <w:color w:val="auto"/>
                <w:sz w:val="24"/>
                <w:lang w:val="zh-CN"/>
              </w:rPr>
            </w:pPr>
            <w:r>
              <w:rPr>
                <w:color w:val="auto"/>
                <w:sz w:val="24"/>
                <w:lang w:val="zh-CN"/>
              </w:rPr>
              <w:t>（1）废水：</w:t>
            </w:r>
          </w:p>
          <w:p>
            <w:pPr>
              <w:wordWrap w:val="0"/>
              <w:spacing w:line="360" w:lineRule="auto"/>
              <w:ind w:firstLine="480" w:firstLineChars="200"/>
              <w:rPr>
                <w:color w:val="auto"/>
                <w:sz w:val="24"/>
                <w:lang w:val="zh-CN"/>
              </w:rPr>
            </w:pPr>
            <w:r>
              <w:rPr>
                <w:color w:val="auto"/>
                <w:sz w:val="24"/>
                <w:lang w:val="zh-CN"/>
              </w:rPr>
              <w:t>建设项目无生产废水外排。</w:t>
            </w:r>
          </w:p>
          <w:p>
            <w:pPr>
              <w:wordWrap w:val="0"/>
              <w:spacing w:line="360" w:lineRule="auto"/>
              <w:ind w:firstLine="480" w:firstLineChars="200"/>
              <w:rPr>
                <w:color w:val="auto"/>
                <w:sz w:val="24"/>
                <w:lang w:val="zh-CN"/>
              </w:rPr>
            </w:pPr>
            <w:r>
              <w:rPr>
                <w:color w:val="auto"/>
                <w:sz w:val="24"/>
                <w:lang w:val="zh-CN"/>
              </w:rPr>
              <w:t>（2）废气：</w:t>
            </w:r>
          </w:p>
          <w:p>
            <w:pPr>
              <w:wordWrap w:val="0"/>
              <w:spacing w:line="360" w:lineRule="auto"/>
              <w:ind w:firstLine="480" w:firstLineChars="200"/>
              <w:rPr>
                <w:color w:val="auto"/>
                <w:sz w:val="24"/>
                <w:lang w:val="zh-CN"/>
              </w:rPr>
            </w:pPr>
            <w:r>
              <w:rPr>
                <w:color w:val="auto"/>
                <w:sz w:val="24"/>
              </w:rPr>
              <w:t>废气（有组织）：颗粒物≤</w:t>
            </w:r>
            <w:r>
              <w:rPr>
                <w:rFonts w:hint="eastAsia"/>
                <w:color w:val="auto"/>
                <w:sz w:val="24"/>
                <w:lang w:val="en-US" w:eastAsia="zh-CN"/>
              </w:rPr>
              <w:t>0.8218</w:t>
            </w:r>
            <w:r>
              <w:rPr>
                <w:color w:val="auto"/>
                <w:sz w:val="24"/>
              </w:rPr>
              <w:t>t/a、VOCs（非甲烷总烃）≤</w:t>
            </w:r>
            <w:r>
              <w:rPr>
                <w:rFonts w:hint="eastAsia"/>
                <w:color w:val="auto"/>
                <w:sz w:val="24"/>
                <w:lang w:val="en-US" w:eastAsia="zh-CN"/>
              </w:rPr>
              <w:t>0.2103</w:t>
            </w:r>
            <w:r>
              <w:rPr>
                <w:color w:val="auto"/>
                <w:sz w:val="24"/>
              </w:rPr>
              <w:t>t/a；</w:t>
            </w:r>
          </w:p>
          <w:p>
            <w:pPr>
              <w:wordWrap w:val="0"/>
              <w:spacing w:line="360" w:lineRule="auto"/>
              <w:ind w:firstLine="480" w:firstLineChars="200"/>
              <w:rPr>
                <w:color w:val="auto"/>
                <w:sz w:val="24"/>
                <w:lang w:val="zh-CN"/>
              </w:rPr>
            </w:pPr>
            <w:r>
              <w:rPr>
                <w:color w:val="auto"/>
                <w:sz w:val="24"/>
              </w:rPr>
              <w:t>废气（无组织）：颗粒物≤</w:t>
            </w:r>
            <w:r>
              <w:rPr>
                <w:rFonts w:hint="eastAsia"/>
                <w:color w:val="auto"/>
                <w:sz w:val="24"/>
                <w:lang w:val="en-US" w:eastAsia="zh-CN"/>
              </w:rPr>
              <w:t>0.9668t</w:t>
            </w:r>
            <w:r>
              <w:rPr>
                <w:color w:val="auto"/>
                <w:sz w:val="24"/>
              </w:rPr>
              <w:t>/a、VOCs（非甲烷总烃）≤</w:t>
            </w:r>
            <w:r>
              <w:rPr>
                <w:rFonts w:hint="eastAsia"/>
                <w:color w:val="auto"/>
                <w:sz w:val="24"/>
                <w:lang w:val="en-US" w:eastAsia="zh-CN"/>
              </w:rPr>
              <w:t>0.117t</w:t>
            </w:r>
            <w:r>
              <w:rPr>
                <w:color w:val="auto"/>
                <w:sz w:val="24"/>
              </w:rPr>
              <w:t>/a；</w:t>
            </w:r>
          </w:p>
          <w:p>
            <w:pPr>
              <w:wordWrap w:val="0"/>
              <w:spacing w:line="360" w:lineRule="auto"/>
              <w:ind w:firstLine="480" w:firstLineChars="200"/>
              <w:rPr>
                <w:color w:val="auto"/>
                <w:sz w:val="24"/>
                <w:lang w:val="zh-CN"/>
              </w:rPr>
            </w:pPr>
            <w:r>
              <w:rPr>
                <w:color w:val="auto"/>
                <w:sz w:val="24"/>
              </w:rPr>
              <w:t>本项目排放颗粒物</w:t>
            </w:r>
            <w:r>
              <w:rPr>
                <w:rFonts w:hint="eastAsia"/>
                <w:color w:val="auto"/>
                <w:sz w:val="24"/>
                <w:lang w:val="en-US" w:eastAsia="zh-CN"/>
              </w:rPr>
              <w:t>1.7886</w:t>
            </w:r>
            <w:r>
              <w:rPr>
                <w:color w:val="auto"/>
                <w:sz w:val="24"/>
              </w:rPr>
              <w:t>t/a（有组织</w:t>
            </w:r>
            <w:r>
              <w:rPr>
                <w:rFonts w:hint="eastAsia"/>
                <w:color w:val="auto"/>
                <w:sz w:val="24"/>
                <w:lang w:val="en-US" w:eastAsia="zh-CN"/>
              </w:rPr>
              <w:t>0.8218</w:t>
            </w:r>
            <w:r>
              <w:rPr>
                <w:color w:val="auto"/>
                <w:sz w:val="24"/>
              </w:rPr>
              <w:t>t/a，无组织</w:t>
            </w:r>
            <w:r>
              <w:rPr>
                <w:rFonts w:hint="eastAsia"/>
                <w:color w:val="auto"/>
                <w:sz w:val="24"/>
                <w:lang w:val="en-US" w:eastAsia="zh-CN"/>
              </w:rPr>
              <w:t>0.9668</w:t>
            </w:r>
            <w:r>
              <w:rPr>
                <w:color w:val="auto"/>
                <w:sz w:val="24"/>
              </w:rPr>
              <w:t>t/a）VOCs（非甲烷总烃）</w:t>
            </w:r>
            <w:r>
              <w:rPr>
                <w:rFonts w:hint="eastAsia"/>
                <w:color w:val="auto"/>
                <w:sz w:val="24"/>
                <w:lang w:val="en-US" w:eastAsia="zh-CN"/>
              </w:rPr>
              <w:t>0.3273</w:t>
            </w:r>
            <w:r>
              <w:rPr>
                <w:color w:val="auto"/>
                <w:sz w:val="24"/>
              </w:rPr>
              <w:t>t/a（有组织</w:t>
            </w:r>
            <w:r>
              <w:rPr>
                <w:rFonts w:hint="eastAsia"/>
                <w:color w:val="auto"/>
                <w:sz w:val="24"/>
                <w:lang w:val="en-US" w:eastAsia="zh-CN"/>
              </w:rPr>
              <w:t>0.2103</w:t>
            </w:r>
            <w:r>
              <w:rPr>
                <w:color w:val="auto"/>
                <w:sz w:val="24"/>
              </w:rPr>
              <w:t>t/a，无组织</w:t>
            </w:r>
            <w:r>
              <w:rPr>
                <w:rFonts w:hint="eastAsia"/>
                <w:color w:val="auto"/>
                <w:sz w:val="24"/>
                <w:lang w:val="en-US" w:eastAsia="zh-CN"/>
              </w:rPr>
              <w:t>0.117</w:t>
            </w:r>
            <w:r>
              <w:rPr>
                <w:color w:val="auto"/>
                <w:sz w:val="24"/>
              </w:rPr>
              <w:t>t/a），由淮安市淮阴生态环境局从境内企业削减总量中替代平衡。</w:t>
            </w:r>
          </w:p>
          <w:p>
            <w:pPr>
              <w:wordWrap w:val="0"/>
              <w:spacing w:line="360" w:lineRule="auto"/>
              <w:ind w:firstLine="480" w:firstLineChars="200"/>
              <w:rPr>
                <w:color w:val="auto"/>
                <w:sz w:val="24"/>
                <w:lang w:val="zh-CN"/>
              </w:rPr>
            </w:pPr>
            <w:r>
              <w:rPr>
                <w:color w:val="auto"/>
                <w:sz w:val="24"/>
                <w:lang w:val="zh-CN"/>
              </w:rPr>
              <w:t>（3）固废：建设项目固废零排放。</w:t>
            </w:r>
          </w:p>
          <w:p>
            <w:pPr>
              <w:pStyle w:val="16"/>
              <w:ind w:firstLine="480"/>
              <w:rPr>
                <w:rFonts w:ascii="Times New Roman" w:hAnsi="Times New Roman"/>
                <w:color w:val="auto"/>
                <w:sz w:val="24"/>
                <w:lang w:val="zh-CN"/>
              </w:rPr>
            </w:pPr>
          </w:p>
          <w:p>
            <w:pPr>
              <w:rPr>
                <w:color w:val="auto"/>
                <w:lang w:val="zh-CN"/>
              </w:rPr>
            </w:pPr>
          </w:p>
          <w:p>
            <w:pPr>
              <w:rPr>
                <w:color w:val="auto"/>
                <w:lang w:val="zh-CN"/>
              </w:rPr>
            </w:pPr>
          </w:p>
          <w:p>
            <w:pPr>
              <w:rPr>
                <w:color w:val="auto"/>
                <w:lang w:val="zh-CN"/>
              </w:rPr>
            </w:pPr>
          </w:p>
          <w:p>
            <w:pPr>
              <w:rPr>
                <w:color w:val="auto"/>
                <w:lang w:val="zh-CN"/>
              </w:rPr>
            </w:pPr>
          </w:p>
          <w:p>
            <w:pPr>
              <w:rPr>
                <w:color w:val="auto"/>
                <w:lang w:val="zh-CN"/>
              </w:rPr>
            </w:pPr>
          </w:p>
          <w:p>
            <w:pPr>
              <w:rPr>
                <w:color w:val="auto"/>
                <w:lang w:val="zh-CN"/>
              </w:rPr>
            </w:pPr>
          </w:p>
          <w:p>
            <w:pPr>
              <w:rPr>
                <w:color w:val="auto"/>
                <w:lang w:val="zh-CN"/>
              </w:rPr>
            </w:pPr>
          </w:p>
          <w:p>
            <w:pPr>
              <w:jc w:val="left"/>
              <w:rPr>
                <w:color w:val="auto"/>
                <w:lang w:val="zh-CN"/>
              </w:rPr>
            </w:pPr>
          </w:p>
          <w:p>
            <w:pPr>
              <w:pStyle w:val="16"/>
              <w:tabs>
                <w:tab w:val="left" w:pos="7140"/>
              </w:tabs>
              <w:rPr>
                <w:color w:val="auto"/>
                <w:lang w:val="zh-CN"/>
              </w:rPr>
            </w:pPr>
            <w:r>
              <w:rPr>
                <w:rFonts w:hint="eastAsia"/>
                <w:color w:val="auto"/>
                <w:lang w:val="zh-CN"/>
              </w:rPr>
              <w:tab/>
            </w:r>
          </w:p>
          <w:p>
            <w:pPr>
              <w:rPr>
                <w:color w:val="auto"/>
                <w:lang w:val="zh-CN"/>
              </w:rPr>
            </w:pPr>
          </w:p>
          <w:p>
            <w:pPr>
              <w:tabs>
                <w:tab w:val="left" w:pos="678"/>
              </w:tabs>
              <w:jc w:val="left"/>
              <w:rPr>
                <w:color w:val="auto"/>
                <w:lang w:val="zh-CN"/>
              </w:rPr>
            </w:pPr>
            <w:r>
              <w:rPr>
                <w:rFonts w:hint="eastAsia"/>
                <w:color w:val="auto"/>
                <w:lang w:val="zh-CN"/>
              </w:rPr>
              <w:tab/>
            </w:r>
          </w:p>
        </w:tc>
      </w:tr>
    </w:tbl>
    <w:p>
      <w:pPr>
        <w:rPr>
          <w:b/>
          <w:bCs/>
          <w:color w:val="auto"/>
        </w:rPr>
      </w:pPr>
      <w:r>
        <w:rPr>
          <w:b/>
          <w:bCs/>
          <w:color w:val="auto"/>
        </w:rPr>
        <w:br w:type="page"/>
      </w:r>
    </w:p>
    <w:p>
      <w:pPr>
        <w:pStyle w:val="2"/>
        <w:wordWrap w:val="0"/>
        <w:ind w:firstLine="420"/>
        <w:jc w:val="center"/>
        <w:outlineLvl w:val="0"/>
        <w:rPr>
          <w:b/>
          <w:bCs/>
          <w:snapToGrid w:val="0"/>
          <w:color w:val="auto"/>
          <w:sz w:val="30"/>
          <w:szCs w:val="30"/>
        </w:rPr>
      </w:pPr>
      <w:bookmarkStart w:id="36" w:name="_Toc31279"/>
      <w:r>
        <w:rPr>
          <w:rFonts w:hint="eastAsia"/>
          <w:b/>
          <w:bCs/>
          <w:snapToGrid w:val="0"/>
          <w:color w:val="auto"/>
          <w:sz w:val="30"/>
          <w:szCs w:val="30"/>
        </w:rPr>
        <w:t>四、主要环境影响和保护措施</w:t>
      </w:r>
      <w:bookmarkEnd w:id="36"/>
    </w:p>
    <w:tbl>
      <w:tblPr>
        <w:tblStyle w:val="20"/>
        <w:tblW w:w="897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725"/>
        <w:gridCol w:w="825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638" w:hRule="atLeast"/>
          <w:jc w:val="center"/>
        </w:trPr>
        <w:tc>
          <w:tcPr>
            <w:tcW w:w="725" w:type="dxa"/>
            <w:tcMar>
              <w:left w:w="28" w:type="dxa"/>
              <w:right w:w="28" w:type="dxa"/>
            </w:tcMar>
            <w:vAlign w:val="center"/>
          </w:tcPr>
          <w:p>
            <w:pPr>
              <w:rPr>
                <w:bCs/>
                <w:color w:val="auto"/>
              </w:rPr>
            </w:pPr>
            <w:r>
              <w:rPr>
                <w:rFonts w:hint="eastAsia"/>
                <w:b/>
                <w:bCs/>
                <w:color w:val="auto"/>
              </w:rPr>
              <w:t>施</w:t>
            </w:r>
            <w:r>
              <w:rPr>
                <w:b/>
                <w:bCs/>
                <w:snapToGrid w:val="0"/>
                <w:color w:val="auto"/>
                <w:sz w:val="30"/>
                <w:szCs w:val="30"/>
              </w:rPr>
              <w:br w:type="page"/>
            </w:r>
            <w:r>
              <w:rPr>
                <w:b/>
                <w:bCs/>
                <w:color w:val="auto"/>
              </w:rPr>
              <w:t>工期环境保护措施</w:t>
            </w:r>
          </w:p>
        </w:tc>
        <w:tc>
          <w:tcPr>
            <w:tcW w:w="8254" w:type="dxa"/>
            <w:vAlign w:val="center"/>
          </w:tcPr>
          <w:p>
            <w:pPr>
              <w:pStyle w:val="34"/>
              <w:spacing w:line="360" w:lineRule="auto"/>
              <w:ind w:firstLine="480"/>
              <w:rPr>
                <w:rFonts w:eastAsia="宋体"/>
                <w:b w:val="0"/>
                <w:color w:val="auto"/>
                <w:sz w:val="24"/>
              </w:rPr>
            </w:pPr>
            <w:r>
              <w:rPr>
                <w:rFonts w:eastAsia="宋体"/>
                <w:b w:val="0"/>
                <w:color w:val="auto"/>
                <w:sz w:val="24"/>
              </w:rPr>
              <w:t>该项目工程量较大，在土建施工期间，各项施工活动不可避免地将对周围环境造成破坏和产生影响，主要包括废气和粉尘、噪声、固体废物、废水和振动等对周围环境的影响，而且以粉尘和施工噪声尤为明显。</w:t>
            </w:r>
          </w:p>
          <w:p>
            <w:pPr>
              <w:pStyle w:val="36"/>
              <w:spacing w:line="360" w:lineRule="auto"/>
              <w:ind w:firstLine="482"/>
              <w:rPr>
                <w:rFonts w:eastAsia="宋体"/>
                <w:b/>
                <w:color w:val="auto"/>
              </w:rPr>
            </w:pPr>
            <w:r>
              <w:rPr>
                <w:rFonts w:eastAsia="宋体"/>
                <w:b/>
                <w:color w:val="auto"/>
              </w:rPr>
              <w:t>1、大气环境影响分析</w:t>
            </w:r>
          </w:p>
          <w:p>
            <w:pPr>
              <w:pStyle w:val="34"/>
              <w:spacing w:line="360" w:lineRule="auto"/>
              <w:ind w:firstLine="480"/>
              <w:rPr>
                <w:rFonts w:eastAsia="宋体"/>
                <w:b w:val="0"/>
                <w:color w:val="auto"/>
                <w:sz w:val="24"/>
              </w:rPr>
            </w:pPr>
            <w:r>
              <w:rPr>
                <w:rFonts w:eastAsia="宋体"/>
                <w:b w:val="0"/>
                <w:color w:val="auto"/>
                <w:sz w:val="24"/>
              </w:rPr>
              <w:t>（1）废气：主要来源于施工机械驱动设备（如柴油机等）和运输及施工车辆所排放的废气，排放的主要污染物为NO</w:t>
            </w:r>
            <w:r>
              <w:rPr>
                <w:rFonts w:eastAsia="宋体"/>
                <w:b w:val="0"/>
                <w:color w:val="auto"/>
                <w:sz w:val="24"/>
                <w:vertAlign w:val="subscript"/>
              </w:rPr>
              <w:t>x</w:t>
            </w:r>
            <w:r>
              <w:rPr>
                <w:rFonts w:eastAsia="宋体"/>
                <w:b w:val="0"/>
                <w:color w:val="auto"/>
                <w:sz w:val="24"/>
              </w:rPr>
              <w:t>、CO、烃类物等。此外，还有施工队伍因生活需要使用燃料而排放的废气等。</w:t>
            </w:r>
          </w:p>
          <w:p>
            <w:pPr>
              <w:pStyle w:val="34"/>
              <w:spacing w:line="360" w:lineRule="auto"/>
              <w:ind w:firstLine="480"/>
              <w:rPr>
                <w:rFonts w:eastAsia="宋体"/>
                <w:b w:val="0"/>
                <w:color w:val="auto"/>
                <w:sz w:val="24"/>
              </w:rPr>
            </w:pPr>
            <w:r>
              <w:rPr>
                <w:rFonts w:eastAsia="宋体"/>
                <w:b w:val="0"/>
                <w:color w:val="auto"/>
                <w:sz w:val="24"/>
              </w:rPr>
              <w:t>（2）粉尘和扬土：主要来源于土方的挖掘、堆放、清运、回填和场地平整以及管道施工过程中产生的粉尘；来源于建筑材料（水泥、石灰、砂子等）在装卸、运输、堆放等过程中，因风力作用而产生的扬尘污染等。</w:t>
            </w:r>
          </w:p>
          <w:p>
            <w:pPr>
              <w:pStyle w:val="34"/>
              <w:snapToGrid w:val="0"/>
              <w:spacing w:line="360" w:lineRule="auto"/>
              <w:ind w:firstLine="480"/>
              <w:rPr>
                <w:rFonts w:eastAsia="宋体"/>
                <w:b w:val="0"/>
                <w:color w:val="auto"/>
                <w:sz w:val="24"/>
              </w:rPr>
            </w:pPr>
            <w:r>
              <w:rPr>
                <w:rFonts w:eastAsia="宋体"/>
                <w:b w:val="0"/>
                <w:color w:val="auto"/>
                <w:sz w:val="24"/>
              </w:rPr>
              <w:t>上述施工过程中产生的废气、粉尘及扬尘将会造成周围大气环境污染，其中又以粉尘的危害较为严重。</w:t>
            </w:r>
          </w:p>
          <w:p>
            <w:pPr>
              <w:pStyle w:val="34"/>
              <w:snapToGrid w:val="0"/>
              <w:spacing w:line="360" w:lineRule="auto"/>
              <w:ind w:firstLine="482"/>
              <w:rPr>
                <w:rFonts w:eastAsia="宋体"/>
                <w:color w:val="auto"/>
                <w:sz w:val="24"/>
              </w:rPr>
            </w:pPr>
            <w:r>
              <w:rPr>
                <w:rFonts w:eastAsia="宋体"/>
                <w:color w:val="auto"/>
                <w:sz w:val="24"/>
              </w:rPr>
              <w:t>针对施工期大气环境影响防治措施：</w:t>
            </w:r>
          </w:p>
          <w:p>
            <w:pPr>
              <w:pStyle w:val="34"/>
              <w:spacing w:line="360" w:lineRule="auto"/>
              <w:ind w:firstLine="480"/>
              <w:rPr>
                <w:rFonts w:eastAsia="宋体"/>
                <w:b w:val="0"/>
                <w:color w:val="auto"/>
                <w:sz w:val="24"/>
              </w:rPr>
            </w:pPr>
            <w:r>
              <w:rPr>
                <w:rFonts w:eastAsia="宋体"/>
                <w:b w:val="0"/>
                <w:color w:val="auto"/>
                <w:sz w:val="24"/>
              </w:rPr>
              <w:t>（1）封闭防尘：沿工地四周设置连续封闭的硬质围挡；围挡应坚固、稳定，重要部位和主要路段围挡高度不低于2.5m，采用洒水等措施降尘，禁止采用翻竹篱笆、板铲拍打、空压机吹尘等手段。</w:t>
            </w:r>
          </w:p>
          <w:p>
            <w:pPr>
              <w:pStyle w:val="34"/>
              <w:spacing w:line="360" w:lineRule="auto"/>
              <w:ind w:firstLine="480"/>
              <w:rPr>
                <w:rFonts w:eastAsia="宋体"/>
                <w:b w:val="0"/>
                <w:color w:val="auto"/>
                <w:sz w:val="24"/>
              </w:rPr>
            </w:pPr>
            <w:r>
              <w:rPr>
                <w:rFonts w:eastAsia="宋体"/>
                <w:b w:val="0"/>
                <w:color w:val="auto"/>
                <w:sz w:val="24"/>
              </w:rPr>
              <w:t>（2）施工现场管理：本场地施工车辆在进入施工场地后，需减速行驶，以减少施工场地扬尘，建议行驶车速不大于5km/h。加强施工场地及进出道路的管理，保持路面清洁，同时需避免大风天气作业。</w:t>
            </w:r>
          </w:p>
          <w:p>
            <w:pPr>
              <w:pStyle w:val="34"/>
              <w:spacing w:line="360" w:lineRule="auto"/>
              <w:ind w:firstLine="480"/>
              <w:rPr>
                <w:rFonts w:eastAsia="宋体"/>
                <w:b w:val="0"/>
                <w:color w:val="auto"/>
                <w:sz w:val="24"/>
              </w:rPr>
            </w:pPr>
            <w:r>
              <w:rPr>
                <w:rFonts w:eastAsia="宋体"/>
                <w:b w:val="0"/>
                <w:color w:val="auto"/>
                <w:sz w:val="24"/>
              </w:rPr>
              <w:t>（3）裸土覆盖：建筑工地的采取硬化、绿化措施的裸土地面、建筑工地不能及时清运的工程渣土都要及时采取有效的覆盖措施；基础开挖工程道路施工、地下管线施工开挖后要尽快完成土方回填。</w:t>
            </w:r>
          </w:p>
          <w:p>
            <w:pPr>
              <w:pStyle w:val="34"/>
              <w:spacing w:line="360" w:lineRule="auto"/>
              <w:ind w:firstLine="480"/>
              <w:rPr>
                <w:rFonts w:eastAsia="宋体"/>
                <w:b w:val="0"/>
                <w:color w:val="auto"/>
                <w:sz w:val="24"/>
              </w:rPr>
            </w:pPr>
            <w:r>
              <w:rPr>
                <w:rFonts w:eastAsia="宋体"/>
                <w:b w:val="0"/>
                <w:color w:val="auto"/>
                <w:sz w:val="24"/>
              </w:rPr>
              <w:t>（4）施工工程机械应满足《非道路柴油移动机械污染物排放控制技术要求》（HJ 1014-2020）。</w:t>
            </w:r>
          </w:p>
          <w:p>
            <w:pPr>
              <w:pStyle w:val="34"/>
              <w:spacing w:line="360" w:lineRule="auto"/>
              <w:ind w:firstLine="480"/>
              <w:rPr>
                <w:rFonts w:eastAsia="宋体"/>
                <w:b w:val="0"/>
                <w:color w:val="auto"/>
                <w:sz w:val="24"/>
              </w:rPr>
            </w:pPr>
            <w:r>
              <w:rPr>
                <w:rFonts w:eastAsia="宋体"/>
                <w:b w:val="0"/>
                <w:color w:val="auto"/>
                <w:sz w:val="24"/>
              </w:rPr>
              <w:t>（5）对施工现场布局进行合理规划，将主要粉体物料堆贮场及混凝土拌和场等主要产尘所布置在距敏感目标较远的场中央及其他地带，对易产生扬尘污染的材料堆放要采取有效的覆盖、封闭等措施。</w:t>
            </w:r>
          </w:p>
          <w:p>
            <w:pPr>
              <w:pStyle w:val="34"/>
              <w:spacing w:line="360" w:lineRule="auto"/>
              <w:ind w:firstLine="480"/>
              <w:rPr>
                <w:rFonts w:eastAsia="宋体"/>
                <w:b w:val="0"/>
                <w:color w:val="auto"/>
                <w:sz w:val="24"/>
              </w:rPr>
            </w:pPr>
            <w:r>
              <w:rPr>
                <w:rFonts w:eastAsia="宋体"/>
                <w:b w:val="0"/>
                <w:color w:val="auto"/>
                <w:sz w:val="24"/>
              </w:rPr>
              <w:t>采取以上措施后，可将扬尘控制在厂界30米范围内，施工结束后地区环境空气质量基本可以恢复至现状水平，因此施工期对周围敏感点的影响较小。</w:t>
            </w:r>
          </w:p>
          <w:p>
            <w:pPr>
              <w:pStyle w:val="36"/>
              <w:spacing w:line="360" w:lineRule="auto"/>
              <w:ind w:firstLine="482"/>
              <w:rPr>
                <w:rFonts w:eastAsia="宋体"/>
                <w:b/>
                <w:color w:val="auto"/>
              </w:rPr>
            </w:pPr>
            <w:r>
              <w:rPr>
                <w:rFonts w:eastAsia="宋体"/>
                <w:b/>
                <w:color w:val="auto"/>
              </w:rPr>
              <w:t>2、水环境影响分析</w:t>
            </w:r>
          </w:p>
          <w:p>
            <w:pPr>
              <w:pStyle w:val="34"/>
              <w:spacing w:line="360" w:lineRule="auto"/>
              <w:ind w:firstLine="480"/>
              <w:rPr>
                <w:rFonts w:eastAsia="宋体"/>
                <w:b w:val="0"/>
                <w:color w:val="auto"/>
                <w:sz w:val="24"/>
              </w:rPr>
            </w:pPr>
            <w:r>
              <w:rPr>
                <w:rFonts w:eastAsia="宋体"/>
                <w:b w:val="0"/>
                <w:color w:val="auto"/>
                <w:sz w:val="24"/>
              </w:rPr>
              <w:t>（1）施工废水：各种施工机械设备运转的冷却水及洗涤用水和施工现场清洗、建材清洗、混凝土养护、设备水压试验等产生的废水，这部分废水含有一定量的油污和泥沙。</w:t>
            </w:r>
          </w:p>
          <w:p>
            <w:pPr>
              <w:pStyle w:val="34"/>
              <w:spacing w:line="360" w:lineRule="auto"/>
              <w:ind w:firstLine="480"/>
              <w:rPr>
                <w:rFonts w:eastAsia="宋体"/>
                <w:b w:val="0"/>
                <w:color w:val="auto"/>
                <w:sz w:val="24"/>
              </w:rPr>
            </w:pPr>
            <w:r>
              <w:rPr>
                <w:rFonts w:eastAsia="宋体"/>
                <w:b w:val="0"/>
                <w:color w:val="auto"/>
                <w:sz w:val="24"/>
              </w:rPr>
              <w:t>（2）生活污水建设期间，施工队伍的生活活动产生一定量的生活污水，包括食堂用水、洗涤废水和冲厕水。生活污水含有大量细菌和病原体。上述废污水水量不大，但如果不经处理和处理不当，同样会危害环境。</w:t>
            </w:r>
          </w:p>
          <w:p>
            <w:pPr>
              <w:pStyle w:val="34"/>
              <w:spacing w:line="360" w:lineRule="auto"/>
              <w:ind w:firstLine="482"/>
              <w:rPr>
                <w:rFonts w:eastAsia="宋体"/>
                <w:color w:val="auto"/>
                <w:sz w:val="24"/>
              </w:rPr>
            </w:pPr>
            <w:r>
              <w:rPr>
                <w:rFonts w:eastAsia="宋体"/>
                <w:color w:val="auto"/>
                <w:sz w:val="24"/>
              </w:rPr>
              <w:t>针对施工期水环境影响防治措施：</w:t>
            </w:r>
          </w:p>
          <w:p>
            <w:pPr>
              <w:pStyle w:val="34"/>
              <w:spacing w:line="360" w:lineRule="auto"/>
              <w:ind w:firstLine="480"/>
              <w:rPr>
                <w:rFonts w:eastAsia="宋体"/>
                <w:b w:val="0"/>
                <w:color w:val="auto"/>
                <w:sz w:val="24"/>
              </w:rPr>
            </w:pPr>
            <w:r>
              <w:rPr>
                <w:rFonts w:eastAsia="宋体"/>
                <w:b w:val="0"/>
                <w:color w:val="auto"/>
                <w:sz w:val="24"/>
              </w:rPr>
              <w:t>（1）加强施工期间管理，针对施工期间污水产生过程不连续、废水种类较单一等特点，可采取相应措施有效控制污水中污染物的产生量。</w:t>
            </w:r>
          </w:p>
          <w:p>
            <w:pPr>
              <w:pStyle w:val="34"/>
              <w:spacing w:line="360" w:lineRule="auto"/>
              <w:ind w:firstLine="480"/>
              <w:rPr>
                <w:rFonts w:eastAsia="宋体"/>
                <w:b w:val="0"/>
                <w:color w:val="auto"/>
                <w:sz w:val="24"/>
              </w:rPr>
            </w:pPr>
            <w:r>
              <w:rPr>
                <w:rFonts w:eastAsia="宋体"/>
                <w:b w:val="0"/>
                <w:color w:val="auto"/>
                <w:sz w:val="24"/>
              </w:rPr>
              <w:t>（2）施工现场因地制宜，建造沉淀池、隔油池等污水临时处理设施，对含油量高的施工机械冲洗水或悬浮物含量高的其他施工废水需经处理后方可排放，砂浆、石灰等废液宜集中处理，干燥后与固体废物一起处置。</w:t>
            </w:r>
          </w:p>
          <w:p>
            <w:pPr>
              <w:pStyle w:val="34"/>
              <w:spacing w:line="360" w:lineRule="auto"/>
              <w:ind w:firstLine="480"/>
              <w:rPr>
                <w:rFonts w:eastAsia="宋体"/>
                <w:b w:val="0"/>
                <w:color w:val="auto"/>
                <w:sz w:val="24"/>
              </w:rPr>
            </w:pPr>
            <w:r>
              <w:rPr>
                <w:rFonts w:eastAsia="宋体"/>
                <w:b w:val="0"/>
                <w:color w:val="auto"/>
                <w:sz w:val="24"/>
              </w:rPr>
              <w:t>（3）水泥、黄沙、石灰类的建筑材料需集中堆放，并采取一定的防雨措施，及时清扫施工运输过程中抛洒的上述建筑材料，以免这些物质随雨水冲刷污染附近水体。</w:t>
            </w:r>
          </w:p>
          <w:p>
            <w:pPr>
              <w:pStyle w:val="36"/>
              <w:spacing w:line="360" w:lineRule="auto"/>
              <w:ind w:firstLine="482"/>
              <w:rPr>
                <w:rFonts w:eastAsia="宋体"/>
                <w:b/>
                <w:color w:val="auto"/>
              </w:rPr>
            </w:pPr>
            <w:r>
              <w:rPr>
                <w:rFonts w:eastAsia="宋体"/>
                <w:b/>
                <w:color w:val="auto"/>
              </w:rPr>
              <w:t>3、声环境影响分析</w:t>
            </w:r>
          </w:p>
          <w:p>
            <w:pPr>
              <w:pStyle w:val="34"/>
              <w:spacing w:line="360" w:lineRule="auto"/>
              <w:ind w:firstLine="480"/>
              <w:rPr>
                <w:rFonts w:eastAsia="宋体"/>
                <w:b w:val="0"/>
                <w:color w:val="auto"/>
                <w:sz w:val="24"/>
              </w:rPr>
            </w:pPr>
            <w:r>
              <w:rPr>
                <w:rFonts w:eastAsia="宋体"/>
                <w:b w:val="0"/>
                <w:color w:val="auto"/>
                <w:sz w:val="24"/>
              </w:rPr>
              <w:t>该项目噪声来源于施工过程中使用的运输车辆及各种施工机械，如挖掘机、推土机、混凝土搅拌机等。根据有关资料统计，项目土建施工期内主要施工机械的噪声状况如下表：</w:t>
            </w:r>
          </w:p>
          <w:p>
            <w:pPr>
              <w:pStyle w:val="38"/>
              <w:rPr>
                <w:rFonts w:ascii="Times New Roman" w:hAnsi="Times New Roman"/>
                <w:color w:val="auto"/>
              </w:rPr>
            </w:pPr>
            <w:r>
              <w:rPr>
                <w:rFonts w:ascii="Times New Roman" w:hAnsi="Times New Roman"/>
                <w:color w:val="auto"/>
                <w:sz w:val="21"/>
                <w:szCs w:val="21"/>
              </w:rPr>
              <w:t>表4.1-1 施工机械噪声状况表</w:t>
            </w:r>
          </w:p>
          <w:tbl>
            <w:tblPr>
              <w:tblStyle w:val="20"/>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019"/>
              <w:gridCol w:w="401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00" w:type="pct"/>
                  <w:tcBorders>
                    <w:bottom w:val="single" w:color="auto" w:sz="4" w:space="0"/>
                    <w:right w:val="single" w:color="auto" w:sz="4" w:space="0"/>
                  </w:tcBorders>
                  <w:vAlign w:val="center"/>
                </w:tcPr>
                <w:p>
                  <w:pPr>
                    <w:pStyle w:val="34"/>
                    <w:spacing w:line="240" w:lineRule="auto"/>
                    <w:ind w:firstLine="0" w:firstLineChars="0"/>
                    <w:jc w:val="center"/>
                    <w:rPr>
                      <w:rFonts w:eastAsia="宋体"/>
                      <w:color w:val="auto"/>
                      <w:sz w:val="21"/>
                    </w:rPr>
                  </w:pPr>
                  <w:r>
                    <w:rPr>
                      <w:rFonts w:eastAsia="宋体"/>
                      <w:color w:val="auto"/>
                      <w:sz w:val="21"/>
                    </w:rPr>
                    <w:t>施工设备名称</w:t>
                  </w:r>
                </w:p>
              </w:tc>
              <w:tc>
                <w:tcPr>
                  <w:tcW w:w="2500" w:type="pct"/>
                  <w:tcBorders>
                    <w:left w:val="single" w:color="auto" w:sz="4" w:space="0"/>
                    <w:bottom w:val="single" w:color="auto" w:sz="4" w:space="0"/>
                  </w:tcBorders>
                  <w:vAlign w:val="center"/>
                </w:tcPr>
                <w:p>
                  <w:pPr>
                    <w:pStyle w:val="34"/>
                    <w:spacing w:line="240" w:lineRule="auto"/>
                    <w:ind w:firstLine="0" w:firstLineChars="0"/>
                    <w:jc w:val="center"/>
                    <w:rPr>
                      <w:rFonts w:eastAsia="宋体"/>
                      <w:color w:val="auto"/>
                      <w:sz w:val="21"/>
                    </w:rPr>
                  </w:pPr>
                  <w:r>
                    <w:rPr>
                      <w:rFonts w:eastAsia="宋体"/>
                      <w:color w:val="auto"/>
                      <w:sz w:val="21"/>
                    </w:rPr>
                    <w:t>距设备10m处平均A声级dB（A）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00" w:type="pct"/>
                  <w:tcBorders>
                    <w:top w:val="single" w:color="auto" w:sz="4" w:space="0"/>
                    <w:bottom w:val="single" w:color="auto" w:sz="4" w:space="0"/>
                    <w:right w:val="single" w:color="auto" w:sz="4" w:space="0"/>
                  </w:tcBorders>
                  <w:vAlign w:val="center"/>
                </w:tcPr>
                <w:p>
                  <w:pPr>
                    <w:pStyle w:val="34"/>
                    <w:spacing w:line="240" w:lineRule="auto"/>
                    <w:ind w:firstLine="0" w:firstLineChars="0"/>
                    <w:jc w:val="center"/>
                    <w:rPr>
                      <w:rFonts w:eastAsia="宋体"/>
                      <w:b w:val="0"/>
                      <w:color w:val="auto"/>
                      <w:sz w:val="21"/>
                    </w:rPr>
                  </w:pPr>
                  <w:r>
                    <w:rPr>
                      <w:rFonts w:eastAsia="宋体"/>
                      <w:b w:val="0"/>
                      <w:color w:val="auto"/>
                      <w:sz w:val="21"/>
                    </w:rPr>
                    <w:t>挖掘机</w:t>
                  </w:r>
                </w:p>
              </w:tc>
              <w:tc>
                <w:tcPr>
                  <w:tcW w:w="2500" w:type="pct"/>
                  <w:tcBorders>
                    <w:top w:val="single" w:color="auto" w:sz="4" w:space="0"/>
                    <w:left w:val="single" w:color="auto" w:sz="4" w:space="0"/>
                    <w:bottom w:val="single" w:color="auto" w:sz="4" w:space="0"/>
                  </w:tcBorders>
                  <w:vAlign w:val="center"/>
                </w:tcPr>
                <w:p>
                  <w:pPr>
                    <w:pStyle w:val="34"/>
                    <w:spacing w:line="240" w:lineRule="auto"/>
                    <w:ind w:firstLine="0" w:firstLineChars="0"/>
                    <w:jc w:val="center"/>
                    <w:rPr>
                      <w:rFonts w:eastAsia="宋体"/>
                      <w:b w:val="0"/>
                      <w:color w:val="auto"/>
                      <w:sz w:val="21"/>
                    </w:rPr>
                  </w:pPr>
                  <w:r>
                    <w:rPr>
                      <w:rFonts w:eastAsia="宋体"/>
                      <w:b w:val="0"/>
                      <w:color w:val="auto"/>
                      <w:sz w:val="21"/>
                    </w:rPr>
                    <w:t>82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2500" w:type="pct"/>
                  <w:tcBorders>
                    <w:top w:val="single" w:color="auto" w:sz="4" w:space="0"/>
                    <w:bottom w:val="single" w:color="auto" w:sz="4" w:space="0"/>
                    <w:right w:val="single" w:color="auto" w:sz="4" w:space="0"/>
                  </w:tcBorders>
                  <w:vAlign w:val="center"/>
                </w:tcPr>
                <w:p>
                  <w:pPr>
                    <w:pStyle w:val="34"/>
                    <w:spacing w:line="240" w:lineRule="auto"/>
                    <w:ind w:firstLine="0" w:firstLineChars="0"/>
                    <w:jc w:val="center"/>
                    <w:rPr>
                      <w:rFonts w:eastAsia="宋体"/>
                      <w:b w:val="0"/>
                      <w:color w:val="auto"/>
                      <w:sz w:val="21"/>
                    </w:rPr>
                  </w:pPr>
                  <w:r>
                    <w:rPr>
                      <w:rFonts w:eastAsia="宋体"/>
                      <w:b w:val="0"/>
                      <w:color w:val="auto"/>
                      <w:sz w:val="21"/>
                    </w:rPr>
                    <w:t>推土机</w:t>
                  </w:r>
                </w:p>
              </w:tc>
              <w:tc>
                <w:tcPr>
                  <w:tcW w:w="2500" w:type="pct"/>
                  <w:tcBorders>
                    <w:top w:val="single" w:color="auto" w:sz="4" w:space="0"/>
                    <w:left w:val="single" w:color="auto" w:sz="4" w:space="0"/>
                    <w:bottom w:val="single" w:color="auto" w:sz="4" w:space="0"/>
                  </w:tcBorders>
                  <w:vAlign w:val="center"/>
                </w:tcPr>
                <w:p>
                  <w:pPr>
                    <w:pStyle w:val="34"/>
                    <w:spacing w:line="240" w:lineRule="auto"/>
                    <w:ind w:firstLine="0" w:firstLineChars="0"/>
                    <w:jc w:val="center"/>
                    <w:rPr>
                      <w:rFonts w:eastAsia="宋体"/>
                      <w:b w:val="0"/>
                      <w:color w:val="auto"/>
                      <w:sz w:val="21"/>
                    </w:rPr>
                  </w:pPr>
                  <w:r>
                    <w:rPr>
                      <w:rFonts w:eastAsia="宋体"/>
                      <w:b w:val="0"/>
                      <w:color w:val="auto"/>
                      <w:sz w:val="21"/>
                    </w:rPr>
                    <w:t>76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00" w:type="pct"/>
                  <w:tcBorders>
                    <w:top w:val="single" w:color="auto" w:sz="4" w:space="0"/>
                    <w:bottom w:val="single" w:color="auto" w:sz="4" w:space="0"/>
                    <w:right w:val="single" w:color="auto" w:sz="4" w:space="0"/>
                  </w:tcBorders>
                  <w:vAlign w:val="center"/>
                </w:tcPr>
                <w:p>
                  <w:pPr>
                    <w:pStyle w:val="34"/>
                    <w:spacing w:line="240" w:lineRule="auto"/>
                    <w:ind w:firstLine="0" w:firstLineChars="0"/>
                    <w:jc w:val="center"/>
                    <w:rPr>
                      <w:rFonts w:eastAsia="宋体"/>
                      <w:b w:val="0"/>
                      <w:color w:val="auto"/>
                      <w:sz w:val="21"/>
                    </w:rPr>
                  </w:pPr>
                  <w:r>
                    <w:rPr>
                      <w:rFonts w:eastAsia="宋体"/>
                      <w:b w:val="0"/>
                      <w:color w:val="auto"/>
                      <w:sz w:val="21"/>
                    </w:rPr>
                    <w:t>混凝土搅拌机</w:t>
                  </w:r>
                </w:p>
              </w:tc>
              <w:tc>
                <w:tcPr>
                  <w:tcW w:w="2500" w:type="pct"/>
                  <w:tcBorders>
                    <w:top w:val="single" w:color="auto" w:sz="4" w:space="0"/>
                    <w:left w:val="single" w:color="auto" w:sz="4" w:space="0"/>
                    <w:bottom w:val="single" w:color="auto" w:sz="4" w:space="0"/>
                  </w:tcBorders>
                  <w:vAlign w:val="center"/>
                </w:tcPr>
                <w:p>
                  <w:pPr>
                    <w:pStyle w:val="34"/>
                    <w:spacing w:line="240" w:lineRule="auto"/>
                    <w:ind w:firstLine="0" w:firstLineChars="0"/>
                    <w:jc w:val="center"/>
                    <w:rPr>
                      <w:rFonts w:eastAsia="宋体"/>
                      <w:b w:val="0"/>
                      <w:color w:val="auto"/>
                      <w:sz w:val="21"/>
                    </w:rPr>
                  </w:pPr>
                  <w:r>
                    <w:rPr>
                      <w:rFonts w:eastAsia="宋体"/>
                      <w:b w:val="0"/>
                      <w:color w:val="auto"/>
                      <w:sz w:val="21"/>
                    </w:rPr>
                    <w:t>84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00" w:type="pct"/>
                  <w:tcBorders>
                    <w:top w:val="single" w:color="auto" w:sz="4" w:space="0"/>
                    <w:bottom w:val="single" w:color="auto" w:sz="4" w:space="0"/>
                    <w:right w:val="single" w:color="auto" w:sz="4" w:space="0"/>
                  </w:tcBorders>
                  <w:vAlign w:val="center"/>
                </w:tcPr>
                <w:p>
                  <w:pPr>
                    <w:pStyle w:val="34"/>
                    <w:spacing w:line="240" w:lineRule="auto"/>
                    <w:ind w:firstLine="0" w:firstLineChars="0"/>
                    <w:jc w:val="center"/>
                    <w:rPr>
                      <w:rFonts w:eastAsia="宋体"/>
                      <w:b w:val="0"/>
                      <w:color w:val="auto"/>
                      <w:sz w:val="21"/>
                    </w:rPr>
                  </w:pPr>
                  <w:r>
                    <w:rPr>
                      <w:rFonts w:eastAsia="宋体"/>
                      <w:b w:val="0"/>
                      <w:color w:val="auto"/>
                      <w:sz w:val="21"/>
                    </w:rPr>
                    <w:t>起重机</w:t>
                  </w:r>
                </w:p>
              </w:tc>
              <w:tc>
                <w:tcPr>
                  <w:tcW w:w="2500" w:type="pct"/>
                  <w:tcBorders>
                    <w:top w:val="single" w:color="auto" w:sz="4" w:space="0"/>
                    <w:left w:val="single" w:color="auto" w:sz="4" w:space="0"/>
                    <w:bottom w:val="single" w:color="auto" w:sz="4" w:space="0"/>
                  </w:tcBorders>
                  <w:vAlign w:val="center"/>
                </w:tcPr>
                <w:p>
                  <w:pPr>
                    <w:pStyle w:val="34"/>
                    <w:spacing w:line="240" w:lineRule="auto"/>
                    <w:ind w:firstLine="0" w:firstLineChars="0"/>
                    <w:jc w:val="center"/>
                    <w:rPr>
                      <w:rFonts w:eastAsia="宋体"/>
                      <w:b w:val="0"/>
                      <w:color w:val="auto"/>
                      <w:sz w:val="21"/>
                    </w:rPr>
                  </w:pPr>
                  <w:r>
                    <w:rPr>
                      <w:rFonts w:eastAsia="宋体"/>
                      <w:b w:val="0"/>
                      <w:color w:val="auto"/>
                      <w:sz w:val="21"/>
                    </w:rPr>
                    <w:t>82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00" w:type="pct"/>
                  <w:tcBorders>
                    <w:top w:val="single" w:color="auto" w:sz="4" w:space="0"/>
                    <w:bottom w:val="single" w:color="auto" w:sz="4" w:space="0"/>
                    <w:right w:val="single" w:color="auto" w:sz="4" w:space="0"/>
                  </w:tcBorders>
                  <w:vAlign w:val="center"/>
                </w:tcPr>
                <w:p>
                  <w:pPr>
                    <w:pStyle w:val="34"/>
                    <w:spacing w:line="240" w:lineRule="auto"/>
                    <w:ind w:firstLine="0" w:firstLineChars="0"/>
                    <w:jc w:val="center"/>
                    <w:rPr>
                      <w:rFonts w:eastAsia="宋体"/>
                      <w:b w:val="0"/>
                      <w:color w:val="auto"/>
                      <w:sz w:val="21"/>
                    </w:rPr>
                  </w:pPr>
                  <w:r>
                    <w:rPr>
                      <w:rFonts w:eastAsia="宋体"/>
                      <w:b w:val="0"/>
                      <w:color w:val="auto"/>
                      <w:sz w:val="21"/>
                    </w:rPr>
                    <w:t>压路机</w:t>
                  </w:r>
                </w:p>
              </w:tc>
              <w:tc>
                <w:tcPr>
                  <w:tcW w:w="2500" w:type="pct"/>
                  <w:tcBorders>
                    <w:top w:val="single" w:color="auto" w:sz="4" w:space="0"/>
                    <w:left w:val="single" w:color="auto" w:sz="4" w:space="0"/>
                    <w:bottom w:val="single" w:color="auto" w:sz="4" w:space="0"/>
                  </w:tcBorders>
                  <w:vAlign w:val="center"/>
                </w:tcPr>
                <w:p>
                  <w:pPr>
                    <w:pStyle w:val="34"/>
                    <w:spacing w:line="240" w:lineRule="auto"/>
                    <w:ind w:firstLine="0" w:firstLineChars="0"/>
                    <w:jc w:val="center"/>
                    <w:rPr>
                      <w:rFonts w:eastAsia="宋体"/>
                      <w:b w:val="0"/>
                      <w:color w:val="auto"/>
                      <w:sz w:val="21"/>
                    </w:rPr>
                  </w:pPr>
                  <w:r>
                    <w:rPr>
                      <w:rFonts w:eastAsia="宋体"/>
                      <w:b w:val="0"/>
                      <w:color w:val="auto"/>
                      <w:sz w:val="21"/>
                    </w:rPr>
                    <w:t>82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00" w:type="pct"/>
                  <w:tcBorders>
                    <w:top w:val="single" w:color="auto" w:sz="4" w:space="0"/>
                    <w:bottom w:val="single" w:color="auto" w:sz="4" w:space="0"/>
                    <w:right w:val="single" w:color="auto" w:sz="4" w:space="0"/>
                  </w:tcBorders>
                  <w:vAlign w:val="center"/>
                </w:tcPr>
                <w:p>
                  <w:pPr>
                    <w:pStyle w:val="34"/>
                    <w:spacing w:line="240" w:lineRule="auto"/>
                    <w:ind w:firstLine="0" w:firstLineChars="0"/>
                    <w:jc w:val="center"/>
                    <w:rPr>
                      <w:rFonts w:eastAsia="宋体"/>
                      <w:b w:val="0"/>
                      <w:color w:val="auto"/>
                      <w:sz w:val="21"/>
                    </w:rPr>
                  </w:pPr>
                  <w:r>
                    <w:rPr>
                      <w:rFonts w:eastAsia="宋体"/>
                      <w:b w:val="0"/>
                      <w:color w:val="auto"/>
                      <w:sz w:val="21"/>
                    </w:rPr>
                    <w:t>卡车</w:t>
                  </w:r>
                </w:p>
              </w:tc>
              <w:tc>
                <w:tcPr>
                  <w:tcW w:w="2500" w:type="pct"/>
                  <w:tcBorders>
                    <w:top w:val="single" w:color="auto" w:sz="4" w:space="0"/>
                    <w:left w:val="single" w:color="auto" w:sz="4" w:space="0"/>
                    <w:bottom w:val="single" w:color="auto" w:sz="4" w:space="0"/>
                  </w:tcBorders>
                  <w:vAlign w:val="center"/>
                </w:tcPr>
                <w:p>
                  <w:pPr>
                    <w:pStyle w:val="34"/>
                    <w:spacing w:line="240" w:lineRule="auto"/>
                    <w:ind w:firstLine="0" w:firstLineChars="0"/>
                    <w:jc w:val="center"/>
                    <w:rPr>
                      <w:rFonts w:eastAsia="宋体"/>
                      <w:b w:val="0"/>
                      <w:color w:val="auto"/>
                      <w:sz w:val="21"/>
                    </w:rPr>
                  </w:pPr>
                  <w:r>
                    <w:rPr>
                      <w:rFonts w:eastAsia="宋体"/>
                      <w:b w:val="0"/>
                      <w:color w:val="auto"/>
                      <w:sz w:val="21"/>
                    </w:rPr>
                    <w:t>85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00" w:type="pct"/>
                  <w:tcBorders>
                    <w:top w:val="single" w:color="auto" w:sz="4" w:space="0"/>
                    <w:right w:val="single" w:color="auto" w:sz="4" w:space="0"/>
                  </w:tcBorders>
                  <w:vAlign w:val="center"/>
                </w:tcPr>
                <w:p>
                  <w:pPr>
                    <w:pStyle w:val="34"/>
                    <w:spacing w:line="240" w:lineRule="auto"/>
                    <w:ind w:firstLine="0" w:firstLineChars="0"/>
                    <w:jc w:val="center"/>
                    <w:rPr>
                      <w:rFonts w:eastAsia="宋体"/>
                      <w:b w:val="0"/>
                      <w:color w:val="auto"/>
                      <w:sz w:val="21"/>
                    </w:rPr>
                  </w:pPr>
                  <w:r>
                    <w:rPr>
                      <w:rFonts w:eastAsia="宋体"/>
                      <w:b w:val="0"/>
                      <w:color w:val="auto"/>
                      <w:sz w:val="21"/>
                    </w:rPr>
                    <w:t>电锯</w:t>
                  </w:r>
                </w:p>
              </w:tc>
              <w:tc>
                <w:tcPr>
                  <w:tcW w:w="2500" w:type="pct"/>
                  <w:tcBorders>
                    <w:top w:val="single" w:color="auto" w:sz="4" w:space="0"/>
                    <w:left w:val="single" w:color="auto" w:sz="4" w:space="0"/>
                  </w:tcBorders>
                  <w:vAlign w:val="center"/>
                </w:tcPr>
                <w:p>
                  <w:pPr>
                    <w:pStyle w:val="34"/>
                    <w:spacing w:line="240" w:lineRule="auto"/>
                    <w:ind w:firstLine="0" w:firstLineChars="0"/>
                    <w:jc w:val="center"/>
                    <w:rPr>
                      <w:rFonts w:eastAsia="宋体"/>
                      <w:b w:val="0"/>
                      <w:color w:val="auto"/>
                      <w:sz w:val="21"/>
                    </w:rPr>
                  </w:pPr>
                  <w:r>
                    <w:rPr>
                      <w:rFonts w:eastAsia="宋体"/>
                      <w:b w:val="0"/>
                      <w:color w:val="auto"/>
                      <w:sz w:val="21"/>
                    </w:rPr>
                    <w:t>84</w:t>
                  </w:r>
                </w:p>
              </w:tc>
            </w:tr>
          </w:tbl>
          <w:p>
            <w:pPr>
              <w:pStyle w:val="34"/>
              <w:spacing w:line="360" w:lineRule="auto"/>
              <w:ind w:firstLine="480"/>
              <w:rPr>
                <w:rFonts w:eastAsia="宋体"/>
                <w:b w:val="0"/>
                <w:color w:val="auto"/>
                <w:sz w:val="24"/>
              </w:rPr>
            </w:pPr>
            <w:r>
              <w:rPr>
                <w:rFonts w:eastAsia="宋体"/>
                <w:b w:val="0"/>
                <w:color w:val="auto"/>
                <w:sz w:val="24"/>
              </w:rPr>
              <w:t>本项目施工噪声源可近似作为点声源处理，属于低频噪声，根据点声源噪声衰减模式，可估算其施工期间噪声源不同距离处的噪声值，预测模式如下：</w:t>
            </w:r>
          </w:p>
          <w:p>
            <w:pPr>
              <w:pStyle w:val="35"/>
              <w:spacing w:line="360" w:lineRule="auto"/>
              <w:ind w:firstLine="480"/>
              <w:rPr>
                <w:rFonts w:eastAsia="宋体"/>
                <w:color w:val="auto"/>
                <w:sz w:val="24"/>
              </w:rPr>
            </w:pPr>
            <w:r>
              <w:rPr>
                <w:rFonts w:eastAsia="宋体"/>
                <w:color w:val="auto"/>
                <w:sz w:val="24"/>
              </w:rPr>
              <w:t>本项目施工噪声源可近似作为点声源处理，属于低频噪声，根据点声源噪声衰减模式，可估算其施工期间噪声源不同距离处的噪声值，预测模式如下：</w:t>
            </w:r>
          </w:p>
          <w:p>
            <w:pPr>
              <w:widowControl/>
              <w:spacing w:line="360" w:lineRule="auto"/>
              <w:jc w:val="center"/>
              <w:rPr>
                <w:color w:val="auto"/>
              </w:rPr>
            </w:pPr>
            <w:r>
              <w:rPr>
                <w:color w:val="auto"/>
              </w:rPr>
              <w:drawing>
                <wp:inline distT="0" distB="0" distL="114300" distR="114300">
                  <wp:extent cx="2038350" cy="513715"/>
                  <wp:effectExtent l="0" t="0" r="0" b="635"/>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pic:cNvPicPr>
                            <a:picLocks noChangeAspect="1"/>
                          </pic:cNvPicPr>
                        </pic:nvPicPr>
                        <pic:blipFill>
                          <a:blip r:embed="rId13"/>
                          <a:stretch>
                            <a:fillRect/>
                          </a:stretch>
                        </pic:blipFill>
                        <pic:spPr>
                          <a:xfrm>
                            <a:off x="0" y="0"/>
                            <a:ext cx="2038350" cy="513715"/>
                          </a:xfrm>
                          <a:prstGeom prst="rect">
                            <a:avLst/>
                          </a:prstGeom>
                          <a:noFill/>
                          <a:ln>
                            <a:noFill/>
                          </a:ln>
                        </pic:spPr>
                      </pic:pic>
                    </a:graphicData>
                  </a:graphic>
                </wp:inline>
              </w:drawing>
            </w:r>
          </w:p>
          <w:p>
            <w:pPr>
              <w:pStyle w:val="35"/>
              <w:spacing w:line="360" w:lineRule="auto"/>
              <w:ind w:firstLine="480"/>
              <w:rPr>
                <w:rFonts w:eastAsia="宋体"/>
                <w:color w:val="auto"/>
                <w:sz w:val="24"/>
              </w:rPr>
            </w:pPr>
            <w:r>
              <w:rPr>
                <w:rFonts w:eastAsia="宋体"/>
                <w:color w:val="auto"/>
                <w:sz w:val="24"/>
              </w:rPr>
              <w:t>式中：</w:t>
            </w:r>
          </w:p>
          <w:p>
            <w:pPr>
              <w:pStyle w:val="35"/>
              <w:spacing w:line="360" w:lineRule="auto"/>
              <w:ind w:firstLine="480"/>
              <w:rPr>
                <w:rFonts w:eastAsia="宋体"/>
                <w:color w:val="auto"/>
                <w:sz w:val="24"/>
              </w:rPr>
            </w:pPr>
            <w:r>
              <w:rPr>
                <w:rFonts w:eastAsia="宋体"/>
                <w:color w:val="auto"/>
                <w:sz w:val="24"/>
              </w:rPr>
              <w:t>L</w:t>
            </w:r>
            <w:r>
              <w:rPr>
                <w:rFonts w:eastAsia="宋体"/>
                <w:color w:val="auto"/>
                <w:sz w:val="24"/>
                <w:vertAlign w:val="subscript"/>
              </w:rPr>
              <w:t>2</w:t>
            </w:r>
            <w:r>
              <w:rPr>
                <w:rFonts w:eastAsia="宋体"/>
                <w:color w:val="auto"/>
                <w:sz w:val="24"/>
              </w:rPr>
              <w:t>--</w:t>
            </w:r>
            <w:r>
              <w:rPr>
                <w:rFonts w:eastAsia="宋体"/>
                <w:color w:val="auto"/>
                <w:sz w:val="24"/>
              </w:rPr>
              <w:fldChar w:fldCharType="begin"/>
            </w:r>
            <w:r>
              <w:rPr>
                <w:rFonts w:eastAsia="宋体"/>
                <w:color w:val="auto"/>
                <w:sz w:val="24"/>
              </w:rPr>
              <w:instrText xml:space="preserve"> QUOTE </w:instrText>
            </w:r>
            <w:r>
              <w:rPr>
                <w:rFonts w:eastAsia="宋体"/>
                <w:color w:val="auto"/>
                <w:sz w:val="24"/>
              </w:rPr>
              <w:drawing>
                <wp:inline distT="0" distB="0" distL="114300" distR="114300">
                  <wp:extent cx="351790" cy="313690"/>
                  <wp:effectExtent l="0" t="0" r="0" b="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351790" cy="313690"/>
                          </a:xfrm>
                          <a:prstGeom prst="rect">
                            <a:avLst/>
                          </a:prstGeom>
                          <a:noFill/>
                          <a:ln>
                            <a:noFill/>
                          </a:ln>
                        </pic:spPr>
                      </pic:pic>
                    </a:graphicData>
                  </a:graphic>
                </wp:inline>
              </w:drawing>
            </w:r>
            <w:r>
              <w:rPr>
                <w:rFonts w:eastAsia="宋体"/>
                <w:color w:val="auto"/>
                <w:sz w:val="24"/>
              </w:rPr>
              <w:instrText xml:space="preserve"> </w:instrText>
            </w:r>
            <w:r>
              <w:rPr>
                <w:rFonts w:eastAsia="宋体"/>
                <w:color w:val="auto"/>
                <w:sz w:val="24"/>
              </w:rPr>
              <w:fldChar w:fldCharType="separate"/>
            </w:r>
            <w:r>
              <w:rPr>
                <w:rFonts w:eastAsia="宋体"/>
                <w:color w:val="auto"/>
                <w:sz w:val="24"/>
              </w:rPr>
              <w:fldChar w:fldCharType="end"/>
            </w:r>
            <w:r>
              <w:rPr>
                <w:rFonts w:eastAsia="宋体"/>
                <w:color w:val="auto"/>
                <w:sz w:val="24"/>
              </w:rPr>
              <w:t>声点源在预测点产生的声压级；</w:t>
            </w:r>
          </w:p>
          <w:p>
            <w:pPr>
              <w:pStyle w:val="35"/>
              <w:spacing w:line="360" w:lineRule="auto"/>
              <w:ind w:firstLine="480"/>
              <w:rPr>
                <w:rFonts w:eastAsia="宋体"/>
                <w:color w:val="auto"/>
                <w:sz w:val="24"/>
              </w:rPr>
            </w:pPr>
            <w:r>
              <w:rPr>
                <w:rFonts w:eastAsia="宋体"/>
                <w:color w:val="auto"/>
                <w:sz w:val="24"/>
              </w:rPr>
              <w:t>L</w:t>
            </w:r>
            <w:r>
              <w:rPr>
                <w:rFonts w:eastAsia="宋体"/>
                <w:color w:val="auto"/>
                <w:sz w:val="24"/>
                <w:vertAlign w:val="subscript"/>
              </w:rPr>
              <w:t>1</w:t>
            </w:r>
            <w:r>
              <w:rPr>
                <w:rFonts w:eastAsia="宋体"/>
                <w:color w:val="auto"/>
                <w:sz w:val="24"/>
              </w:rPr>
              <w:t>--</w:t>
            </w:r>
            <w:r>
              <w:rPr>
                <w:rFonts w:eastAsia="宋体"/>
                <w:color w:val="auto"/>
                <w:sz w:val="24"/>
              </w:rPr>
              <w:fldChar w:fldCharType="begin"/>
            </w:r>
            <w:r>
              <w:rPr>
                <w:rFonts w:eastAsia="宋体"/>
                <w:color w:val="auto"/>
                <w:sz w:val="24"/>
              </w:rPr>
              <w:instrText xml:space="preserve"> QUOTE </w:instrText>
            </w:r>
            <w:r>
              <w:rPr>
                <w:rFonts w:eastAsia="宋体"/>
                <w:color w:val="auto"/>
                <w:sz w:val="24"/>
              </w:rPr>
              <w:drawing>
                <wp:inline distT="0" distB="0" distL="114300" distR="114300">
                  <wp:extent cx="342265" cy="313690"/>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342265" cy="313690"/>
                          </a:xfrm>
                          <a:prstGeom prst="rect">
                            <a:avLst/>
                          </a:prstGeom>
                          <a:noFill/>
                          <a:ln>
                            <a:noFill/>
                          </a:ln>
                        </pic:spPr>
                      </pic:pic>
                    </a:graphicData>
                  </a:graphic>
                </wp:inline>
              </w:drawing>
            </w:r>
            <w:r>
              <w:rPr>
                <w:rFonts w:eastAsia="宋体"/>
                <w:color w:val="auto"/>
                <w:sz w:val="24"/>
              </w:rPr>
              <w:instrText xml:space="preserve"> </w:instrText>
            </w:r>
            <w:r>
              <w:rPr>
                <w:rFonts w:eastAsia="宋体"/>
                <w:color w:val="auto"/>
                <w:sz w:val="24"/>
              </w:rPr>
              <w:fldChar w:fldCharType="separate"/>
            </w:r>
            <w:r>
              <w:rPr>
                <w:rFonts w:eastAsia="宋体"/>
                <w:color w:val="auto"/>
                <w:sz w:val="24"/>
              </w:rPr>
              <w:fldChar w:fldCharType="end"/>
            </w:r>
            <w:r>
              <w:rPr>
                <w:rFonts w:eastAsia="宋体"/>
                <w:color w:val="auto"/>
                <w:sz w:val="24"/>
              </w:rPr>
              <w:t>声点源在参考点产生的声压级；</w:t>
            </w:r>
          </w:p>
          <w:p>
            <w:pPr>
              <w:pStyle w:val="35"/>
              <w:spacing w:line="360" w:lineRule="auto"/>
              <w:ind w:firstLine="480"/>
              <w:rPr>
                <w:rFonts w:eastAsia="宋体"/>
                <w:color w:val="auto"/>
                <w:sz w:val="24"/>
              </w:rPr>
            </w:pPr>
            <w:r>
              <w:rPr>
                <w:rFonts w:eastAsia="宋体"/>
                <w:color w:val="auto"/>
                <w:sz w:val="24"/>
              </w:rPr>
              <w:t>r</w:t>
            </w:r>
            <w:r>
              <w:rPr>
                <w:rFonts w:eastAsia="宋体"/>
                <w:color w:val="auto"/>
                <w:sz w:val="24"/>
                <w:vertAlign w:val="subscript"/>
              </w:rPr>
              <w:t>2</w:t>
            </w:r>
            <w:r>
              <w:rPr>
                <w:rFonts w:eastAsia="宋体"/>
                <w:color w:val="auto"/>
                <w:sz w:val="24"/>
              </w:rPr>
              <w:t>--</w:t>
            </w:r>
            <w:r>
              <w:rPr>
                <w:rFonts w:eastAsia="宋体"/>
                <w:color w:val="auto"/>
                <w:sz w:val="24"/>
              </w:rPr>
              <w:fldChar w:fldCharType="begin"/>
            </w:r>
            <w:r>
              <w:rPr>
                <w:rFonts w:eastAsia="宋体"/>
                <w:color w:val="auto"/>
                <w:sz w:val="24"/>
              </w:rPr>
              <w:instrText xml:space="preserve"> QUOTE </w:instrText>
            </w:r>
            <w:r>
              <w:rPr>
                <w:rFonts w:eastAsia="宋体"/>
                <w:color w:val="auto"/>
                <w:sz w:val="24"/>
              </w:rPr>
              <w:drawing>
                <wp:inline distT="0" distB="0" distL="114300" distR="114300">
                  <wp:extent cx="323215" cy="313690"/>
                  <wp:effectExtent l="0" t="0" r="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323215" cy="313690"/>
                          </a:xfrm>
                          <a:prstGeom prst="rect">
                            <a:avLst/>
                          </a:prstGeom>
                          <a:noFill/>
                          <a:ln>
                            <a:noFill/>
                          </a:ln>
                        </pic:spPr>
                      </pic:pic>
                    </a:graphicData>
                  </a:graphic>
                </wp:inline>
              </w:drawing>
            </w:r>
            <w:r>
              <w:rPr>
                <w:rFonts w:eastAsia="宋体"/>
                <w:color w:val="auto"/>
                <w:sz w:val="24"/>
              </w:rPr>
              <w:instrText xml:space="preserve"> </w:instrText>
            </w:r>
            <w:r>
              <w:rPr>
                <w:rFonts w:eastAsia="宋体"/>
                <w:color w:val="auto"/>
                <w:sz w:val="24"/>
              </w:rPr>
              <w:fldChar w:fldCharType="separate"/>
            </w:r>
            <w:r>
              <w:rPr>
                <w:rFonts w:eastAsia="宋体"/>
                <w:color w:val="auto"/>
                <w:sz w:val="24"/>
              </w:rPr>
              <w:fldChar w:fldCharType="end"/>
            </w:r>
            <w:r>
              <w:rPr>
                <w:rFonts w:eastAsia="宋体"/>
                <w:color w:val="auto"/>
                <w:sz w:val="24"/>
              </w:rPr>
              <w:t>预测点距声源的距离；</w:t>
            </w:r>
          </w:p>
          <w:p>
            <w:pPr>
              <w:pStyle w:val="35"/>
              <w:spacing w:line="360" w:lineRule="auto"/>
              <w:ind w:firstLine="480"/>
              <w:rPr>
                <w:rFonts w:eastAsia="宋体"/>
                <w:color w:val="auto"/>
                <w:sz w:val="24"/>
              </w:rPr>
            </w:pPr>
            <w:r>
              <w:rPr>
                <w:rFonts w:eastAsia="宋体"/>
                <w:color w:val="auto"/>
                <w:sz w:val="24"/>
              </w:rPr>
              <w:t>r</w:t>
            </w:r>
            <w:r>
              <w:rPr>
                <w:rFonts w:eastAsia="宋体"/>
                <w:color w:val="auto"/>
                <w:sz w:val="24"/>
                <w:vertAlign w:val="subscript"/>
              </w:rPr>
              <w:t>1</w:t>
            </w:r>
            <w:r>
              <w:rPr>
                <w:rFonts w:eastAsia="宋体"/>
                <w:color w:val="auto"/>
                <w:sz w:val="24"/>
              </w:rPr>
              <w:t>--参考点距声源的距离；</w:t>
            </w:r>
          </w:p>
          <w:p>
            <w:pPr>
              <w:pStyle w:val="35"/>
              <w:spacing w:line="360" w:lineRule="auto"/>
              <w:ind w:firstLine="480"/>
              <w:rPr>
                <w:rFonts w:eastAsia="宋体"/>
                <w:color w:val="auto"/>
                <w:sz w:val="24"/>
              </w:rPr>
            </w:pPr>
            <w:r>
              <w:rPr>
                <w:rFonts w:eastAsia="宋体"/>
                <w:color w:val="auto"/>
                <w:sz w:val="24"/>
              </w:rPr>
              <w:fldChar w:fldCharType="begin"/>
            </w:r>
            <w:r>
              <w:rPr>
                <w:rFonts w:eastAsia="宋体"/>
                <w:color w:val="auto"/>
                <w:sz w:val="24"/>
              </w:rPr>
              <w:instrText xml:space="preserve"> QUOTE </w:instrText>
            </w:r>
            <w:r>
              <w:rPr>
                <w:rFonts w:eastAsia="宋体"/>
                <w:color w:val="auto"/>
                <w:sz w:val="24"/>
              </w:rPr>
              <w:drawing>
                <wp:inline distT="0" distB="0" distL="114300" distR="114300">
                  <wp:extent cx="370840" cy="313690"/>
                  <wp:effectExtent l="0" t="0" r="17780" b="15875"/>
                  <wp:docPr id="1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8"/>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370840" cy="313690"/>
                          </a:xfrm>
                          <a:prstGeom prst="rect">
                            <a:avLst/>
                          </a:prstGeom>
                          <a:noFill/>
                          <a:ln>
                            <a:noFill/>
                          </a:ln>
                        </pic:spPr>
                      </pic:pic>
                    </a:graphicData>
                  </a:graphic>
                </wp:inline>
              </w:drawing>
            </w:r>
            <w:r>
              <w:rPr>
                <w:rFonts w:eastAsia="宋体"/>
                <w:color w:val="auto"/>
                <w:sz w:val="24"/>
              </w:rPr>
              <w:instrText xml:space="preserve"> </w:instrText>
            </w:r>
            <w:r>
              <w:rPr>
                <w:rFonts w:eastAsia="宋体"/>
                <w:color w:val="auto"/>
                <w:sz w:val="24"/>
              </w:rPr>
              <w:fldChar w:fldCharType="separate"/>
            </w:r>
            <w:r>
              <w:rPr>
                <w:rFonts w:eastAsia="宋体"/>
                <w:color w:val="auto"/>
                <w:sz w:val="24"/>
              </w:rPr>
              <w:t>△L--</w:t>
            </w:r>
            <w:r>
              <w:rPr>
                <w:rFonts w:eastAsia="宋体"/>
                <w:color w:val="auto"/>
                <w:sz w:val="24"/>
              </w:rPr>
              <w:fldChar w:fldCharType="end"/>
            </w:r>
            <w:r>
              <w:rPr>
                <w:rFonts w:eastAsia="宋体"/>
                <w:color w:val="auto"/>
                <w:sz w:val="24"/>
              </w:rPr>
              <w:t>各种因素引起的衰减量（包括声屏障、空气吸收引起的衰减量）。</w:t>
            </w:r>
          </w:p>
          <w:p>
            <w:pPr>
              <w:pStyle w:val="35"/>
              <w:spacing w:line="360" w:lineRule="auto"/>
              <w:ind w:firstLine="480"/>
              <w:rPr>
                <w:rFonts w:eastAsia="宋体"/>
                <w:color w:val="auto"/>
                <w:sz w:val="24"/>
              </w:rPr>
            </w:pPr>
            <w:r>
              <w:rPr>
                <w:rFonts w:eastAsia="宋体"/>
                <w:color w:val="auto"/>
                <w:sz w:val="24"/>
              </w:rPr>
              <w:t>在不考虑各种衰减影响情况下，利用预测模式可模拟计算得到各种施工机械在不同距离处的噪声影响值，具体结果详见表4.1-2。</w:t>
            </w:r>
          </w:p>
          <w:p>
            <w:pPr>
              <w:pStyle w:val="39"/>
              <w:spacing w:line="360" w:lineRule="auto"/>
              <w:ind w:firstLine="422"/>
              <w:rPr>
                <w:rFonts w:eastAsia="宋体"/>
                <w:color w:val="auto"/>
                <w:sz w:val="21"/>
                <w:szCs w:val="21"/>
              </w:rPr>
            </w:pPr>
            <w:r>
              <w:rPr>
                <w:rFonts w:eastAsia="宋体"/>
                <w:color w:val="auto"/>
                <w:sz w:val="21"/>
                <w:szCs w:val="21"/>
              </w:rPr>
              <w:t>表4.1-2 各种施工机械在不同距离处的噪声预测值  单位：dB（A）</w:t>
            </w:r>
          </w:p>
          <w:tbl>
            <w:tblPr>
              <w:tblStyle w:val="20"/>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19"/>
              <w:gridCol w:w="765"/>
              <w:gridCol w:w="765"/>
              <w:gridCol w:w="765"/>
              <w:gridCol w:w="765"/>
              <w:gridCol w:w="765"/>
              <w:gridCol w:w="765"/>
              <w:gridCol w:w="766"/>
              <w:gridCol w:w="76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94" w:type="pct"/>
                  <w:tcBorders>
                    <w:bottom w:val="single" w:color="auto" w:sz="4" w:space="0"/>
                    <w:right w:val="single" w:color="auto" w:sz="4" w:space="0"/>
                  </w:tcBorders>
                  <w:vAlign w:val="center"/>
                </w:tcPr>
                <w:p>
                  <w:pPr>
                    <w:pStyle w:val="41"/>
                    <w:jc w:val="center"/>
                    <w:rPr>
                      <w:b/>
                      <w:color w:val="auto"/>
                      <w:sz w:val="21"/>
                      <w:szCs w:val="24"/>
                    </w:rPr>
                  </w:pPr>
                  <w:r>
                    <w:rPr>
                      <w:b/>
                      <w:color w:val="auto"/>
                      <w:sz w:val="21"/>
                      <w:szCs w:val="24"/>
                    </w:rPr>
                    <w:t>噪声源距离（m）</w:t>
                  </w:r>
                </w:p>
              </w:tc>
              <w:tc>
                <w:tcPr>
                  <w:tcW w:w="476" w:type="pct"/>
                  <w:tcBorders>
                    <w:left w:val="single" w:color="auto" w:sz="4" w:space="0"/>
                    <w:bottom w:val="single" w:color="auto" w:sz="4" w:space="0"/>
                    <w:right w:val="single" w:color="auto" w:sz="4" w:space="0"/>
                  </w:tcBorders>
                  <w:vAlign w:val="center"/>
                </w:tcPr>
                <w:p>
                  <w:pPr>
                    <w:pStyle w:val="41"/>
                    <w:jc w:val="center"/>
                    <w:rPr>
                      <w:b/>
                      <w:color w:val="auto"/>
                      <w:sz w:val="21"/>
                      <w:szCs w:val="24"/>
                    </w:rPr>
                  </w:pPr>
                  <w:r>
                    <w:rPr>
                      <w:b/>
                      <w:color w:val="auto"/>
                      <w:sz w:val="21"/>
                      <w:szCs w:val="24"/>
                    </w:rPr>
                    <w:t>10</w:t>
                  </w:r>
                </w:p>
              </w:tc>
              <w:tc>
                <w:tcPr>
                  <w:tcW w:w="476" w:type="pct"/>
                  <w:tcBorders>
                    <w:left w:val="single" w:color="auto" w:sz="4" w:space="0"/>
                    <w:bottom w:val="single" w:color="auto" w:sz="4" w:space="0"/>
                    <w:right w:val="single" w:color="auto" w:sz="4" w:space="0"/>
                  </w:tcBorders>
                  <w:vAlign w:val="center"/>
                </w:tcPr>
                <w:p>
                  <w:pPr>
                    <w:pStyle w:val="41"/>
                    <w:jc w:val="center"/>
                    <w:rPr>
                      <w:b/>
                      <w:color w:val="auto"/>
                      <w:sz w:val="21"/>
                      <w:szCs w:val="24"/>
                    </w:rPr>
                  </w:pPr>
                  <w:r>
                    <w:rPr>
                      <w:b/>
                      <w:color w:val="auto"/>
                      <w:sz w:val="21"/>
                      <w:szCs w:val="24"/>
                    </w:rPr>
                    <w:t>25</w:t>
                  </w:r>
                </w:p>
              </w:tc>
              <w:tc>
                <w:tcPr>
                  <w:tcW w:w="476" w:type="pct"/>
                  <w:tcBorders>
                    <w:left w:val="single" w:color="auto" w:sz="4" w:space="0"/>
                    <w:bottom w:val="single" w:color="auto" w:sz="4" w:space="0"/>
                    <w:right w:val="single" w:color="auto" w:sz="4" w:space="0"/>
                  </w:tcBorders>
                  <w:vAlign w:val="center"/>
                </w:tcPr>
                <w:p>
                  <w:pPr>
                    <w:pStyle w:val="41"/>
                    <w:jc w:val="center"/>
                    <w:rPr>
                      <w:b/>
                      <w:color w:val="auto"/>
                      <w:sz w:val="21"/>
                      <w:szCs w:val="24"/>
                    </w:rPr>
                  </w:pPr>
                  <w:r>
                    <w:rPr>
                      <w:b/>
                      <w:color w:val="auto"/>
                      <w:sz w:val="21"/>
                      <w:szCs w:val="24"/>
                    </w:rPr>
                    <w:t>50</w:t>
                  </w:r>
                </w:p>
              </w:tc>
              <w:tc>
                <w:tcPr>
                  <w:tcW w:w="476" w:type="pct"/>
                  <w:tcBorders>
                    <w:left w:val="single" w:color="auto" w:sz="4" w:space="0"/>
                    <w:bottom w:val="single" w:color="auto" w:sz="4" w:space="0"/>
                    <w:right w:val="single" w:color="auto" w:sz="4" w:space="0"/>
                  </w:tcBorders>
                  <w:vAlign w:val="center"/>
                </w:tcPr>
                <w:p>
                  <w:pPr>
                    <w:pStyle w:val="41"/>
                    <w:jc w:val="center"/>
                    <w:rPr>
                      <w:b/>
                      <w:color w:val="auto"/>
                      <w:sz w:val="21"/>
                      <w:szCs w:val="24"/>
                    </w:rPr>
                  </w:pPr>
                  <w:r>
                    <w:rPr>
                      <w:b/>
                      <w:color w:val="auto"/>
                      <w:sz w:val="21"/>
                      <w:szCs w:val="24"/>
                    </w:rPr>
                    <w:t>100</w:t>
                  </w:r>
                </w:p>
              </w:tc>
              <w:tc>
                <w:tcPr>
                  <w:tcW w:w="476" w:type="pct"/>
                  <w:tcBorders>
                    <w:left w:val="single" w:color="auto" w:sz="4" w:space="0"/>
                    <w:bottom w:val="single" w:color="auto" w:sz="4" w:space="0"/>
                    <w:right w:val="single" w:color="auto" w:sz="4" w:space="0"/>
                  </w:tcBorders>
                  <w:vAlign w:val="center"/>
                </w:tcPr>
                <w:p>
                  <w:pPr>
                    <w:pStyle w:val="41"/>
                    <w:jc w:val="center"/>
                    <w:rPr>
                      <w:b/>
                      <w:color w:val="auto"/>
                      <w:sz w:val="21"/>
                      <w:szCs w:val="24"/>
                    </w:rPr>
                  </w:pPr>
                  <w:r>
                    <w:rPr>
                      <w:b/>
                      <w:color w:val="auto"/>
                      <w:sz w:val="21"/>
                      <w:szCs w:val="24"/>
                    </w:rPr>
                    <w:t>180</w:t>
                  </w:r>
                </w:p>
              </w:tc>
              <w:tc>
                <w:tcPr>
                  <w:tcW w:w="476" w:type="pct"/>
                  <w:tcBorders>
                    <w:left w:val="single" w:color="auto" w:sz="4" w:space="0"/>
                    <w:bottom w:val="single" w:color="auto" w:sz="4" w:space="0"/>
                    <w:right w:val="single" w:color="auto" w:sz="4" w:space="0"/>
                  </w:tcBorders>
                  <w:vAlign w:val="center"/>
                </w:tcPr>
                <w:p>
                  <w:pPr>
                    <w:pStyle w:val="41"/>
                    <w:jc w:val="center"/>
                    <w:rPr>
                      <w:b/>
                      <w:color w:val="auto"/>
                      <w:sz w:val="21"/>
                      <w:szCs w:val="24"/>
                    </w:rPr>
                  </w:pPr>
                  <w:r>
                    <w:rPr>
                      <w:b/>
                      <w:color w:val="auto"/>
                      <w:sz w:val="21"/>
                      <w:szCs w:val="24"/>
                    </w:rPr>
                    <w:t>300</w:t>
                  </w:r>
                </w:p>
              </w:tc>
              <w:tc>
                <w:tcPr>
                  <w:tcW w:w="476" w:type="pct"/>
                  <w:tcBorders>
                    <w:left w:val="single" w:color="auto" w:sz="4" w:space="0"/>
                    <w:bottom w:val="single" w:color="auto" w:sz="4" w:space="0"/>
                    <w:right w:val="single" w:color="auto" w:sz="4" w:space="0"/>
                  </w:tcBorders>
                  <w:vAlign w:val="center"/>
                </w:tcPr>
                <w:p>
                  <w:pPr>
                    <w:pStyle w:val="41"/>
                    <w:jc w:val="center"/>
                    <w:rPr>
                      <w:b/>
                      <w:color w:val="auto"/>
                      <w:sz w:val="21"/>
                      <w:szCs w:val="24"/>
                    </w:rPr>
                  </w:pPr>
                  <w:r>
                    <w:rPr>
                      <w:b/>
                      <w:color w:val="auto"/>
                      <w:sz w:val="21"/>
                      <w:szCs w:val="24"/>
                    </w:rPr>
                    <w:t>400</w:t>
                  </w:r>
                </w:p>
              </w:tc>
              <w:tc>
                <w:tcPr>
                  <w:tcW w:w="475" w:type="pct"/>
                  <w:tcBorders>
                    <w:left w:val="single" w:color="auto" w:sz="4" w:space="0"/>
                    <w:bottom w:val="single" w:color="auto" w:sz="4" w:space="0"/>
                  </w:tcBorders>
                  <w:vAlign w:val="center"/>
                </w:tcPr>
                <w:p>
                  <w:pPr>
                    <w:pStyle w:val="41"/>
                    <w:jc w:val="center"/>
                    <w:rPr>
                      <w:b/>
                      <w:color w:val="auto"/>
                      <w:sz w:val="21"/>
                      <w:szCs w:val="24"/>
                    </w:rPr>
                  </w:pPr>
                  <w:r>
                    <w:rPr>
                      <w:b/>
                      <w:color w:val="auto"/>
                      <w:sz w:val="21"/>
                      <w:szCs w:val="24"/>
                    </w:rPr>
                    <w:t>550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94" w:type="pct"/>
                  <w:tcBorders>
                    <w:top w:val="single" w:color="auto" w:sz="4" w:space="0"/>
                    <w:bottom w:val="single" w:color="auto" w:sz="4" w:space="0"/>
                    <w:right w:val="single" w:color="auto" w:sz="4" w:space="0"/>
                  </w:tcBorders>
                  <w:vAlign w:val="center"/>
                </w:tcPr>
                <w:p>
                  <w:pPr>
                    <w:pStyle w:val="41"/>
                    <w:jc w:val="center"/>
                    <w:rPr>
                      <w:color w:val="auto"/>
                      <w:sz w:val="21"/>
                      <w:szCs w:val="24"/>
                    </w:rPr>
                  </w:pPr>
                  <w:r>
                    <w:rPr>
                      <w:color w:val="auto"/>
                      <w:sz w:val="21"/>
                      <w:szCs w:val="24"/>
                    </w:rPr>
                    <w:t>搅拌机、电锯、卡车、夯土机</w:t>
                  </w:r>
                </w:p>
              </w:tc>
              <w:tc>
                <w:tcPr>
                  <w:tcW w:w="476" w:type="pct"/>
                  <w:tcBorders>
                    <w:top w:val="single" w:color="auto" w:sz="4" w:space="0"/>
                    <w:left w:val="single" w:color="auto" w:sz="4" w:space="0"/>
                    <w:bottom w:val="single" w:color="auto" w:sz="4" w:space="0"/>
                    <w:right w:val="single" w:color="auto" w:sz="4" w:space="0"/>
                  </w:tcBorders>
                  <w:vAlign w:val="center"/>
                </w:tcPr>
                <w:p>
                  <w:pPr>
                    <w:pStyle w:val="41"/>
                    <w:jc w:val="center"/>
                    <w:rPr>
                      <w:color w:val="auto"/>
                      <w:sz w:val="21"/>
                      <w:szCs w:val="24"/>
                    </w:rPr>
                  </w:pPr>
                  <w:r>
                    <w:rPr>
                      <w:color w:val="auto"/>
                      <w:sz w:val="21"/>
                      <w:szCs w:val="24"/>
                    </w:rPr>
                    <w:t>85</w:t>
                  </w:r>
                </w:p>
              </w:tc>
              <w:tc>
                <w:tcPr>
                  <w:tcW w:w="476" w:type="pct"/>
                  <w:tcBorders>
                    <w:top w:val="single" w:color="auto" w:sz="4" w:space="0"/>
                    <w:left w:val="single" w:color="auto" w:sz="4" w:space="0"/>
                    <w:bottom w:val="single" w:color="auto" w:sz="4" w:space="0"/>
                    <w:right w:val="single" w:color="auto" w:sz="4" w:space="0"/>
                  </w:tcBorders>
                  <w:vAlign w:val="center"/>
                </w:tcPr>
                <w:p>
                  <w:pPr>
                    <w:pStyle w:val="41"/>
                    <w:jc w:val="center"/>
                    <w:rPr>
                      <w:color w:val="auto"/>
                      <w:sz w:val="21"/>
                      <w:szCs w:val="24"/>
                    </w:rPr>
                  </w:pPr>
                  <w:r>
                    <w:rPr>
                      <w:color w:val="auto"/>
                      <w:sz w:val="21"/>
                      <w:szCs w:val="24"/>
                    </w:rPr>
                    <w:t>77</w:t>
                  </w:r>
                </w:p>
              </w:tc>
              <w:tc>
                <w:tcPr>
                  <w:tcW w:w="476" w:type="pct"/>
                  <w:tcBorders>
                    <w:top w:val="single" w:color="auto" w:sz="4" w:space="0"/>
                    <w:left w:val="single" w:color="auto" w:sz="4" w:space="0"/>
                    <w:bottom w:val="single" w:color="auto" w:sz="4" w:space="0"/>
                    <w:right w:val="single" w:color="auto" w:sz="4" w:space="0"/>
                  </w:tcBorders>
                  <w:vAlign w:val="center"/>
                </w:tcPr>
                <w:p>
                  <w:pPr>
                    <w:pStyle w:val="41"/>
                    <w:jc w:val="center"/>
                    <w:rPr>
                      <w:color w:val="auto"/>
                      <w:sz w:val="21"/>
                      <w:szCs w:val="24"/>
                    </w:rPr>
                  </w:pPr>
                  <w:r>
                    <w:rPr>
                      <w:color w:val="auto"/>
                      <w:sz w:val="21"/>
                      <w:szCs w:val="24"/>
                    </w:rPr>
                    <w:t>71</w:t>
                  </w:r>
                </w:p>
              </w:tc>
              <w:tc>
                <w:tcPr>
                  <w:tcW w:w="476" w:type="pct"/>
                  <w:tcBorders>
                    <w:top w:val="single" w:color="auto" w:sz="4" w:space="0"/>
                    <w:left w:val="single" w:color="auto" w:sz="4" w:space="0"/>
                    <w:bottom w:val="single" w:color="auto" w:sz="4" w:space="0"/>
                    <w:right w:val="single" w:color="auto" w:sz="4" w:space="0"/>
                  </w:tcBorders>
                  <w:vAlign w:val="center"/>
                </w:tcPr>
                <w:p>
                  <w:pPr>
                    <w:pStyle w:val="41"/>
                    <w:jc w:val="center"/>
                    <w:rPr>
                      <w:color w:val="auto"/>
                      <w:sz w:val="21"/>
                      <w:szCs w:val="24"/>
                    </w:rPr>
                  </w:pPr>
                  <w:r>
                    <w:rPr>
                      <w:color w:val="auto"/>
                      <w:sz w:val="21"/>
                      <w:szCs w:val="24"/>
                    </w:rPr>
                    <w:t>65</w:t>
                  </w:r>
                </w:p>
              </w:tc>
              <w:tc>
                <w:tcPr>
                  <w:tcW w:w="476" w:type="pct"/>
                  <w:tcBorders>
                    <w:top w:val="single" w:color="auto" w:sz="4" w:space="0"/>
                    <w:left w:val="single" w:color="auto" w:sz="4" w:space="0"/>
                    <w:bottom w:val="single" w:color="auto" w:sz="4" w:space="0"/>
                    <w:right w:val="single" w:color="auto" w:sz="4" w:space="0"/>
                  </w:tcBorders>
                  <w:vAlign w:val="center"/>
                </w:tcPr>
                <w:p>
                  <w:pPr>
                    <w:pStyle w:val="41"/>
                    <w:jc w:val="center"/>
                    <w:rPr>
                      <w:color w:val="auto"/>
                      <w:sz w:val="21"/>
                      <w:szCs w:val="24"/>
                    </w:rPr>
                  </w:pPr>
                  <w:r>
                    <w:rPr>
                      <w:color w:val="auto"/>
                      <w:sz w:val="21"/>
                      <w:szCs w:val="24"/>
                    </w:rPr>
                    <w:t>60</w:t>
                  </w:r>
                </w:p>
              </w:tc>
              <w:tc>
                <w:tcPr>
                  <w:tcW w:w="476" w:type="pct"/>
                  <w:tcBorders>
                    <w:top w:val="single" w:color="auto" w:sz="4" w:space="0"/>
                    <w:left w:val="single" w:color="auto" w:sz="4" w:space="0"/>
                    <w:bottom w:val="single" w:color="auto" w:sz="4" w:space="0"/>
                    <w:right w:val="single" w:color="auto" w:sz="4" w:space="0"/>
                  </w:tcBorders>
                  <w:vAlign w:val="center"/>
                </w:tcPr>
                <w:p>
                  <w:pPr>
                    <w:pStyle w:val="41"/>
                    <w:jc w:val="center"/>
                    <w:rPr>
                      <w:color w:val="auto"/>
                      <w:sz w:val="21"/>
                      <w:szCs w:val="24"/>
                    </w:rPr>
                  </w:pPr>
                  <w:r>
                    <w:rPr>
                      <w:color w:val="auto"/>
                      <w:sz w:val="21"/>
                      <w:szCs w:val="24"/>
                    </w:rPr>
                    <w:t>55</w:t>
                  </w:r>
                </w:p>
              </w:tc>
              <w:tc>
                <w:tcPr>
                  <w:tcW w:w="476" w:type="pct"/>
                  <w:tcBorders>
                    <w:top w:val="single" w:color="auto" w:sz="4" w:space="0"/>
                    <w:left w:val="single" w:color="auto" w:sz="4" w:space="0"/>
                    <w:bottom w:val="single" w:color="auto" w:sz="4" w:space="0"/>
                    <w:right w:val="single" w:color="auto" w:sz="4" w:space="0"/>
                  </w:tcBorders>
                  <w:vAlign w:val="center"/>
                </w:tcPr>
                <w:p>
                  <w:pPr>
                    <w:pStyle w:val="41"/>
                    <w:jc w:val="center"/>
                    <w:rPr>
                      <w:color w:val="auto"/>
                      <w:sz w:val="21"/>
                      <w:szCs w:val="24"/>
                    </w:rPr>
                  </w:pPr>
                  <w:r>
                    <w:rPr>
                      <w:color w:val="auto"/>
                      <w:sz w:val="21"/>
                      <w:szCs w:val="24"/>
                    </w:rPr>
                    <w:t>53</w:t>
                  </w:r>
                </w:p>
              </w:tc>
              <w:tc>
                <w:tcPr>
                  <w:tcW w:w="475" w:type="pct"/>
                  <w:tcBorders>
                    <w:top w:val="single" w:color="auto" w:sz="4" w:space="0"/>
                    <w:left w:val="single" w:color="auto" w:sz="4" w:space="0"/>
                    <w:bottom w:val="single" w:color="auto" w:sz="4" w:space="0"/>
                  </w:tcBorders>
                  <w:vAlign w:val="center"/>
                </w:tcPr>
                <w:p>
                  <w:pPr>
                    <w:pStyle w:val="41"/>
                    <w:jc w:val="center"/>
                    <w:rPr>
                      <w:color w:val="auto"/>
                      <w:sz w:val="21"/>
                      <w:szCs w:val="24"/>
                    </w:rPr>
                  </w:pPr>
                  <w:r>
                    <w:rPr>
                      <w:color w:val="auto"/>
                      <w:sz w:val="21"/>
                      <w:szCs w:val="24"/>
                    </w:rPr>
                    <w:t>50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94" w:type="pct"/>
                  <w:tcBorders>
                    <w:top w:val="single" w:color="auto" w:sz="4" w:space="0"/>
                    <w:bottom w:val="single" w:color="auto" w:sz="4" w:space="0"/>
                    <w:right w:val="single" w:color="auto" w:sz="4" w:space="0"/>
                  </w:tcBorders>
                  <w:vAlign w:val="center"/>
                </w:tcPr>
                <w:p>
                  <w:pPr>
                    <w:pStyle w:val="41"/>
                    <w:jc w:val="center"/>
                    <w:rPr>
                      <w:color w:val="auto"/>
                      <w:sz w:val="21"/>
                      <w:szCs w:val="24"/>
                    </w:rPr>
                  </w:pPr>
                  <w:r>
                    <w:rPr>
                      <w:color w:val="auto"/>
                      <w:sz w:val="21"/>
                      <w:szCs w:val="24"/>
                    </w:rPr>
                    <w:t>起重机、挖掘机</w:t>
                  </w:r>
                </w:p>
              </w:tc>
              <w:tc>
                <w:tcPr>
                  <w:tcW w:w="476" w:type="pct"/>
                  <w:tcBorders>
                    <w:top w:val="single" w:color="auto" w:sz="4" w:space="0"/>
                    <w:left w:val="single" w:color="auto" w:sz="4" w:space="0"/>
                    <w:bottom w:val="single" w:color="auto" w:sz="4" w:space="0"/>
                    <w:right w:val="single" w:color="auto" w:sz="4" w:space="0"/>
                  </w:tcBorders>
                  <w:vAlign w:val="center"/>
                </w:tcPr>
                <w:p>
                  <w:pPr>
                    <w:pStyle w:val="41"/>
                    <w:jc w:val="center"/>
                    <w:rPr>
                      <w:color w:val="auto"/>
                      <w:sz w:val="21"/>
                      <w:szCs w:val="24"/>
                    </w:rPr>
                  </w:pPr>
                  <w:r>
                    <w:rPr>
                      <w:color w:val="auto"/>
                      <w:sz w:val="21"/>
                      <w:szCs w:val="24"/>
                    </w:rPr>
                    <w:t>84</w:t>
                  </w:r>
                </w:p>
              </w:tc>
              <w:tc>
                <w:tcPr>
                  <w:tcW w:w="476" w:type="pct"/>
                  <w:tcBorders>
                    <w:top w:val="single" w:color="auto" w:sz="4" w:space="0"/>
                    <w:left w:val="single" w:color="auto" w:sz="4" w:space="0"/>
                    <w:bottom w:val="single" w:color="auto" w:sz="4" w:space="0"/>
                    <w:right w:val="single" w:color="auto" w:sz="4" w:space="0"/>
                  </w:tcBorders>
                  <w:vAlign w:val="center"/>
                </w:tcPr>
                <w:p>
                  <w:pPr>
                    <w:pStyle w:val="41"/>
                    <w:jc w:val="center"/>
                    <w:rPr>
                      <w:color w:val="auto"/>
                      <w:sz w:val="21"/>
                      <w:szCs w:val="24"/>
                    </w:rPr>
                  </w:pPr>
                  <w:r>
                    <w:rPr>
                      <w:color w:val="auto"/>
                      <w:sz w:val="21"/>
                      <w:szCs w:val="24"/>
                    </w:rPr>
                    <w:t>76</w:t>
                  </w:r>
                </w:p>
              </w:tc>
              <w:tc>
                <w:tcPr>
                  <w:tcW w:w="476" w:type="pct"/>
                  <w:tcBorders>
                    <w:top w:val="single" w:color="auto" w:sz="4" w:space="0"/>
                    <w:left w:val="single" w:color="auto" w:sz="4" w:space="0"/>
                    <w:bottom w:val="single" w:color="auto" w:sz="4" w:space="0"/>
                    <w:right w:val="single" w:color="auto" w:sz="4" w:space="0"/>
                  </w:tcBorders>
                  <w:vAlign w:val="center"/>
                </w:tcPr>
                <w:p>
                  <w:pPr>
                    <w:pStyle w:val="41"/>
                    <w:jc w:val="center"/>
                    <w:rPr>
                      <w:color w:val="auto"/>
                      <w:sz w:val="21"/>
                      <w:szCs w:val="24"/>
                    </w:rPr>
                  </w:pPr>
                  <w:r>
                    <w:rPr>
                      <w:color w:val="auto"/>
                      <w:sz w:val="21"/>
                      <w:szCs w:val="24"/>
                    </w:rPr>
                    <w:t>70</w:t>
                  </w:r>
                </w:p>
              </w:tc>
              <w:tc>
                <w:tcPr>
                  <w:tcW w:w="476" w:type="pct"/>
                  <w:tcBorders>
                    <w:top w:val="single" w:color="auto" w:sz="4" w:space="0"/>
                    <w:left w:val="single" w:color="auto" w:sz="4" w:space="0"/>
                    <w:bottom w:val="single" w:color="auto" w:sz="4" w:space="0"/>
                    <w:right w:val="single" w:color="auto" w:sz="4" w:space="0"/>
                  </w:tcBorders>
                  <w:vAlign w:val="center"/>
                </w:tcPr>
                <w:p>
                  <w:pPr>
                    <w:pStyle w:val="41"/>
                    <w:jc w:val="center"/>
                    <w:rPr>
                      <w:color w:val="auto"/>
                      <w:sz w:val="21"/>
                      <w:szCs w:val="24"/>
                    </w:rPr>
                  </w:pPr>
                  <w:r>
                    <w:rPr>
                      <w:color w:val="auto"/>
                      <w:sz w:val="21"/>
                      <w:szCs w:val="24"/>
                    </w:rPr>
                    <w:t>64</w:t>
                  </w:r>
                </w:p>
              </w:tc>
              <w:tc>
                <w:tcPr>
                  <w:tcW w:w="476" w:type="pct"/>
                  <w:tcBorders>
                    <w:top w:val="single" w:color="auto" w:sz="4" w:space="0"/>
                    <w:left w:val="single" w:color="auto" w:sz="4" w:space="0"/>
                    <w:bottom w:val="single" w:color="auto" w:sz="4" w:space="0"/>
                    <w:right w:val="single" w:color="auto" w:sz="4" w:space="0"/>
                  </w:tcBorders>
                  <w:vAlign w:val="center"/>
                </w:tcPr>
                <w:p>
                  <w:pPr>
                    <w:pStyle w:val="41"/>
                    <w:jc w:val="center"/>
                    <w:rPr>
                      <w:color w:val="auto"/>
                      <w:sz w:val="21"/>
                      <w:szCs w:val="24"/>
                    </w:rPr>
                  </w:pPr>
                  <w:r>
                    <w:rPr>
                      <w:color w:val="auto"/>
                      <w:sz w:val="21"/>
                      <w:szCs w:val="24"/>
                    </w:rPr>
                    <w:t>59</w:t>
                  </w:r>
                </w:p>
              </w:tc>
              <w:tc>
                <w:tcPr>
                  <w:tcW w:w="476" w:type="pct"/>
                  <w:tcBorders>
                    <w:top w:val="single" w:color="auto" w:sz="4" w:space="0"/>
                    <w:left w:val="single" w:color="auto" w:sz="4" w:space="0"/>
                    <w:bottom w:val="single" w:color="auto" w:sz="4" w:space="0"/>
                    <w:right w:val="single" w:color="auto" w:sz="4" w:space="0"/>
                  </w:tcBorders>
                  <w:vAlign w:val="center"/>
                </w:tcPr>
                <w:p>
                  <w:pPr>
                    <w:pStyle w:val="41"/>
                    <w:jc w:val="center"/>
                    <w:rPr>
                      <w:color w:val="auto"/>
                      <w:sz w:val="21"/>
                      <w:szCs w:val="24"/>
                    </w:rPr>
                  </w:pPr>
                  <w:r>
                    <w:rPr>
                      <w:color w:val="auto"/>
                      <w:sz w:val="21"/>
                      <w:szCs w:val="24"/>
                    </w:rPr>
                    <w:t>54</w:t>
                  </w:r>
                </w:p>
              </w:tc>
              <w:tc>
                <w:tcPr>
                  <w:tcW w:w="476" w:type="pct"/>
                  <w:tcBorders>
                    <w:top w:val="single" w:color="auto" w:sz="4" w:space="0"/>
                    <w:left w:val="single" w:color="auto" w:sz="4" w:space="0"/>
                    <w:bottom w:val="single" w:color="auto" w:sz="4" w:space="0"/>
                    <w:right w:val="single" w:color="auto" w:sz="4" w:space="0"/>
                  </w:tcBorders>
                  <w:vAlign w:val="center"/>
                </w:tcPr>
                <w:p>
                  <w:pPr>
                    <w:pStyle w:val="41"/>
                    <w:jc w:val="center"/>
                    <w:rPr>
                      <w:color w:val="auto"/>
                      <w:sz w:val="21"/>
                      <w:szCs w:val="24"/>
                    </w:rPr>
                  </w:pPr>
                  <w:r>
                    <w:rPr>
                      <w:color w:val="auto"/>
                      <w:sz w:val="21"/>
                      <w:szCs w:val="24"/>
                    </w:rPr>
                    <w:t>52</w:t>
                  </w:r>
                </w:p>
              </w:tc>
              <w:tc>
                <w:tcPr>
                  <w:tcW w:w="475" w:type="pct"/>
                  <w:tcBorders>
                    <w:top w:val="single" w:color="auto" w:sz="4" w:space="0"/>
                    <w:left w:val="single" w:color="auto" w:sz="4" w:space="0"/>
                    <w:bottom w:val="single" w:color="auto" w:sz="4" w:space="0"/>
                  </w:tcBorders>
                  <w:vAlign w:val="center"/>
                </w:tcPr>
                <w:p>
                  <w:pPr>
                    <w:pStyle w:val="41"/>
                    <w:jc w:val="center"/>
                    <w:rPr>
                      <w:color w:val="auto"/>
                      <w:sz w:val="21"/>
                      <w:szCs w:val="24"/>
                    </w:rPr>
                  </w:pPr>
                  <w:r>
                    <w:rPr>
                      <w:color w:val="auto"/>
                      <w:sz w:val="21"/>
                      <w:szCs w:val="24"/>
                    </w:rPr>
                    <w:t>49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94" w:type="pct"/>
                  <w:tcBorders>
                    <w:top w:val="single" w:color="auto" w:sz="4" w:space="0"/>
                    <w:right w:val="single" w:color="auto" w:sz="4" w:space="0"/>
                  </w:tcBorders>
                  <w:vAlign w:val="center"/>
                </w:tcPr>
                <w:p>
                  <w:pPr>
                    <w:pStyle w:val="41"/>
                    <w:jc w:val="center"/>
                    <w:rPr>
                      <w:color w:val="auto"/>
                      <w:sz w:val="21"/>
                      <w:szCs w:val="24"/>
                    </w:rPr>
                  </w:pPr>
                  <w:r>
                    <w:rPr>
                      <w:color w:val="auto"/>
                      <w:sz w:val="21"/>
                      <w:szCs w:val="24"/>
                    </w:rPr>
                    <w:t>推土机</w:t>
                  </w:r>
                </w:p>
              </w:tc>
              <w:tc>
                <w:tcPr>
                  <w:tcW w:w="476" w:type="pct"/>
                  <w:tcBorders>
                    <w:top w:val="single" w:color="auto" w:sz="4" w:space="0"/>
                    <w:left w:val="single" w:color="auto" w:sz="4" w:space="0"/>
                    <w:right w:val="single" w:color="auto" w:sz="4" w:space="0"/>
                  </w:tcBorders>
                  <w:vAlign w:val="center"/>
                </w:tcPr>
                <w:p>
                  <w:pPr>
                    <w:pStyle w:val="41"/>
                    <w:jc w:val="center"/>
                    <w:rPr>
                      <w:color w:val="auto"/>
                      <w:sz w:val="21"/>
                      <w:szCs w:val="24"/>
                    </w:rPr>
                  </w:pPr>
                  <w:r>
                    <w:rPr>
                      <w:color w:val="auto"/>
                      <w:sz w:val="21"/>
                      <w:szCs w:val="24"/>
                    </w:rPr>
                    <w:t>76</w:t>
                  </w:r>
                </w:p>
              </w:tc>
              <w:tc>
                <w:tcPr>
                  <w:tcW w:w="476" w:type="pct"/>
                  <w:tcBorders>
                    <w:top w:val="single" w:color="auto" w:sz="4" w:space="0"/>
                    <w:left w:val="single" w:color="auto" w:sz="4" w:space="0"/>
                    <w:right w:val="single" w:color="auto" w:sz="4" w:space="0"/>
                  </w:tcBorders>
                  <w:vAlign w:val="center"/>
                </w:tcPr>
                <w:p>
                  <w:pPr>
                    <w:pStyle w:val="41"/>
                    <w:jc w:val="center"/>
                    <w:rPr>
                      <w:color w:val="auto"/>
                      <w:sz w:val="21"/>
                      <w:szCs w:val="24"/>
                    </w:rPr>
                  </w:pPr>
                  <w:r>
                    <w:rPr>
                      <w:color w:val="auto"/>
                      <w:sz w:val="21"/>
                      <w:szCs w:val="24"/>
                    </w:rPr>
                    <w:t>68</w:t>
                  </w:r>
                </w:p>
              </w:tc>
              <w:tc>
                <w:tcPr>
                  <w:tcW w:w="476" w:type="pct"/>
                  <w:tcBorders>
                    <w:top w:val="single" w:color="auto" w:sz="4" w:space="0"/>
                    <w:left w:val="single" w:color="auto" w:sz="4" w:space="0"/>
                    <w:right w:val="single" w:color="auto" w:sz="4" w:space="0"/>
                  </w:tcBorders>
                  <w:vAlign w:val="center"/>
                </w:tcPr>
                <w:p>
                  <w:pPr>
                    <w:pStyle w:val="41"/>
                    <w:jc w:val="center"/>
                    <w:rPr>
                      <w:color w:val="auto"/>
                      <w:sz w:val="21"/>
                      <w:szCs w:val="24"/>
                    </w:rPr>
                  </w:pPr>
                  <w:r>
                    <w:rPr>
                      <w:color w:val="auto"/>
                      <w:sz w:val="21"/>
                      <w:szCs w:val="24"/>
                    </w:rPr>
                    <w:t>62</w:t>
                  </w:r>
                </w:p>
              </w:tc>
              <w:tc>
                <w:tcPr>
                  <w:tcW w:w="476" w:type="pct"/>
                  <w:tcBorders>
                    <w:top w:val="single" w:color="auto" w:sz="4" w:space="0"/>
                    <w:left w:val="single" w:color="auto" w:sz="4" w:space="0"/>
                    <w:right w:val="single" w:color="auto" w:sz="4" w:space="0"/>
                  </w:tcBorders>
                  <w:vAlign w:val="center"/>
                </w:tcPr>
                <w:p>
                  <w:pPr>
                    <w:pStyle w:val="41"/>
                    <w:jc w:val="center"/>
                    <w:rPr>
                      <w:color w:val="auto"/>
                      <w:sz w:val="21"/>
                      <w:szCs w:val="24"/>
                    </w:rPr>
                  </w:pPr>
                  <w:r>
                    <w:rPr>
                      <w:color w:val="auto"/>
                      <w:sz w:val="21"/>
                      <w:szCs w:val="24"/>
                    </w:rPr>
                    <w:t>56</w:t>
                  </w:r>
                </w:p>
              </w:tc>
              <w:tc>
                <w:tcPr>
                  <w:tcW w:w="476" w:type="pct"/>
                  <w:tcBorders>
                    <w:top w:val="single" w:color="auto" w:sz="4" w:space="0"/>
                    <w:left w:val="single" w:color="auto" w:sz="4" w:space="0"/>
                    <w:right w:val="single" w:color="auto" w:sz="4" w:space="0"/>
                  </w:tcBorders>
                  <w:vAlign w:val="center"/>
                </w:tcPr>
                <w:p>
                  <w:pPr>
                    <w:pStyle w:val="41"/>
                    <w:jc w:val="center"/>
                    <w:rPr>
                      <w:color w:val="auto"/>
                      <w:sz w:val="21"/>
                      <w:szCs w:val="24"/>
                    </w:rPr>
                  </w:pPr>
                  <w:r>
                    <w:rPr>
                      <w:color w:val="auto"/>
                      <w:sz w:val="21"/>
                      <w:szCs w:val="24"/>
                    </w:rPr>
                    <w:t>51</w:t>
                  </w:r>
                </w:p>
              </w:tc>
              <w:tc>
                <w:tcPr>
                  <w:tcW w:w="476" w:type="pct"/>
                  <w:tcBorders>
                    <w:top w:val="single" w:color="auto" w:sz="4" w:space="0"/>
                    <w:left w:val="single" w:color="auto" w:sz="4" w:space="0"/>
                    <w:right w:val="single" w:color="auto" w:sz="4" w:space="0"/>
                  </w:tcBorders>
                  <w:vAlign w:val="center"/>
                </w:tcPr>
                <w:p>
                  <w:pPr>
                    <w:pStyle w:val="41"/>
                    <w:jc w:val="center"/>
                    <w:rPr>
                      <w:color w:val="auto"/>
                      <w:sz w:val="21"/>
                      <w:szCs w:val="24"/>
                    </w:rPr>
                  </w:pPr>
                  <w:r>
                    <w:rPr>
                      <w:color w:val="auto"/>
                      <w:sz w:val="21"/>
                      <w:szCs w:val="24"/>
                    </w:rPr>
                    <w:t>46</w:t>
                  </w:r>
                </w:p>
              </w:tc>
              <w:tc>
                <w:tcPr>
                  <w:tcW w:w="476" w:type="pct"/>
                  <w:tcBorders>
                    <w:top w:val="single" w:color="auto" w:sz="4" w:space="0"/>
                    <w:left w:val="single" w:color="auto" w:sz="4" w:space="0"/>
                    <w:right w:val="single" w:color="auto" w:sz="4" w:space="0"/>
                  </w:tcBorders>
                  <w:vAlign w:val="center"/>
                </w:tcPr>
                <w:p>
                  <w:pPr>
                    <w:pStyle w:val="41"/>
                    <w:jc w:val="center"/>
                    <w:rPr>
                      <w:color w:val="auto"/>
                      <w:sz w:val="21"/>
                      <w:szCs w:val="24"/>
                    </w:rPr>
                  </w:pPr>
                  <w:r>
                    <w:rPr>
                      <w:color w:val="auto"/>
                      <w:sz w:val="21"/>
                      <w:szCs w:val="24"/>
                    </w:rPr>
                    <w:t>44</w:t>
                  </w:r>
                </w:p>
              </w:tc>
              <w:tc>
                <w:tcPr>
                  <w:tcW w:w="475" w:type="pct"/>
                  <w:tcBorders>
                    <w:top w:val="single" w:color="auto" w:sz="4" w:space="0"/>
                    <w:left w:val="single" w:color="auto" w:sz="4" w:space="0"/>
                  </w:tcBorders>
                  <w:vAlign w:val="center"/>
                </w:tcPr>
                <w:p>
                  <w:pPr>
                    <w:pStyle w:val="41"/>
                    <w:jc w:val="center"/>
                    <w:rPr>
                      <w:color w:val="auto"/>
                      <w:sz w:val="21"/>
                      <w:szCs w:val="24"/>
                    </w:rPr>
                  </w:pPr>
                  <w:r>
                    <w:rPr>
                      <w:color w:val="auto"/>
                      <w:sz w:val="21"/>
                      <w:szCs w:val="24"/>
                    </w:rPr>
                    <w:t>41</w:t>
                  </w:r>
                </w:p>
              </w:tc>
            </w:tr>
          </w:tbl>
          <w:p>
            <w:pPr>
              <w:pStyle w:val="35"/>
              <w:spacing w:line="360" w:lineRule="auto"/>
              <w:ind w:firstLine="480"/>
              <w:rPr>
                <w:rFonts w:eastAsia="宋体"/>
                <w:color w:val="auto"/>
                <w:sz w:val="24"/>
              </w:rPr>
            </w:pPr>
            <w:r>
              <w:rPr>
                <w:rFonts w:eastAsia="宋体"/>
                <w:color w:val="auto"/>
                <w:sz w:val="24"/>
              </w:rPr>
              <w:t>对照《建筑施工场界环境噪声排放标准》（GB 12523-2011）标准，白天施工时，施工设备超标范围在50m以内，夜间施工影响范围为300m。</w:t>
            </w:r>
          </w:p>
          <w:p>
            <w:pPr>
              <w:pStyle w:val="35"/>
              <w:spacing w:line="360" w:lineRule="auto"/>
              <w:ind w:firstLine="482"/>
              <w:rPr>
                <w:rFonts w:eastAsia="宋体"/>
                <w:b/>
                <w:color w:val="auto"/>
                <w:sz w:val="24"/>
              </w:rPr>
            </w:pPr>
            <w:r>
              <w:rPr>
                <w:rFonts w:eastAsia="宋体"/>
                <w:b/>
                <w:color w:val="auto"/>
                <w:sz w:val="24"/>
              </w:rPr>
              <w:t>针对施工期噪声环境影响防治措施：</w:t>
            </w:r>
          </w:p>
          <w:p>
            <w:pPr>
              <w:pStyle w:val="35"/>
              <w:spacing w:line="360" w:lineRule="auto"/>
              <w:ind w:firstLine="480"/>
              <w:rPr>
                <w:rFonts w:eastAsia="宋体"/>
                <w:color w:val="auto"/>
                <w:sz w:val="24"/>
              </w:rPr>
            </w:pPr>
            <w:r>
              <w:rPr>
                <w:rFonts w:eastAsia="宋体"/>
                <w:color w:val="auto"/>
                <w:sz w:val="24"/>
              </w:rPr>
              <w:t>鉴于施工场地的开放性质及施工机械自身特点，不宜进行噪声防治，只能从声源上控制和靠距离、绿化等自然衰减，尽可能降低对周围环境的影响。施工期噪声控制主要措施有：</w:t>
            </w:r>
          </w:p>
          <w:p>
            <w:pPr>
              <w:pStyle w:val="35"/>
              <w:spacing w:line="360" w:lineRule="auto"/>
              <w:ind w:firstLine="480"/>
              <w:rPr>
                <w:rFonts w:eastAsia="宋体"/>
                <w:color w:val="auto"/>
                <w:sz w:val="24"/>
              </w:rPr>
            </w:pPr>
            <w:r>
              <w:rPr>
                <w:rFonts w:eastAsia="宋体"/>
                <w:color w:val="auto"/>
                <w:sz w:val="24"/>
              </w:rPr>
              <w:t xml:space="preserve">（1）加强施工管理，合理安排施工作业时间，避免在居民 </w:t>
            </w:r>
          </w:p>
          <w:p>
            <w:pPr>
              <w:pStyle w:val="35"/>
              <w:spacing w:line="360" w:lineRule="auto"/>
              <w:ind w:firstLine="480"/>
              <w:rPr>
                <w:rFonts w:eastAsia="宋体"/>
                <w:color w:val="auto"/>
                <w:sz w:val="24"/>
              </w:rPr>
            </w:pPr>
            <w:r>
              <w:rPr>
                <w:rFonts w:eastAsia="宋体"/>
                <w:color w:val="auto"/>
                <w:sz w:val="24"/>
              </w:rPr>
              <w:t>休息时（晚10:00-早6:00）施工。除特殊需要作业外(经生态环境局批准并公布)，禁止夜间以后进行产生环境噪声污染的施工。</w:t>
            </w:r>
          </w:p>
          <w:p>
            <w:pPr>
              <w:pStyle w:val="35"/>
              <w:spacing w:line="360" w:lineRule="auto"/>
              <w:ind w:firstLine="480"/>
              <w:rPr>
                <w:rFonts w:eastAsia="宋体"/>
                <w:color w:val="auto"/>
                <w:sz w:val="24"/>
              </w:rPr>
            </w:pPr>
            <w:r>
              <w:rPr>
                <w:rFonts w:eastAsia="宋体"/>
                <w:color w:val="auto"/>
                <w:sz w:val="24"/>
              </w:rPr>
              <w:t>（2）尽量采用低噪音施工设备和噪声低的施工方法，作业时在高噪声设备</w:t>
            </w:r>
          </w:p>
          <w:p>
            <w:pPr>
              <w:pStyle w:val="35"/>
              <w:spacing w:line="360" w:lineRule="auto"/>
              <w:ind w:firstLine="0" w:firstLineChars="0"/>
              <w:rPr>
                <w:rFonts w:eastAsia="宋体"/>
                <w:color w:val="auto"/>
                <w:sz w:val="24"/>
              </w:rPr>
            </w:pPr>
            <w:r>
              <w:rPr>
                <w:rFonts w:eastAsia="宋体"/>
                <w:color w:val="auto"/>
                <w:sz w:val="24"/>
              </w:rPr>
              <w:t>周围设置屏蔽；对施工设备进行合理布局，选择低噪声的机械设备。</w:t>
            </w:r>
          </w:p>
          <w:p>
            <w:pPr>
              <w:pStyle w:val="35"/>
              <w:spacing w:line="360" w:lineRule="auto"/>
              <w:ind w:firstLine="480"/>
              <w:rPr>
                <w:rFonts w:eastAsia="宋体"/>
                <w:color w:val="auto"/>
                <w:sz w:val="24"/>
              </w:rPr>
            </w:pPr>
            <w:r>
              <w:rPr>
                <w:rFonts w:eastAsia="宋体"/>
                <w:color w:val="auto"/>
                <w:sz w:val="24"/>
              </w:rPr>
              <w:t>（3）混凝土需要连续浇灌作业前，应做好各项准备工作，将搅拌机运行时间压到最低限度。</w:t>
            </w:r>
          </w:p>
          <w:p>
            <w:pPr>
              <w:pStyle w:val="35"/>
              <w:spacing w:line="360" w:lineRule="auto"/>
              <w:ind w:firstLine="480"/>
              <w:rPr>
                <w:rFonts w:eastAsia="宋体"/>
                <w:color w:val="auto"/>
                <w:sz w:val="24"/>
              </w:rPr>
            </w:pPr>
            <w:r>
              <w:rPr>
                <w:rFonts w:eastAsia="宋体"/>
                <w:color w:val="auto"/>
                <w:sz w:val="24"/>
              </w:rPr>
              <w:t>（4）施工车辆，特别是重型运载车辆的运行线路和时间，应尽量避开噪声敏感区和敏感时段。施工场地车辆出入地点应尽量远离敏感点，经过敏感地段必须限速、禁鸣。</w:t>
            </w:r>
          </w:p>
          <w:p>
            <w:pPr>
              <w:pStyle w:val="35"/>
              <w:spacing w:line="360" w:lineRule="auto"/>
              <w:ind w:firstLine="480"/>
              <w:rPr>
                <w:rFonts w:eastAsia="宋体"/>
                <w:color w:val="auto"/>
                <w:sz w:val="24"/>
              </w:rPr>
            </w:pPr>
            <w:r>
              <w:rPr>
                <w:rFonts w:eastAsia="宋体"/>
                <w:color w:val="auto"/>
                <w:sz w:val="24"/>
              </w:rPr>
              <w:t>（5）加强对施工人员的环境宣传和教育，使他们认真落实各项降噪措施，做到文明施工。在保证施工质量的前提下，加快施工进度，尽量缩短施工期。</w:t>
            </w:r>
          </w:p>
          <w:p>
            <w:pPr>
              <w:pStyle w:val="35"/>
              <w:spacing w:line="360" w:lineRule="auto"/>
              <w:ind w:firstLine="480"/>
              <w:rPr>
                <w:rFonts w:eastAsia="宋体"/>
                <w:color w:val="auto"/>
                <w:sz w:val="24"/>
              </w:rPr>
            </w:pPr>
            <w:r>
              <w:rPr>
                <w:rFonts w:eastAsia="宋体"/>
                <w:color w:val="auto"/>
                <w:sz w:val="24"/>
              </w:rPr>
              <w:t>（6）对周围居民点的防治：</w:t>
            </w:r>
          </w:p>
          <w:p>
            <w:pPr>
              <w:pStyle w:val="35"/>
              <w:spacing w:line="360" w:lineRule="auto"/>
              <w:ind w:firstLine="480"/>
              <w:rPr>
                <w:rFonts w:eastAsia="宋体"/>
                <w:color w:val="auto"/>
                <w:sz w:val="24"/>
              </w:rPr>
            </w:pPr>
            <w:r>
              <w:rPr>
                <w:rFonts w:eastAsia="宋体"/>
                <w:color w:val="auto"/>
                <w:sz w:val="24"/>
              </w:rPr>
              <w:t>①建设项目施工前，应通过张贴告示、标识牌的形式提前告知周围敏感保护目标具体的施工时间、施工进度、施工计划等内容，取得周围居民的谅解。</w:t>
            </w:r>
          </w:p>
          <w:p>
            <w:pPr>
              <w:pStyle w:val="35"/>
              <w:spacing w:line="360" w:lineRule="auto"/>
              <w:ind w:firstLine="480"/>
              <w:rPr>
                <w:rFonts w:eastAsia="宋体"/>
                <w:color w:val="auto"/>
                <w:sz w:val="24"/>
              </w:rPr>
            </w:pPr>
            <w:r>
              <w:rPr>
                <w:rFonts w:eastAsia="宋体"/>
                <w:color w:val="auto"/>
                <w:sz w:val="24"/>
              </w:rPr>
              <w:t>②合理安排施工进度和作业时间，主要噪声设备应采取相应的限时作业。</w:t>
            </w:r>
          </w:p>
          <w:p>
            <w:pPr>
              <w:pStyle w:val="35"/>
              <w:spacing w:line="360" w:lineRule="auto"/>
              <w:ind w:firstLine="480"/>
              <w:rPr>
                <w:rFonts w:eastAsia="宋体"/>
                <w:color w:val="auto"/>
                <w:sz w:val="24"/>
              </w:rPr>
            </w:pPr>
            <w:r>
              <w:rPr>
                <w:rFonts w:eastAsia="宋体"/>
                <w:color w:val="auto"/>
                <w:sz w:val="24"/>
              </w:rPr>
              <w:t>③土石方阶段不得使用传统的锤击打桩工艺，应采取新型的打桩工艺，如钻孔灌注桩等，尽可能地减少振动对周围环境的影响。</w:t>
            </w:r>
          </w:p>
          <w:p>
            <w:pPr>
              <w:pStyle w:val="35"/>
              <w:spacing w:line="360" w:lineRule="auto"/>
              <w:ind w:firstLine="480"/>
              <w:rPr>
                <w:rFonts w:eastAsia="宋体"/>
                <w:color w:val="auto"/>
                <w:sz w:val="24"/>
              </w:rPr>
            </w:pPr>
            <w:r>
              <w:rPr>
                <w:rFonts w:eastAsia="宋体"/>
                <w:color w:val="auto"/>
                <w:sz w:val="24"/>
              </w:rPr>
              <w:t>④施工及来往运输车辆应尽量远离厂界，必须减速慢行，并禁止鸣笛。</w:t>
            </w:r>
          </w:p>
          <w:p>
            <w:pPr>
              <w:pStyle w:val="35"/>
              <w:spacing w:line="360" w:lineRule="auto"/>
              <w:ind w:firstLine="480"/>
              <w:rPr>
                <w:rFonts w:eastAsia="宋体"/>
                <w:color w:val="auto"/>
                <w:sz w:val="24"/>
              </w:rPr>
            </w:pPr>
            <w:r>
              <w:rPr>
                <w:rFonts w:eastAsia="宋体"/>
                <w:color w:val="auto"/>
                <w:sz w:val="24"/>
              </w:rPr>
              <w:t>本项目施工期间噪声产生的影响随着施工的结束消失。</w:t>
            </w:r>
          </w:p>
          <w:p>
            <w:pPr>
              <w:pStyle w:val="36"/>
              <w:spacing w:line="360" w:lineRule="auto"/>
              <w:ind w:firstLine="482"/>
              <w:rPr>
                <w:rFonts w:eastAsia="宋体"/>
                <w:b/>
                <w:color w:val="auto"/>
              </w:rPr>
            </w:pPr>
            <w:r>
              <w:rPr>
                <w:rFonts w:eastAsia="宋体"/>
                <w:b/>
                <w:color w:val="auto"/>
              </w:rPr>
              <w:t>4、固体废物影响分析</w:t>
            </w:r>
          </w:p>
          <w:p>
            <w:pPr>
              <w:pStyle w:val="35"/>
              <w:spacing w:line="360" w:lineRule="auto"/>
              <w:ind w:firstLine="480"/>
              <w:rPr>
                <w:rFonts w:eastAsia="宋体"/>
                <w:color w:val="auto"/>
                <w:sz w:val="24"/>
              </w:rPr>
            </w:pPr>
            <w:r>
              <w:rPr>
                <w:rFonts w:eastAsia="宋体"/>
                <w:color w:val="auto"/>
                <w:sz w:val="24"/>
              </w:rPr>
              <w:t>项目建设期主要固废为建筑垃圾及生活垃圾。</w:t>
            </w:r>
          </w:p>
          <w:p>
            <w:pPr>
              <w:pStyle w:val="36"/>
              <w:spacing w:line="360" w:lineRule="auto"/>
              <w:ind w:firstLine="482"/>
              <w:rPr>
                <w:rFonts w:eastAsia="宋体"/>
                <w:b/>
                <w:color w:val="auto"/>
              </w:rPr>
            </w:pPr>
            <w:r>
              <w:rPr>
                <w:rFonts w:eastAsia="宋体"/>
                <w:b/>
                <w:color w:val="auto"/>
              </w:rPr>
              <w:t>（1）建筑垃圾</w:t>
            </w:r>
          </w:p>
          <w:p>
            <w:pPr>
              <w:pStyle w:val="35"/>
              <w:spacing w:line="360" w:lineRule="auto"/>
              <w:ind w:firstLine="480"/>
              <w:rPr>
                <w:rFonts w:eastAsia="宋体"/>
                <w:color w:val="auto"/>
                <w:sz w:val="24"/>
              </w:rPr>
            </w:pPr>
            <w:r>
              <w:rPr>
                <w:rFonts w:eastAsia="宋体"/>
                <w:color w:val="auto"/>
                <w:sz w:val="24"/>
              </w:rPr>
              <w:t>施工期间将涉及地基开挖、管道敷设、材料运输、基础工程、房屋建筑等工程，在此期间将有一定数量的废弃建筑材料，如砂石、石灰、混凝土、废砖、土石方、损坏的建筑模板以及碎木料等。</w:t>
            </w:r>
          </w:p>
          <w:p>
            <w:pPr>
              <w:pStyle w:val="36"/>
              <w:spacing w:line="360" w:lineRule="auto"/>
              <w:ind w:firstLine="482"/>
              <w:rPr>
                <w:rFonts w:eastAsia="宋体"/>
                <w:b/>
                <w:color w:val="auto"/>
              </w:rPr>
            </w:pPr>
            <w:r>
              <w:rPr>
                <w:rFonts w:eastAsia="宋体"/>
                <w:b/>
                <w:color w:val="auto"/>
              </w:rPr>
              <w:t>（2）生活垃圾</w:t>
            </w:r>
          </w:p>
          <w:p>
            <w:pPr>
              <w:pStyle w:val="35"/>
              <w:spacing w:line="360" w:lineRule="auto"/>
              <w:ind w:firstLine="480"/>
              <w:rPr>
                <w:rFonts w:eastAsia="宋体"/>
                <w:color w:val="auto"/>
                <w:sz w:val="24"/>
              </w:rPr>
            </w:pPr>
            <w:r>
              <w:rPr>
                <w:rFonts w:eastAsia="宋体"/>
                <w:color w:val="auto"/>
                <w:sz w:val="24"/>
              </w:rPr>
              <w:t>因该项目施工历时较长，工程量较多，前后必然要有大量的施工人员生活在施工现场，其日常生活将产生一定数量的生活垃圾。</w:t>
            </w:r>
          </w:p>
          <w:p>
            <w:pPr>
              <w:pStyle w:val="35"/>
              <w:spacing w:line="360" w:lineRule="auto"/>
              <w:ind w:firstLine="480"/>
              <w:rPr>
                <w:rFonts w:eastAsia="宋体"/>
                <w:color w:val="auto"/>
                <w:sz w:val="24"/>
              </w:rPr>
            </w:pPr>
            <w:r>
              <w:rPr>
                <w:rFonts w:eastAsia="宋体"/>
                <w:color w:val="auto"/>
                <w:sz w:val="24"/>
              </w:rPr>
              <w:t>上述建筑垃圾和生活垃圾若不及时清运处理、将对环境产生不良影响。</w:t>
            </w:r>
          </w:p>
          <w:p>
            <w:pPr>
              <w:pStyle w:val="35"/>
              <w:spacing w:line="360" w:lineRule="auto"/>
              <w:ind w:firstLine="482"/>
              <w:rPr>
                <w:rFonts w:eastAsia="宋体"/>
                <w:b/>
                <w:color w:val="auto"/>
                <w:sz w:val="24"/>
              </w:rPr>
            </w:pPr>
            <w:r>
              <w:rPr>
                <w:rFonts w:eastAsia="宋体"/>
                <w:b/>
                <w:color w:val="auto"/>
                <w:sz w:val="24"/>
              </w:rPr>
              <w:t>针对施工期固废环境影响防治措施：</w:t>
            </w:r>
          </w:p>
          <w:p>
            <w:pPr>
              <w:pStyle w:val="35"/>
              <w:spacing w:line="360" w:lineRule="auto"/>
              <w:ind w:firstLine="480"/>
              <w:rPr>
                <w:rFonts w:eastAsia="宋体"/>
                <w:color w:val="auto"/>
                <w:sz w:val="24"/>
              </w:rPr>
            </w:pPr>
            <w:r>
              <w:rPr>
                <w:rFonts w:eastAsia="宋体"/>
                <w:color w:val="auto"/>
                <w:sz w:val="24"/>
              </w:rPr>
              <w:t>（1）施工上，要尽量取得土石工程的平衡，减少弃土，做好各项排水、截水、防止水土流失的设计。</w:t>
            </w:r>
          </w:p>
          <w:p>
            <w:pPr>
              <w:pStyle w:val="35"/>
              <w:spacing w:line="360" w:lineRule="auto"/>
              <w:ind w:firstLine="480"/>
              <w:rPr>
                <w:rFonts w:eastAsia="宋体"/>
                <w:color w:val="auto"/>
                <w:sz w:val="24"/>
              </w:rPr>
            </w:pPr>
            <w:r>
              <w:rPr>
                <w:rFonts w:eastAsia="宋体"/>
                <w:color w:val="auto"/>
                <w:sz w:val="24"/>
              </w:rPr>
              <w:t>（2）在施工中，应合理安排施工计划、施工程序，协调好各个施工步骤，雨季中尽量减少开挖面，并争取土料随挖随运，减少堆土裸土的暴露时间，以避免受降雨的直接冲刷，在暴雨期，还应将弃土中土质相对较好的表层热土部分用于道路绿化耕植土及临时用地的复垦，路基工程剥离的表土堆放在临时堆土场，建议最大对高控制在2.5m以内，坡比控制在1：1以内；四面坡脚均采用装土编织袋挡墙进行临时性防护，对于土堆裸露的顶面和坡面，需要进行压实或拍实处理，并种植绿植以保持养分并固着土壤颗粒。</w:t>
            </w:r>
          </w:p>
          <w:p>
            <w:pPr>
              <w:pStyle w:val="35"/>
              <w:spacing w:line="360" w:lineRule="auto"/>
              <w:ind w:firstLine="480"/>
              <w:rPr>
                <w:rFonts w:eastAsia="宋体"/>
                <w:color w:val="auto"/>
                <w:sz w:val="24"/>
              </w:rPr>
            </w:pPr>
            <w:r>
              <w:rPr>
                <w:rFonts w:eastAsia="宋体"/>
                <w:color w:val="auto"/>
                <w:sz w:val="24"/>
              </w:rPr>
              <w:t>（3）在施工场地，争取做到土料随填随压，不留松土。同时，要开边沟，边坡要用石块铺砌，填土场的上游要设置导流沟，防止上游的径流通过，填土作业尽量集中和避开雨季。</w:t>
            </w:r>
          </w:p>
          <w:p>
            <w:pPr>
              <w:pStyle w:val="35"/>
              <w:spacing w:line="360" w:lineRule="auto"/>
              <w:ind w:firstLine="480"/>
              <w:rPr>
                <w:rFonts w:eastAsia="宋体"/>
                <w:color w:val="auto"/>
                <w:sz w:val="24"/>
              </w:rPr>
            </w:pPr>
            <w:r>
              <w:rPr>
                <w:rFonts w:eastAsia="宋体"/>
                <w:color w:val="auto"/>
                <w:sz w:val="24"/>
              </w:rPr>
              <w:t>（4）施工人员生活垃圾交由当地环卫部门统一收集处理。</w:t>
            </w:r>
          </w:p>
          <w:p>
            <w:pPr>
              <w:wordWrap w:val="0"/>
              <w:spacing w:line="360" w:lineRule="auto"/>
              <w:ind w:firstLine="480" w:firstLineChars="200"/>
              <w:rPr>
                <w:color w:val="auto"/>
                <w:sz w:val="24"/>
              </w:rPr>
            </w:pPr>
            <w:r>
              <w:rPr>
                <w:color w:val="auto"/>
                <w:sz w:val="24"/>
              </w:rPr>
              <w:t>（5）对建设中不需要用水泥覆盖的地面进行绿化，要强调边施工边绿化的原则，实现绿化与总体工程同时规划设计、同时施工、同时达标验收使用。</w:t>
            </w:r>
          </w:p>
          <w:p>
            <w:pPr>
              <w:wordWrap w:val="0"/>
              <w:spacing w:line="360" w:lineRule="auto"/>
              <w:ind w:firstLine="482" w:firstLineChars="200"/>
              <w:rPr>
                <w:color w:val="auto"/>
                <w:sz w:val="24"/>
              </w:rPr>
            </w:pPr>
            <w:r>
              <w:rPr>
                <w:b/>
                <w:bCs/>
                <w:color w:val="auto"/>
                <w:sz w:val="24"/>
              </w:rPr>
              <w:t>5、振动影响分析</w:t>
            </w:r>
          </w:p>
          <w:p>
            <w:pPr>
              <w:wordWrap w:val="0"/>
              <w:spacing w:line="360" w:lineRule="auto"/>
              <w:ind w:firstLine="480" w:firstLineChars="200"/>
              <w:rPr>
                <w:color w:val="auto"/>
                <w:sz w:val="24"/>
              </w:rPr>
            </w:pPr>
            <w:r>
              <w:rPr>
                <w:color w:val="auto"/>
                <w:sz w:val="24"/>
              </w:rPr>
              <w:t>施工过程中，构筑地面建筑物的打桩工序会产生振动影响，使原先处于平衡状态下的土体平衡被破坏，对周围邻近建筑物带来不利影响。</w:t>
            </w:r>
          </w:p>
          <w:p>
            <w:pPr>
              <w:wordWrap w:val="0"/>
              <w:spacing w:line="360" w:lineRule="auto"/>
              <w:ind w:firstLine="480" w:firstLineChars="200"/>
              <w:rPr>
                <w:color w:val="auto"/>
                <w:sz w:val="24"/>
              </w:rPr>
            </w:pPr>
            <w:r>
              <w:rPr>
                <w:color w:val="auto"/>
                <w:sz w:val="24"/>
              </w:rPr>
              <w:t>通过查阅相关资料，本环评对施工期产生的振动影响提出以下建议：</w:t>
            </w:r>
          </w:p>
          <w:p>
            <w:pPr>
              <w:wordWrap w:val="0"/>
              <w:spacing w:line="360" w:lineRule="auto"/>
              <w:ind w:firstLine="480" w:firstLineChars="200"/>
              <w:rPr>
                <w:color w:val="auto"/>
                <w:sz w:val="24"/>
              </w:rPr>
            </w:pPr>
            <w:r>
              <w:rPr>
                <w:color w:val="auto"/>
                <w:sz w:val="24"/>
              </w:rPr>
              <w:t>（1）采用预钻孔打桩工艺、采用钻孔砂桩释放应力、合理安排沉桩顺序、控制沉桩速率、开挖防震沟等。</w:t>
            </w:r>
          </w:p>
          <w:p>
            <w:pPr>
              <w:wordWrap w:val="0"/>
              <w:spacing w:line="360" w:lineRule="auto"/>
              <w:ind w:firstLine="480" w:firstLineChars="200"/>
              <w:rPr>
                <w:color w:val="auto"/>
                <w:sz w:val="24"/>
              </w:rPr>
            </w:pPr>
            <w:r>
              <w:rPr>
                <w:color w:val="auto"/>
                <w:sz w:val="24"/>
              </w:rPr>
              <w:t>（2）合理安排施工时段。施工期严禁夜间施工。</w:t>
            </w:r>
          </w:p>
          <w:p>
            <w:pPr>
              <w:wordWrap w:val="0"/>
              <w:spacing w:line="360" w:lineRule="auto"/>
              <w:ind w:firstLine="480" w:firstLineChars="200"/>
              <w:rPr>
                <w:color w:val="auto"/>
                <w:sz w:val="24"/>
              </w:rPr>
            </w:pPr>
          </w:p>
        </w:tc>
      </w:tr>
    </w:tbl>
    <w:p>
      <w:pPr>
        <w:rPr>
          <w:b/>
          <w:bCs/>
          <w:snapToGrid w:val="0"/>
          <w:color w:val="auto"/>
          <w:sz w:val="30"/>
          <w:szCs w:val="30"/>
        </w:rPr>
        <w:sectPr>
          <w:pgSz w:w="11905" w:h="16838"/>
          <w:pgMar w:top="1440" w:right="1080" w:bottom="1440" w:left="1080" w:header="851" w:footer="850" w:gutter="0"/>
          <w:pgBorders>
            <w:top w:val="none" w:sz="0" w:space="0"/>
            <w:left w:val="none" w:sz="0" w:space="0"/>
            <w:bottom w:val="none" w:sz="0" w:space="0"/>
            <w:right w:val="none" w:sz="0" w:space="0"/>
          </w:pgBorders>
          <w:pgNumType w:start="1"/>
          <w:cols w:space="720" w:num="1"/>
          <w:titlePg/>
          <w:docGrid w:linePitch="312" w:charSpace="0"/>
        </w:sectPr>
      </w:pPr>
    </w:p>
    <w:tbl>
      <w:tblPr>
        <w:tblStyle w:val="20"/>
        <w:tblW w:w="1450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79"/>
        <w:gridCol w:w="1392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10" w:hRule="atLeast"/>
          <w:jc w:val="center"/>
        </w:trPr>
        <w:tc>
          <w:tcPr>
            <w:tcW w:w="579" w:type="dxa"/>
            <w:tcMar>
              <w:left w:w="28" w:type="dxa"/>
              <w:right w:w="28" w:type="dxa"/>
            </w:tcMar>
            <w:vAlign w:val="center"/>
          </w:tcPr>
          <w:p>
            <w:pPr>
              <w:wordWrap w:val="0"/>
              <w:adjustRightInd w:val="0"/>
              <w:snapToGrid w:val="0"/>
              <w:jc w:val="center"/>
              <w:rPr>
                <w:b/>
                <w:color w:val="auto"/>
                <w:sz w:val="24"/>
              </w:rPr>
            </w:pPr>
            <w:bookmarkStart w:id="37" w:name="_Hlk65755066"/>
            <w:bookmarkStart w:id="38" w:name="_Hlk65754992"/>
            <w:r>
              <w:rPr>
                <w:b/>
                <w:color w:val="auto"/>
                <w:sz w:val="24"/>
              </w:rPr>
              <w:t>运营</w:t>
            </w:r>
          </w:p>
          <w:p>
            <w:pPr>
              <w:wordWrap w:val="0"/>
              <w:adjustRightInd w:val="0"/>
              <w:snapToGrid w:val="0"/>
              <w:jc w:val="center"/>
              <w:rPr>
                <w:b/>
                <w:color w:val="auto"/>
                <w:sz w:val="24"/>
              </w:rPr>
            </w:pPr>
            <w:r>
              <w:rPr>
                <w:b/>
                <w:color w:val="auto"/>
                <w:sz w:val="24"/>
              </w:rPr>
              <w:t>期环</w:t>
            </w:r>
          </w:p>
          <w:p>
            <w:pPr>
              <w:wordWrap w:val="0"/>
              <w:adjustRightInd w:val="0"/>
              <w:snapToGrid w:val="0"/>
              <w:jc w:val="center"/>
              <w:rPr>
                <w:b/>
                <w:color w:val="auto"/>
                <w:sz w:val="24"/>
              </w:rPr>
            </w:pPr>
            <w:r>
              <w:rPr>
                <w:b/>
                <w:color w:val="auto"/>
                <w:sz w:val="24"/>
              </w:rPr>
              <w:t>境影</w:t>
            </w:r>
          </w:p>
          <w:p>
            <w:pPr>
              <w:wordWrap w:val="0"/>
              <w:adjustRightInd w:val="0"/>
              <w:snapToGrid w:val="0"/>
              <w:jc w:val="center"/>
              <w:rPr>
                <w:b/>
                <w:color w:val="auto"/>
                <w:sz w:val="24"/>
              </w:rPr>
            </w:pPr>
            <w:r>
              <w:rPr>
                <w:b/>
                <w:color w:val="auto"/>
                <w:sz w:val="24"/>
              </w:rPr>
              <w:t>响和</w:t>
            </w:r>
          </w:p>
          <w:p>
            <w:pPr>
              <w:wordWrap w:val="0"/>
              <w:adjustRightInd w:val="0"/>
              <w:snapToGrid w:val="0"/>
              <w:jc w:val="center"/>
              <w:rPr>
                <w:b/>
                <w:color w:val="auto"/>
                <w:sz w:val="24"/>
              </w:rPr>
            </w:pPr>
            <w:r>
              <w:rPr>
                <w:b/>
                <w:color w:val="auto"/>
                <w:sz w:val="24"/>
              </w:rPr>
              <w:t>保护</w:t>
            </w:r>
          </w:p>
          <w:p>
            <w:pPr>
              <w:wordWrap w:val="0"/>
              <w:adjustRightInd w:val="0"/>
              <w:snapToGrid w:val="0"/>
              <w:jc w:val="center"/>
              <w:rPr>
                <w:bCs/>
                <w:color w:val="auto"/>
                <w:szCs w:val="21"/>
              </w:rPr>
            </w:pPr>
            <w:r>
              <w:rPr>
                <w:b/>
                <w:color w:val="auto"/>
                <w:sz w:val="24"/>
              </w:rPr>
              <w:t>措施</w:t>
            </w:r>
          </w:p>
        </w:tc>
        <w:tc>
          <w:tcPr>
            <w:tcW w:w="13925" w:type="dxa"/>
            <w:vAlign w:val="center"/>
          </w:tcPr>
          <w:p>
            <w:pPr>
              <w:pStyle w:val="42"/>
              <w:wordWrap w:val="0"/>
              <w:adjustRightInd w:val="0"/>
              <w:snapToGrid w:val="0"/>
              <w:spacing w:line="360" w:lineRule="auto"/>
              <w:ind w:firstLine="482"/>
              <w:rPr>
                <w:b/>
                <w:bCs/>
                <w:color w:val="auto"/>
                <w:sz w:val="24"/>
              </w:rPr>
            </w:pPr>
            <w:r>
              <w:rPr>
                <w:b/>
                <w:bCs/>
                <w:color w:val="auto"/>
                <w:sz w:val="24"/>
              </w:rPr>
              <w:t>1、废气</w:t>
            </w:r>
          </w:p>
          <w:p>
            <w:pPr>
              <w:pStyle w:val="42"/>
              <w:wordWrap w:val="0"/>
              <w:adjustRightInd w:val="0"/>
              <w:snapToGrid w:val="0"/>
              <w:spacing w:line="360" w:lineRule="auto"/>
              <w:ind w:firstLine="482"/>
              <w:rPr>
                <w:b/>
                <w:bCs/>
                <w:color w:val="auto"/>
                <w:sz w:val="24"/>
              </w:rPr>
            </w:pPr>
            <w:r>
              <w:rPr>
                <w:b/>
                <w:bCs/>
                <w:color w:val="auto"/>
                <w:sz w:val="24"/>
              </w:rPr>
              <w:t>1.1废气产生环节及源强分析</w:t>
            </w:r>
          </w:p>
          <w:p>
            <w:pPr>
              <w:pStyle w:val="42"/>
              <w:wordWrap w:val="0"/>
              <w:adjustRightInd w:val="0"/>
              <w:snapToGrid w:val="0"/>
              <w:spacing w:line="360" w:lineRule="auto"/>
              <w:ind w:firstLine="480"/>
              <w:rPr>
                <w:color w:val="auto"/>
                <w:sz w:val="24"/>
                <w:highlight w:val="green"/>
              </w:rPr>
            </w:pPr>
            <w:r>
              <w:rPr>
                <w:color w:val="auto"/>
                <w:sz w:val="24"/>
              </w:rPr>
              <w:t>本项目生产过程产生的废气主要为切割废气G1、焊接废气（G2、G3）、打磨废气G4、抛丸废气G5、调漆废气G6、喷漆废气G7、晾干废气G8</w:t>
            </w:r>
            <w:r>
              <w:rPr>
                <w:rFonts w:hint="eastAsia"/>
                <w:color w:val="auto"/>
                <w:sz w:val="24"/>
                <w:lang w:eastAsia="zh-CN"/>
              </w:rPr>
              <w:t>、危废库废气</w:t>
            </w:r>
            <w:r>
              <w:rPr>
                <w:rFonts w:hint="eastAsia"/>
                <w:color w:val="auto"/>
                <w:sz w:val="24"/>
                <w:lang w:val="en-US" w:eastAsia="zh-CN"/>
              </w:rPr>
              <w:t>G9</w:t>
            </w:r>
            <w:r>
              <w:rPr>
                <w:color w:val="auto"/>
                <w:sz w:val="24"/>
              </w:rPr>
              <w:t>及相应的无组织废气。具体排放限值见表3.3-2~4。废气污染源源强核算结果及相关参数见表4.2-1，项目有组织废气源强核算结果及相关参数见表4.2-2，项目无组织废气源强核算结果及相关参数见表4.2-3，废气收集、治理措施及排放情况见表 4.2-4，建设项目废气排放口基本情况见表 4.2-5。</w:t>
            </w:r>
          </w:p>
          <w:p>
            <w:pPr>
              <w:wordWrap w:val="0"/>
              <w:spacing w:before="120" w:beforeLines="50" w:line="360" w:lineRule="auto"/>
              <w:jc w:val="center"/>
              <w:rPr>
                <w:b/>
                <w:bCs/>
                <w:color w:val="auto"/>
              </w:rPr>
            </w:pPr>
            <w:r>
              <w:rPr>
                <w:b/>
                <w:bCs/>
                <w:color w:val="auto"/>
              </w:rPr>
              <w:t>表4.2-1 建设项目废气污染源源强核算结果及相关参数一览表</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636"/>
              <w:gridCol w:w="1160"/>
              <w:gridCol w:w="902"/>
              <w:gridCol w:w="652"/>
              <w:gridCol w:w="787"/>
              <w:gridCol w:w="984"/>
              <w:gridCol w:w="836"/>
              <w:gridCol w:w="1086"/>
              <w:gridCol w:w="954"/>
              <w:gridCol w:w="927"/>
              <w:gridCol w:w="787"/>
              <w:gridCol w:w="861"/>
              <w:gridCol w:w="903"/>
              <w:gridCol w:w="901"/>
              <w:gridCol w:w="6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50" w:type="pct"/>
                  <w:vMerge w:val="restart"/>
                  <w:tcBorders>
                    <w:tl2br w:val="nil"/>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b/>
                      <w:bCs w:val="0"/>
                      <w:color w:val="auto"/>
                      <w:kern w:val="0"/>
                      <w:szCs w:val="21"/>
                    </w:rPr>
                  </w:pPr>
                  <w:r>
                    <w:rPr>
                      <w:b/>
                      <w:bCs w:val="0"/>
                      <w:color w:val="auto"/>
                      <w:kern w:val="0"/>
                      <w:szCs w:val="21"/>
                    </w:rPr>
                    <w:t>工序/生产线</w:t>
                  </w:r>
                </w:p>
              </w:tc>
              <w:tc>
                <w:tcPr>
                  <w:tcW w:w="232"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b/>
                      <w:bCs w:val="0"/>
                      <w:color w:val="auto"/>
                      <w:kern w:val="0"/>
                      <w:szCs w:val="21"/>
                    </w:rPr>
                  </w:pPr>
                  <w:r>
                    <w:rPr>
                      <w:b/>
                      <w:bCs w:val="0"/>
                      <w:color w:val="auto"/>
                      <w:kern w:val="0"/>
                      <w:szCs w:val="21"/>
                    </w:rPr>
                    <w:t>生产设施</w:t>
                  </w:r>
                </w:p>
              </w:tc>
              <w:tc>
                <w:tcPr>
                  <w:tcW w:w="423"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b/>
                      <w:bCs w:val="0"/>
                      <w:color w:val="auto"/>
                      <w:kern w:val="0"/>
                      <w:szCs w:val="21"/>
                    </w:rPr>
                  </w:pPr>
                  <w:r>
                    <w:rPr>
                      <w:b/>
                      <w:bCs w:val="0"/>
                      <w:color w:val="auto"/>
                      <w:kern w:val="0"/>
                      <w:szCs w:val="21"/>
                    </w:rPr>
                    <w:t>污染源</w:t>
                  </w:r>
                </w:p>
              </w:tc>
              <w:tc>
                <w:tcPr>
                  <w:tcW w:w="329"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b/>
                      <w:bCs w:val="0"/>
                      <w:color w:val="auto"/>
                      <w:kern w:val="0"/>
                      <w:szCs w:val="21"/>
                    </w:rPr>
                  </w:pPr>
                  <w:r>
                    <w:rPr>
                      <w:b/>
                      <w:bCs w:val="0"/>
                      <w:color w:val="auto"/>
                      <w:kern w:val="0"/>
                      <w:szCs w:val="21"/>
                    </w:rPr>
                    <w:t>污染物</w:t>
                  </w:r>
                </w:p>
              </w:tc>
              <w:tc>
                <w:tcPr>
                  <w:tcW w:w="1585" w:type="pct"/>
                  <w:gridSpan w:val="5"/>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b/>
                      <w:bCs w:val="0"/>
                      <w:color w:val="auto"/>
                      <w:kern w:val="0"/>
                      <w:szCs w:val="21"/>
                    </w:rPr>
                  </w:pPr>
                  <w:r>
                    <w:rPr>
                      <w:b/>
                      <w:bCs w:val="0"/>
                      <w:color w:val="auto"/>
                      <w:kern w:val="0"/>
                      <w:szCs w:val="21"/>
                    </w:rPr>
                    <w:t>污染物产生</w:t>
                  </w:r>
                </w:p>
              </w:tc>
              <w:tc>
                <w:tcPr>
                  <w:tcW w:w="686" w:type="pct"/>
                  <w:gridSpan w:val="2"/>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b/>
                      <w:bCs w:val="0"/>
                      <w:color w:val="auto"/>
                      <w:kern w:val="0"/>
                      <w:szCs w:val="21"/>
                    </w:rPr>
                  </w:pPr>
                  <w:r>
                    <w:rPr>
                      <w:b/>
                      <w:bCs w:val="0"/>
                      <w:color w:val="auto"/>
                      <w:kern w:val="0"/>
                      <w:szCs w:val="21"/>
                    </w:rPr>
                    <w:t>治理措施</w:t>
                  </w:r>
                </w:p>
              </w:tc>
              <w:tc>
                <w:tcPr>
                  <w:tcW w:w="1259" w:type="pct"/>
                  <w:gridSpan w:val="4"/>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b/>
                      <w:bCs w:val="0"/>
                      <w:color w:val="auto"/>
                      <w:kern w:val="0"/>
                      <w:szCs w:val="21"/>
                    </w:rPr>
                  </w:pPr>
                  <w:r>
                    <w:rPr>
                      <w:b/>
                      <w:bCs w:val="0"/>
                      <w:color w:val="auto"/>
                      <w:kern w:val="0"/>
                      <w:szCs w:val="21"/>
                    </w:rPr>
                    <w:t>污染物排放</w:t>
                  </w:r>
                </w:p>
              </w:tc>
              <w:tc>
                <w:tcPr>
                  <w:tcW w:w="232"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b/>
                      <w:bCs w:val="0"/>
                      <w:color w:val="auto"/>
                      <w:kern w:val="0"/>
                      <w:szCs w:val="21"/>
                    </w:rPr>
                  </w:pPr>
                  <w:r>
                    <w:rPr>
                      <w:b/>
                      <w:bCs w:val="0"/>
                      <w:color w:val="auto"/>
                      <w:kern w:val="0"/>
                      <w:szCs w:val="21"/>
                    </w:rPr>
                    <w:t>年排放时间/h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0"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b/>
                      <w:bCs w:val="0"/>
                      <w:color w:val="auto"/>
                      <w:kern w:val="0"/>
                      <w:szCs w:val="21"/>
                    </w:rPr>
                  </w:pPr>
                </w:p>
              </w:tc>
              <w:tc>
                <w:tcPr>
                  <w:tcW w:w="232"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b/>
                      <w:bCs w:val="0"/>
                      <w:color w:val="auto"/>
                      <w:kern w:val="0"/>
                      <w:szCs w:val="21"/>
                    </w:rPr>
                  </w:pPr>
                </w:p>
              </w:tc>
              <w:tc>
                <w:tcPr>
                  <w:tcW w:w="423"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b/>
                      <w:bCs w:val="0"/>
                      <w:color w:val="auto"/>
                      <w:kern w:val="0"/>
                      <w:szCs w:val="21"/>
                    </w:rPr>
                  </w:pPr>
                </w:p>
              </w:tc>
              <w:tc>
                <w:tcPr>
                  <w:tcW w:w="329"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b/>
                      <w:bCs w:val="0"/>
                      <w:color w:val="auto"/>
                      <w:kern w:val="0"/>
                      <w:szCs w:val="21"/>
                    </w:rPr>
                  </w:pPr>
                </w:p>
              </w:tc>
              <w:tc>
                <w:tcPr>
                  <w:tcW w:w="237"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b/>
                      <w:bCs w:val="0"/>
                      <w:color w:val="auto"/>
                      <w:kern w:val="0"/>
                      <w:szCs w:val="21"/>
                    </w:rPr>
                  </w:pPr>
                  <w:r>
                    <w:rPr>
                      <w:b/>
                      <w:bCs w:val="0"/>
                      <w:color w:val="auto"/>
                      <w:kern w:val="0"/>
                      <w:szCs w:val="21"/>
                    </w:rPr>
                    <w:t>核算方法</w:t>
                  </w:r>
                </w:p>
              </w:tc>
              <w:tc>
                <w:tcPr>
                  <w:tcW w:w="287"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b/>
                      <w:bCs w:val="0"/>
                      <w:color w:val="auto"/>
                      <w:kern w:val="0"/>
                      <w:szCs w:val="21"/>
                    </w:rPr>
                  </w:pPr>
                  <w:r>
                    <w:rPr>
                      <w:b/>
                      <w:bCs w:val="0"/>
                      <w:color w:val="auto"/>
                      <w:kern w:val="0"/>
                      <w:szCs w:val="21"/>
                    </w:rPr>
                    <w:t>废气产生量m</w:t>
                  </w:r>
                  <w:r>
                    <w:rPr>
                      <w:b/>
                      <w:bCs w:val="0"/>
                      <w:color w:val="auto"/>
                      <w:kern w:val="0"/>
                      <w:szCs w:val="21"/>
                      <w:vertAlign w:val="superscript"/>
                    </w:rPr>
                    <w:t>3</w:t>
                  </w:r>
                  <w:r>
                    <w:rPr>
                      <w:b/>
                      <w:bCs w:val="0"/>
                      <w:color w:val="auto"/>
                      <w:kern w:val="0"/>
                      <w:szCs w:val="21"/>
                    </w:rPr>
                    <w:t>/h</w:t>
                  </w:r>
                </w:p>
              </w:tc>
              <w:tc>
                <w:tcPr>
                  <w:tcW w:w="359"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b/>
                      <w:bCs w:val="0"/>
                      <w:color w:val="auto"/>
                      <w:kern w:val="0"/>
                      <w:szCs w:val="21"/>
                    </w:rPr>
                  </w:pPr>
                  <w:r>
                    <w:rPr>
                      <w:b/>
                      <w:bCs w:val="0"/>
                      <w:color w:val="auto"/>
                      <w:kern w:val="0"/>
                      <w:szCs w:val="21"/>
                    </w:rPr>
                    <w:t>产生浓度mg/m</w:t>
                  </w:r>
                  <w:r>
                    <w:rPr>
                      <w:b/>
                      <w:bCs w:val="0"/>
                      <w:color w:val="auto"/>
                      <w:kern w:val="0"/>
                      <w:szCs w:val="21"/>
                      <w:vertAlign w:val="superscript"/>
                    </w:rPr>
                    <w:t>3</w:t>
                  </w:r>
                </w:p>
              </w:tc>
              <w:tc>
                <w:tcPr>
                  <w:tcW w:w="701" w:type="pct"/>
                  <w:gridSpan w:val="2"/>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b/>
                      <w:bCs w:val="0"/>
                      <w:color w:val="auto"/>
                      <w:kern w:val="0"/>
                      <w:szCs w:val="21"/>
                    </w:rPr>
                  </w:pPr>
                  <w:r>
                    <w:rPr>
                      <w:b/>
                      <w:bCs w:val="0"/>
                      <w:color w:val="auto"/>
                      <w:kern w:val="0"/>
                      <w:szCs w:val="21"/>
                    </w:rPr>
                    <w:t>产生量</w:t>
                  </w:r>
                </w:p>
              </w:tc>
              <w:tc>
                <w:tcPr>
                  <w:tcW w:w="348"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b/>
                      <w:bCs w:val="0"/>
                      <w:color w:val="auto"/>
                      <w:kern w:val="0"/>
                      <w:szCs w:val="21"/>
                    </w:rPr>
                  </w:pPr>
                  <w:r>
                    <w:rPr>
                      <w:b/>
                      <w:bCs w:val="0"/>
                      <w:color w:val="auto"/>
                      <w:kern w:val="0"/>
                      <w:szCs w:val="21"/>
                    </w:rPr>
                    <w:t>工艺</w:t>
                  </w:r>
                </w:p>
              </w:tc>
              <w:tc>
                <w:tcPr>
                  <w:tcW w:w="338"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b/>
                      <w:bCs w:val="0"/>
                      <w:color w:val="auto"/>
                      <w:kern w:val="0"/>
                      <w:szCs w:val="21"/>
                    </w:rPr>
                  </w:pPr>
                  <w:r>
                    <w:rPr>
                      <w:b/>
                      <w:bCs w:val="0"/>
                      <w:color w:val="auto"/>
                      <w:kern w:val="0"/>
                      <w:szCs w:val="21"/>
                    </w:rPr>
                    <w:t>效率</w:t>
                  </w:r>
                </w:p>
              </w:tc>
              <w:tc>
                <w:tcPr>
                  <w:tcW w:w="287"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b/>
                      <w:bCs w:val="0"/>
                      <w:color w:val="auto"/>
                      <w:kern w:val="0"/>
                      <w:szCs w:val="21"/>
                    </w:rPr>
                  </w:pPr>
                  <w:r>
                    <w:rPr>
                      <w:b/>
                      <w:bCs w:val="0"/>
                      <w:color w:val="auto"/>
                      <w:kern w:val="0"/>
                      <w:szCs w:val="21"/>
                    </w:rPr>
                    <w:t>废气排放量m</w:t>
                  </w:r>
                  <w:r>
                    <w:rPr>
                      <w:b/>
                      <w:bCs w:val="0"/>
                      <w:color w:val="auto"/>
                      <w:kern w:val="0"/>
                      <w:szCs w:val="21"/>
                      <w:vertAlign w:val="superscript"/>
                    </w:rPr>
                    <w:t>3</w:t>
                  </w:r>
                  <w:r>
                    <w:rPr>
                      <w:b/>
                      <w:bCs w:val="0"/>
                      <w:color w:val="auto"/>
                      <w:kern w:val="0"/>
                      <w:szCs w:val="21"/>
                    </w:rPr>
                    <w:t>/h</w:t>
                  </w:r>
                </w:p>
              </w:tc>
              <w:tc>
                <w:tcPr>
                  <w:tcW w:w="314"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b/>
                      <w:bCs w:val="0"/>
                      <w:color w:val="auto"/>
                      <w:kern w:val="0"/>
                      <w:szCs w:val="21"/>
                    </w:rPr>
                  </w:pPr>
                  <w:r>
                    <w:rPr>
                      <w:b/>
                      <w:bCs w:val="0"/>
                      <w:color w:val="auto"/>
                      <w:kern w:val="0"/>
                      <w:szCs w:val="21"/>
                    </w:rPr>
                    <w:t>排放浓度mg/m</w:t>
                  </w:r>
                  <w:r>
                    <w:rPr>
                      <w:b/>
                      <w:bCs w:val="0"/>
                      <w:color w:val="auto"/>
                      <w:kern w:val="0"/>
                      <w:szCs w:val="21"/>
                      <w:vertAlign w:val="superscript"/>
                    </w:rPr>
                    <w:t>3</w:t>
                  </w:r>
                </w:p>
              </w:tc>
              <w:tc>
                <w:tcPr>
                  <w:tcW w:w="658" w:type="pct"/>
                  <w:gridSpan w:val="2"/>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b/>
                      <w:bCs w:val="0"/>
                      <w:color w:val="auto"/>
                      <w:kern w:val="0"/>
                      <w:szCs w:val="21"/>
                    </w:rPr>
                  </w:pPr>
                  <w:r>
                    <w:rPr>
                      <w:b/>
                      <w:bCs w:val="0"/>
                      <w:color w:val="auto"/>
                      <w:kern w:val="0"/>
                      <w:szCs w:val="21"/>
                    </w:rPr>
                    <w:t>排放量</w:t>
                  </w:r>
                </w:p>
              </w:tc>
              <w:tc>
                <w:tcPr>
                  <w:tcW w:w="232"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b/>
                      <w:bCs w:val="0"/>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0"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b/>
                      <w:bCs w:val="0"/>
                      <w:color w:val="auto"/>
                      <w:kern w:val="0"/>
                      <w:szCs w:val="21"/>
                    </w:rPr>
                  </w:pPr>
                </w:p>
              </w:tc>
              <w:tc>
                <w:tcPr>
                  <w:tcW w:w="232"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b/>
                      <w:bCs w:val="0"/>
                      <w:color w:val="auto"/>
                      <w:kern w:val="0"/>
                      <w:szCs w:val="21"/>
                    </w:rPr>
                  </w:pPr>
                </w:p>
              </w:tc>
              <w:tc>
                <w:tcPr>
                  <w:tcW w:w="423"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b/>
                      <w:bCs w:val="0"/>
                      <w:color w:val="auto"/>
                      <w:kern w:val="0"/>
                      <w:szCs w:val="21"/>
                    </w:rPr>
                  </w:pPr>
                </w:p>
              </w:tc>
              <w:tc>
                <w:tcPr>
                  <w:tcW w:w="329"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b/>
                      <w:bCs w:val="0"/>
                      <w:color w:val="auto"/>
                      <w:kern w:val="0"/>
                      <w:szCs w:val="21"/>
                    </w:rPr>
                  </w:pPr>
                </w:p>
              </w:tc>
              <w:tc>
                <w:tcPr>
                  <w:tcW w:w="237"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b/>
                      <w:bCs w:val="0"/>
                      <w:color w:val="auto"/>
                      <w:kern w:val="0"/>
                      <w:szCs w:val="21"/>
                    </w:rPr>
                  </w:pPr>
                </w:p>
              </w:tc>
              <w:tc>
                <w:tcPr>
                  <w:tcW w:w="287"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b/>
                      <w:bCs w:val="0"/>
                      <w:color w:val="auto"/>
                      <w:kern w:val="0"/>
                      <w:szCs w:val="21"/>
                    </w:rPr>
                  </w:pPr>
                </w:p>
              </w:tc>
              <w:tc>
                <w:tcPr>
                  <w:tcW w:w="359"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b/>
                      <w:bCs w:val="0"/>
                      <w:color w:val="auto"/>
                      <w:kern w:val="0"/>
                      <w:szCs w:val="21"/>
                    </w:rPr>
                  </w:pPr>
                </w:p>
              </w:tc>
              <w:tc>
                <w:tcPr>
                  <w:tcW w:w="305"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b/>
                      <w:bCs w:val="0"/>
                      <w:color w:val="auto"/>
                      <w:kern w:val="0"/>
                      <w:szCs w:val="21"/>
                    </w:rPr>
                  </w:pPr>
                  <w:r>
                    <w:rPr>
                      <w:b/>
                      <w:bCs w:val="0"/>
                      <w:color w:val="auto"/>
                      <w:kern w:val="0"/>
                      <w:szCs w:val="21"/>
                    </w:rPr>
                    <w:t>kg/h</w:t>
                  </w:r>
                </w:p>
              </w:tc>
              <w:tc>
                <w:tcPr>
                  <w:tcW w:w="396"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b/>
                      <w:bCs w:val="0"/>
                      <w:color w:val="auto"/>
                      <w:kern w:val="0"/>
                      <w:szCs w:val="21"/>
                    </w:rPr>
                  </w:pPr>
                  <w:r>
                    <w:rPr>
                      <w:b/>
                      <w:bCs w:val="0"/>
                      <w:color w:val="auto"/>
                      <w:kern w:val="0"/>
                      <w:szCs w:val="21"/>
                    </w:rPr>
                    <w:t>t/a</w:t>
                  </w:r>
                </w:p>
              </w:tc>
              <w:tc>
                <w:tcPr>
                  <w:tcW w:w="348"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b/>
                      <w:bCs w:val="0"/>
                      <w:color w:val="auto"/>
                      <w:kern w:val="0"/>
                      <w:szCs w:val="21"/>
                    </w:rPr>
                  </w:pPr>
                </w:p>
              </w:tc>
              <w:tc>
                <w:tcPr>
                  <w:tcW w:w="338"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b/>
                      <w:bCs w:val="0"/>
                      <w:color w:val="auto"/>
                      <w:kern w:val="0"/>
                      <w:szCs w:val="21"/>
                    </w:rPr>
                  </w:pPr>
                </w:p>
              </w:tc>
              <w:tc>
                <w:tcPr>
                  <w:tcW w:w="287"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b/>
                      <w:bCs w:val="0"/>
                      <w:color w:val="auto"/>
                      <w:kern w:val="0"/>
                      <w:szCs w:val="21"/>
                    </w:rPr>
                  </w:pPr>
                </w:p>
              </w:tc>
              <w:tc>
                <w:tcPr>
                  <w:tcW w:w="314"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b/>
                      <w:bCs w:val="0"/>
                      <w:color w:val="auto"/>
                      <w:kern w:val="0"/>
                      <w:szCs w:val="21"/>
                    </w:rPr>
                  </w:pPr>
                </w:p>
              </w:tc>
              <w:tc>
                <w:tcPr>
                  <w:tcW w:w="329"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b/>
                      <w:bCs w:val="0"/>
                      <w:color w:val="auto"/>
                      <w:kern w:val="0"/>
                      <w:szCs w:val="21"/>
                    </w:rPr>
                  </w:pPr>
                  <w:r>
                    <w:rPr>
                      <w:b/>
                      <w:bCs w:val="0"/>
                      <w:color w:val="auto"/>
                      <w:kern w:val="0"/>
                      <w:szCs w:val="21"/>
                    </w:rPr>
                    <w:t>kg/h</w:t>
                  </w:r>
                </w:p>
              </w:tc>
              <w:tc>
                <w:tcPr>
                  <w:tcW w:w="328"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b/>
                      <w:bCs w:val="0"/>
                      <w:color w:val="auto"/>
                      <w:kern w:val="0"/>
                      <w:szCs w:val="21"/>
                    </w:rPr>
                  </w:pPr>
                  <w:r>
                    <w:rPr>
                      <w:b/>
                      <w:bCs w:val="0"/>
                      <w:color w:val="auto"/>
                      <w:kern w:val="0"/>
                      <w:szCs w:val="21"/>
                    </w:rPr>
                    <w:t>t/a</w:t>
                  </w:r>
                </w:p>
              </w:tc>
              <w:tc>
                <w:tcPr>
                  <w:tcW w:w="232"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b/>
                      <w:bCs w:val="0"/>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0"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b/>
                      <w:bCs w:val="0"/>
                      <w:color w:val="auto"/>
                      <w:kern w:val="0"/>
                      <w:szCs w:val="21"/>
                    </w:rPr>
                  </w:pPr>
                </w:p>
              </w:tc>
              <w:tc>
                <w:tcPr>
                  <w:tcW w:w="232"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b/>
                      <w:bCs w:val="0"/>
                      <w:color w:val="auto"/>
                      <w:kern w:val="0"/>
                      <w:szCs w:val="21"/>
                    </w:rPr>
                  </w:pPr>
                </w:p>
              </w:tc>
              <w:tc>
                <w:tcPr>
                  <w:tcW w:w="423"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b/>
                      <w:bCs w:val="0"/>
                      <w:color w:val="auto"/>
                      <w:kern w:val="0"/>
                      <w:szCs w:val="21"/>
                    </w:rPr>
                  </w:pPr>
                </w:p>
              </w:tc>
              <w:tc>
                <w:tcPr>
                  <w:tcW w:w="329"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b/>
                      <w:bCs w:val="0"/>
                      <w:color w:val="auto"/>
                      <w:kern w:val="0"/>
                      <w:szCs w:val="21"/>
                    </w:rPr>
                  </w:pPr>
                </w:p>
              </w:tc>
              <w:tc>
                <w:tcPr>
                  <w:tcW w:w="237"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b/>
                      <w:bCs w:val="0"/>
                      <w:color w:val="auto"/>
                      <w:kern w:val="0"/>
                      <w:szCs w:val="21"/>
                    </w:rPr>
                  </w:pPr>
                </w:p>
              </w:tc>
              <w:tc>
                <w:tcPr>
                  <w:tcW w:w="287"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b/>
                      <w:bCs w:val="0"/>
                      <w:color w:val="auto"/>
                      <w:kern w:val="0"/>
                      <w:szCs w:val="21"/>
                    </w:rPr>
                  </w:pPr>
                </w:p>
              </w:tc>
              <w:tc>
                <w:tcPr>
                  <w:tcW w:w="359"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b/>
                      <w:bCs w:val="0"/>
                      <w:color w:val="auto"/>
                      <w:kern w:val="0"/>
                      <w:szCs w:val="21"/>
                    </w:rPr>
                  </w:pPr>
                </w:p>
              </w:tc>
              <w:tc>
                <w:tcPr>
                  <w:tcW w:w="305"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b/>
                      <w:bCs w:val="0"/>
                      <w:color w:val="auto"/>
                      <w:kern w:val="0"/>
                      <w:szCs w:val="21"/>
                    </w:rPr>
                  </w:pPr>
                </w:p>
              </w:tc>
              <w:tc>
                <w:tcPr>
                  <w:tcW w:w="396"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b/>
                      <w:bCs w:val="0"/>
                      <w:color w:val="auto"/>
                      <w:kern w:val="0"/>
                      <w:szCs w:val="21"/>
                    </w:rPr>
                  </w:pPr>
                </w:p>
              </w:tc>
              <w:tc>
                <w:tcPr>
                  <w:tcW w:w="348"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b/>
                      <w:bCs w:val="0"/>
                      <w:color w:val="auto"/>
                      <w:kern w:val="0"/>
                      <w:szCs w:val="21"/>
                    </w:rPr>
                  </w:pPr>
                </w:p>
              </w:tc>
              <w:tc>
                <w:tcPr>
                  <w:tcW w:w="338"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b/>
                      <w:bCs w:val="0"/>
                      <w:color w:val="auto"/>
                      <w:kern w:val="0"/>
                      <w:szCs w:val="21"/>
                    </w:rPr>
                  </w:pPr>
                </w:p>
              </w:tc>
              <w:tc>
                <w:tcPr>
                  <w:tcW w:w="287"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b/>
                      <w:bCs w:val="0"/>
                      <w:color w:val="auto"/>
                      <w:kern w:val="0"/>
                      <w:szCs w:val="21"/>
                    </w:rPr>
                  </w:pPr>
                </w:p>
              </w:tc>
              <w:tc>
                <w:tcPr>
                  <w:tcW w:w="314"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b/>
                      <w:bCs w:val="0"/>
                      <w:color w:val="auto"/>
                      <w:kern w:val="0"/>
                      <w:szCs w:val="21"/>
                    </w:rPr>
                  </w:pPr>
                </w:p>
              </w:tc>
              <w:tc>
                <w:tcPr>
                  <w:tcW w:w="329"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b/>
                      <w:bCs w:val="0"/>
                      <w:color w:val="auto"/>
                      <w:kern w:val="0"/>
                      <w:szCs w:val="21"/>
                    </w:rPr>
                  </w:pPr>
                </w:p>
              </w:tc>
              <w:tc>
                <w:tcPr>
                  <w:tcW w:w="328"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b/>
                      <w:bCs w:val="0"/>
                      <w:color w:val="auto"/>
                      <w:kern w:val="0"/>
                      <w:szCs w:val="21"/>
                    </w:rPr>
                  </w:pPr>
                </w:p>
              </w:tc>
              <w:tc>
                <w:tcPr>
                  <w:tcW w:w="232"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b/>
                      <w:bCs w:val="0"/>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250"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切割</w:t>
                  </w:r>
                </w:p>
              </w:tc>
              <w:tc>
                <w:tcPr>
                  <w:tcW w:w="232"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等离子切割机</w:t>
                  </w:r>
                </w:p>
              </w:tc>
              <w:tc>
                <w:tcPr>
                  <w:tcW w:w="423"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有组织切割废气</w:t>
                  </w:r>
                </w:p>
              </w:tc>
              <w:tc>
                <w:tcPr>
                  <w:tcW w:w="329"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颗粒物</w:t>
                  </w:r>
                </w:p>
              </w:tc>
              <w:tc>
                <w:tcPr>
                  <w:tcW w:w="237"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产污系数法</w:t>
                  </w:r>
                </w:p>
              </w:tc>
              <w:tc>
                <w:tcPr>
                  <w:tcW w:w="287"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rFonts w:hint="eastAsia"/>
                      <w:color w:val="auto"/>
                      <w:kern w:val="0"/>
                      <w:szCs w:val="21"/>
                      <w:lang w:val="en-US" w:eastAsia="zh-CN"/>
                    </w:rPr>
                    <w:t>10000</w:t>
                  </w:r>
                </w:p>
              </w:tc>
              <w:tc>
                <w:tcPr>
                  <w:tcW w:w="359"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rFonts w:hint="eastAsia"/>
                      <w:color w:val="auto"/>
                      <w:kern w:val="0"/>
                      <w:szCs w:val="21"/>
                      <w:lang w:val="en-US" w:eastAsia="zh-CN"/>
                    </w:rPr>
                    <w:t>837.38</w:t>
                  </w:r>
                </w:p>
              </w:tc>
              <w:tc>
                <w:tcPr>
                  <w:tcW w:w="305"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rFonts w:hint="eastAsia"/>
                      <w:color w:val="auto"/>
                      <w:kern w:val="0"/>
                      <w:szCs w:val="21"/>
                      <w:lang w:val="en-US" w:eastAsia="zh-CN"/>
                    </w:rPr>
                    <w:t>8.3738</w:t>
                  </w:r>
                </w:p>
              </w:tc>
              <w:tc>
                <w:tcPr>
                  <w:tcW w:w="396"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color w:val="auto"/>
                      <w:kern w:val="0"/>
                      <w:szCs w:val="21"/>
                    </w:rPr>
                    <w:t>20.</w:t>
                  </w:r>
                  <w:r>
                    <w:rPr>
                      <w:rFonts w:hint="eastAsia"/>
                      <w:color w:val="auto"/>
                      <w:kern w:val="0"/>
                      <w:szCs w:val="21"/>
                      <w:lang w:val="en-US" w:eastAsia="zh-CN"/>
                    </w:rPr>
                    <w:t>097</w:t>
                  </w:r>
                </w:p>
              </w:tc>
              <w:tc>
                <w:tcPr>
                  <w:tcW w:w="348"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布袋除尘器</w:t>
                  </w:r>
                </w:p>
              </w:tc>
              <w:tc>
                <w:tcPr>
                  <w:tcW w:w="338"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99</w:t>
                  </w:r>
                  <w:r>
                    <w:rPr>
                      <w:rFonts w:hint="eastAsia"/>
                      <w:color w:val="auto"/>
                      <w:kern w:val="0"/>
                      <w:szCs w:val="21"/>
                      <w:lang w:val="en-US" w:eastAsia="zh-CN"/>
                    </w:rPr>
                    <w:t>.5</w:t>
                  </w:r>
                  <w:r>
                    <w:rPr>
                      <w:color w:val="auto"/>
                      <w:kern w:val="0"/>
                      <w:szCs w:val="21"/>
                    </w:rPr>
                    <w:t>%</w:t>
                  </w:r>
                </w:p>
              </w:tc>
              <w:tc>
                <w:tcPr>
                  <w:tcW w:w="287"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rFonts w:hint="eastAsia"/>
                      <w:color w:val="auto"/>
                      <w:kern w:val="0"/>
                      <w:szCs w:val="21"/>
                      <w:lang w:val="en-US" w:eastAsia="zh-CN"/>
                    </w:rPr>
                    <w:t>10000</w:t>
                  </w:r>
                </w:p>
              </w:tc>
              <w:tc>
                <w:tcPr>
                  <w:tcW w:w="314"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rFonts w:hint="eastAsia"/>
                      <w:color w:val="auto"/>
                      <w:kern w:val="0"/>
                      <w:szCs w:val="21"/>
                      <w:lang w:val="en-US" w:eastAsia="zh-CN"/>
                    </w:rPr>
                    <w:t>4.19</w:t>
                  </w:r>
                </w:p>
              </w:tc>
              <w:tc>
                <w:tcPr>
                  <w:tcW w:w="329"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color w:val="auto"/>
                      <w:kern w:val="0"/>
                      <w:szCs w:val="21"/>
                    </w:rPr>
                    <w:t>0.</w:t>
                  </w:r>
                  <w:r>
                    <w:rPr>
                      <w:rFonts w:hint="eastAsia"/>
                      <w:color w:val="auto"/>
                      <w:kern w:val="0"/>
                      <w:szCs w:val="21"/>
                      <w:lang w:val="en-US" w:eastAsia="zh-CN"/>
                    </w:rPr>
                    <w:t>0419</w:t>
                  </w:r>
                </w:p>
              </w:tc>
              <w:tc>
                <w:tcPr>
                  <w:tcW w:w="328"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color w:val="auto"/>
                      <w:kern w:val="0"/>
                      <w:szCs w:val="21"/>
                    </w:rPr>
                    <w:t>0.</w:t>
                  </w:r>
                  <w:r>
                    <w:rPr>
                      <w:rFonts w:hint="eastAsia"/>
                      <w:color w:val="auto"/>
                      <w:kern w:val="0"/>
                      <w:szCs w:val="21"/>
                      <w:lang w:val="en-US" w:eastAsia="zh-CN"/>
                    </w:rPr>
                    <w:t>1005</w:t>
                  </w:r>
                </w:p>
              </w:tc>
              <w:tc>
                <w:tcPr>
                  <w:tcW w:w="232"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250"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c>
                <w:tcPr>
                  <w:tcW w:w="232"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c>
                <w:tcPr>
                  <w:tcW w:w="423"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无组织切割废气</w:t>
                  </w:r>
                </w:p>
              </w:tc>
              <w:tc>
                <w:tcPr>
                  <w:tcW w:w="329"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颗粒物</w:t>
                  </w:r>
                </w:p>
              </w:tc>
              <w:tc>
                <w:tcPr>
                  <w:tcW w:w="237"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c>
                <w:tcPr>
                  <w:tcW w:w="287"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w:t>
                  </w:r>
                </w:p>
              </w:tc>
              <w:tc>
                <w:tcPr>
                  <w:tcW w:w="359"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w:t>
                  </w:r>
                </w:p>
              </w:tc>
              <w:tc>
                <w:tcPr>
                  <w:tcW w:w="305"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rFonts w:hint="eastAsia"/>
                      <w:color w:val="auto"/>
                      <w:kern w:val="0"/>
                      <w:szCs w:val="21"/>
                      <w:lang w:val="en-US" w:eastAsia="zh-CN"/>
                    </w:rPr>
                    <w:t>0.093</w:t>
                  </w:r>
                </w:p>
              </w:tc>
              <w:tc>
                <w:tcPr>
                  <w:tcW w:w="396"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rFonts w:hint="eastAsia"/>
                      <w:color w:val="auto"/>
                      <w:kern w:val="0"/>
                      <w:szCs w:val="21"/>
                      <w:lang w:val="en-US" w:eastAsia="zh-CN"/>
                    </w:rPr>
                    <w:t>0.2233</w:t>
                  </w:r>
                </w:p>
              </w:tc>
              <w:tc>
                <w:tcPr>
                  <w:tcW w:w="348"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w:t>
                  </w:r>
                </w:p>
              </w:tc>
              <w:tc>
                <w:tcPr>
                  <w:tcW w:w="338"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w:t>
                  </w:r>
                </w:p>
              </w:tc>
              <w:tc>
                <w:tcPr>
                  <w:tcW w:w="287"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w:t>
                  </w:r>
                </w:p>
              </w:tc>
              <w:tc>
                <w:tcPr>
                  <w:tcW w:w="314"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w:t>
                  </w:r>
                </w:p>
              </w:tc>
              <w:tc>
                <w:tcPr>
                  <w:tcW w:w="329"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color w:val="auto"/>
                      <w:kern w:val="0"/>
                      <w:szCs w:val="21"/>
                      <w:lang w:val="en-US" w:eastAsia="zh-CN"/>
                    </w:rPr>
                  </w:pPr>
                  <w:r>
                    <w:rPr>
                      <w:rFonts w:hint="eastAsia"/>
                      <w:color w:val="auto"/>
                      <w:kern w:val="0"/>
                      <w:szCs w:val="21"/>
                      <w:lang w:val="en-US" w:eastAsia="zh-CN"/>
                    </w:rPr>
                    <w:t>0.093</w:t>
                  </w:r>
                </w:p>
              </w:tc>
              <w:tc>
                <w:tcPr>
                  <w:tcW w:w="328"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color w:val="auto"/>
                      <w:kern w:val="0"/>
                      <w:szCs w:val="21"/>
                      <w:lang w:val="en-US" w:eastAsia="zh-CN"/>
                    </w:rPr>
                  </w:pPr>
                  <w:r>
                    <w:rPr>
                      <w:rFonts w:hint="eastAsia"/>
                      <w:color w:val="auto"/>
                      <w:kern w:val="0"/>
                      <w:szCs w:val="21"/>
                      <w:lang w:val="en-US" w:eastAsia="zh-CN"/>
                    </w:rPr>
                    <w:t>0.2233</w:t>
                  </w:r>
                </w:p>
              </w:tc>
              <w:tc>
                <w:tcPr>
                  <w:tcW w:w="232"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50"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打磨</w:t>
                  </w:r>
                </w:p>
              </w:tc>
              <w:tc>
                <w:tcPr>
                  <w:tcW w:w="232"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打磨机</w:t>
                  </w:r>
                </w:p>
              </w:tc>
              <w:tc>
                <w:tcPr>
                  <w:tcW w:w="423"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有组织打磨废气</w:t>
                  </w:r>
                </w:p>
              </w:tc>
              <w:tc>
                <w:tcPr>
                  <w:tcW w:w="329"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颗粒物</w:t>
                  </w:r>
                </w:p>
              </w:tc>
              <w:tc>
                <w:tcPr>
                  <w:tcW w:w="237"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c>
                <w:tcPr>
                  <w:tcW w:w="287"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rFonts w:hint="eastAsia"/>
                      <w:color w:val="auto"/>
                      <w:kern w:val="0"/>
                      <w:szCs w:val="21"/>
                      <w:lang w:val="en-US" w:eastAsia="zh-CN"/>
                    </w:rPr>
                    <w:t>10000</w:t>
                  </w:r>
                </w:p>
              </w:tc>
              <w:tc>
                <w:tcPr>
                  <w:tcW w:w="359"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rFonts w:hint="eastAsia"/>
                      <w:color w:val="auto"/>
                      <w:kern w:val="0"/>
                      <w:szCs w:val="21"/>
                      <w:lang w:val="en-US" w:eastAsia="zh-CN"/>
                    </w:rPr>
                    <w:t>83.25</w:t>
                  </w:r>
                </w:p>
              </w:tc>
              <w:tc>
                <w:tcPr>
                  <w:tcW w:w="305"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rFonts w:hint="eastAsia"/>
                      <w:color w:val="auto"/>
                      <w:kern w:val="0"/>
                      <w:szCs w:val="21"/>
                      <w:lang w:val="en-US" w:eastAsia="zh-CN"/>
                    </w:rPr>
                    <w:t>0.83</w:t>
                  </w:r>
                </w:p>
              </w:tc>
              <w:tc>
                <w:tcPr>
                  <w:tcW w:w="396"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rFonts w:hint="eastAsia"/>
                      <w:color w:val="auto"/>
                      <w:kern w:val="0"/>
                      <w:szCs w:val="21"/>
                      <w:lang w:val="en-US" w:eastAsia="zh-CN"/>
                    </w:rPr>
                    <w:t>1.998</w:t>
                  </w:r>
                </w:p>
              </w:tc>
              <w:tc>
                <w:tcPr>
                  <w:tcW w:w="348"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布袋除尘器</w:t>
                  </w:r>
                </w:p>
              </w:tc>
              <w:tc>
                <w:tcPr>
                  <w:tcW w:w="338"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99</w:t>
                  </w:r>
                  <w:r>
                    <w:rPr>
                      <w:rFonts w:hint="eastAsia"/>
                      <w:color w:val="auto"/>
                      <w:kern w:val="0"/>
                      <w:szCs w:val="21"/>
                      <w:lang w:val="en-US" w:eastAsia="zh-CN"/>
                    </w:rPr>
                    <w:t>.5</w:t>
                  </w:r>
                  <w:r>
                    <w:rPr>
                      <w:color w:val="auto"/>
                      <w:kern w:val="0"/>
                      <w:szCs w:val="21"/>
                    </w:rPr>
                    <w:t>%</w:t>
                  </w:r>
                </w:p>
              </w:tc>
              <w:tc>
                <w:tcPr>
                  <w:tcW w:w="287"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rFonts w:hint="eastAsia"/>
                      <w:color w:val="auto"/>
                      <w:kern w:val="0"/>
                      <w:szCs w:val="21"/>
                      <w:lang w:val="en-US" w:eastAsia="zh-CN"/>
                    </w:rPr>
                    <w:t>10000</w:t>
                  </w:r>
                </w:p>
              </w:tc>
              <w:tc>
                <w:tcPr>
                  <w:tcW w:w="314"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rFonts w:hint="eastAsia"/>
                      <w:color w:val="auto"/>
                      <w:kern w:val="0"/>
                      <w:szCs w:val="21"/>
                      <w:lang w:val="en-US" w:eastAsia="zh-CN"/>
                    </w:rPr>
                    <w:t>0.375</w:t>
                  </w:r>
                </w:p>
              </w:tc>
              <w:tc>
                <w:tcPr>
                  <w:tcW w:w="329"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color w:val="auto"/>
                      <w:kern w:val="0"/>
                      <w:szCs w:val="21"/>
                    </w:rPr>
                    <w:t>0.00</w:t>
                  </w:r>
                  <w:r>
                    <w:rPr>
                      <w:rFonts w:hint="eastAsia"/>
                      <w:color w:val="auto"/>
                      <w:kern w:val="0"/>
                      <w:szCs w:val="21"/>
                      <w:lang w:val="en-US" w:eastAsia="zh-CN"/>
                    </w:rPr>
                    <w:t>38</w:t>
                  </w:r>
                </w:p>
              </w:tc>
              <w:tc>
                <w:tcPr>
                  <w:tcW w:w="328"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rFonts w:hint="eastAsia"/>
                      <w:color w:val="auto"/>
                      <w:kern w:val="0"/>
                      <w:szCs w:val="21"/>
                      <w:lang w:val="en-US" w:eastAsia="zh-CN"/>
                    </w:rPr>
                    <w:t>0.009</w:t>
                  </w:r>
                </w:p>
              </w:tc>
              <w:tc>
                <w:tcPr>
                  <w:tcW w:w="232"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250"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c>
                <w:tcPr>
                  <w:tcW w:w="232"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c>
                <w:tcPr>
                  <w:tcW w:w="423"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无组织打磨废气</w:t>
                  </w:r>
                </w:p>
              </w:tc>
              <w:tc>
                <w:tcPr>
                  <w:tcW w:w="329"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颗粒物</w:t>
                  </w:r>
                </w:p>
              </w:tc>
              <w:tc>
                <w:tcPr>
                  <w:tcW w:w="237"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c>
                <w:tcPr>
                  <w:tcW w:w="287"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w:t>
                  </w:r>
                </w:p>
              </w:tc>
              <w:tc>
                <w:tcPr>
                  <w:tcW w:w="359"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w:t>
                  </w:r>
                </w:p>
              </w:tc>
              <w:tc>
                <w:tcPr>
                  <w:tcW w:w="305"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rFonts w:hint="eastAsia"/>
                      <w:color w:val="auto"/>
                      <w:kern w:val="0"/>
                      <w:szCs w:val="21"/>
                      <w:lang w:val="en-US" w:eastAsia="zh-CN"/>
                    </w:rPr>
                    <w:t>0.009</w:t>
                  </w:r>
                </w:p>
              </w:tc>
              <w:tc>
                <w:tcPr>
                  <w:tcW w:w="396"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rFonts w:hint="eastAsia"/>
                      <w:color w:val="auto"/>
                      <w:kern w:val="0"/>
                      <w:szCs w:val="21"/>
                      <w:lang w:val="en-US" w:eastAsia="zh-CN"/>
                    </w:rPr>
                    <w:t>0.023</w:t>
                  </w:r>
                </w:p>
              </w:tc>
              <w:tc>
                <w:tcPr>
                  <w:tcW w:w="348"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w:t>
                  </w:r>
                </w:p>
              </w:tc>
              <w:tc>
                <w:tcPr>
                  <w:tcW w:w="338"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w:t>
                  </w:r>
                </w:p>
              </w:tc>
              <w:tc>
                <w:tcPr>
                  <w:tcW w:w="287"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w:t>
                  </w:r>
                </w:p>
              </w:tc>
              <w:tc>
                <w:tcPr>
                  <w:tcW w:w="314"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w:t>
                  </w:r>
                </w:p>
              </w:tc>
              <w:tc>
                <w:tcPr>
                  <w:tcW w:w="329"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rFonts w:hint="eastAsia"/>
                      <w:color w:val="auto"/>
                      <w:kern w:val="0"/>
                      <w:szCs w:val="21"/>
                      <w:lang w:val="en-US" w:eastAsia="zh-CN"/>
                    </w:rPr>
                    <w:t>0.009</w:t>
                  </w:r>
                </w:p>
              </w:tc>
              <w:tc>
                <w:tcPr>
                  <w:tcW w:w="328"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rFonts w:hint="eastAsia"/>
                      <w:color w:val="auto"/>
                      <w:kern w:val="0"/>
                      <w:szCs w:val="21"/>
                      <w:lang w:val="en-US" w:eastAsia="zh-CN"/>
                    </w:rPr>
                    <w:t>0.023</w:t>
                  </w:r>
                </w:p>
              </w:tc>
              <w:tc>
                <w:tcPr>
                  <w:tcW w:w="232"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250"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抛丸</w:t>
                  </w:r>
                </w:p>
              </w:tc>
              <w:tc>
                <w:tcPr>
                  <w:tcW w:w="232"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抛丸清理机</w:t>
                  </w:r>
                </w:p>
              </w:tc>
              <w:tc>
                <w:tcPr>
                  <w:tcW w:w="423"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有组织抛丸废气</w:t>
                  </w:r>
                </w:p>
              </w:tc>
              <w:tc>
                <w:tcPr>
                  <w:tcW w:w="329"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颗粒物</w:t>
                  </w:r>
                </w:p>
              </w:tc>
              <w:tc>
                <w:tcPr>
                  <w:tcW w:w="237"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c>
                <w:tcPr>
                  <w:tcW w:w="287"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rFonts w:hint="eastAsia"/>
                      <w:color w:val="auto"/>
                      <w:kern w:val="0"/>
                      <w:szCs w:val="21"/>
                      <w:lang w:val="en-US" w:eastAsia="zh-CN"/>
                    </w:rPr>
                    <w:t>10000</w:t>
                  </w:r>
                </w:p>
              </w:tc>
              <w:tc>
                <w:tcPr>
                  <w:tcW w:w="359"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rFonts w:hint="eastAsia"/>
                      <w:color w:val="auto"/>
                      <w:kern w:val="0"/>
                      <w:szCs w:val="21"/>
                      <w:lang w:val="en-US" w:eastAsia="zh-CN"/>
                    </w:rPr>
                    <w:t>1666.88</w:t>
                  </w:r>
                </w:p>
              </w:tc>
              <w:tc>
                <w:tcPr>
                  <w:tcW w:w="305"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rFonts w:hint="eastAsia"/>
                      <w:color w:val="auto"/>
                      <w:kern w:val="0"/>
                      <w:szCs w:val="21"/>
                    </w:rPr>
                    <w:t>16.7</w:t>
                  </w:r>
                </w:p>
              </w:tc>
              <w:tc>
                <w:tcPr>
                  <w:tcW w:w="396"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rFonts w:hint="eastAsia"/>
                      <w:color w:val="auto"/>
                      <w:kern w:val="0"/>
                      <w:szCs w:val="21"/>
                    </w:rPr>
                    <w:t>40.005</w:t>
                  </w:r>
                </w:p>
              </w:tc>
              <w:tc>
                <w:tcPr>
                  <w:tcW w:w="348"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布袋除尘器</w:t>
                  </w:r>
                </w:p>
              </w:tc>
              <w:tc>
                <w:tcPr>
                  <w:tcW w:w="338"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99</w:t>
                  </w:r>
                  <w:r>
                    <w:rPr>
                      <w:rFonts w:hint="eastAsia"/>
                      <w:color w:val="auto"/>
                      <w:kern w:val="0"/>
                      <w:szCs w:val="21"/>
                      <w:lang w:val="en-US" w:eastAsia="zh-CN"/>
                    </w:rPr>
                    <w:t>.5</w:t>
                  </w:r>
                  <w:r>
                    <w:rPr>
                      <w:color w:val="auto"/>
                      <w:kern w:val="0"/>
                      <w:szCs w:val="21"/>
                    </w:rPr>
                    <w:t>%</w:t>
                  </w:r>
                </w:p>
              </w:tc>
              <w:tc>
                <w:tcPr>
                  <w:tcW w:w="287"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rFonts w:hint="eastAsia"/>
                      <w:color w:val="auto"/>
                      <w:kern w:val="0"/>
                      <w:szCs w:val="21"/>
                      <w:lang w:val="en-US" w:eastAsia="zh-CN"/>
                    </w:rPr>
                    <w:t>10000</w:t>
                  </w:r>
                </w:p>
              </w:tc>
              <w:tc>
                <w:tcPr>
                  <w:tcW w:w="314"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rFonts w:hint="eastAsia"/>
                      <w:color w:val="auto"/>
                      <w:kern w:val="0"/>
                      <w:szCs w:val="21"/>
                      <w:lang w:val="en-US" w:eastAsia="zh-CN"/>
                    </w:rPr>
                    <w:t>8.3</w:t>
                  </w:r>
                </w:p>
              </w:tc>
              <w:tc>
                <w:tcPr>
                  <w:tcW w:w="329"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rFonts w:hint="eastAsia"/>
                      <w:color w:val="auto"/>
                      <w:kern w:val="0"/>
                      <w:szCs w:val="21"/>
                      <w:lang w:val="en-US" w:eastAsia="zh-CN"/>
                    </w:rPr>
                    <w:t>0.08</w:t>
                  </w:r>
                </w:p>
              </w:tc>
              <w:tc>
                <w:tcPr>
                  <w:tcW w:w="328"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rFonts w:hint="eastAsia"/>
                      <w:color w:val="auto"/>
                      <w:kern w:val="0"/>
                      <w:szCs w:val="21"/>
                      <w:lang w:val="en-US" w:eastAsia="zh-CN"/>
                    </w:rPr>
                    <w:t>0.2</w:t>
                  </w:r>
                </w:p>
              </w:tc>
              <w:tc>
                <w:tcPr>
                  <w:tcW w:w="232"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250"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c>
                <w:tcPr>
                  <w:tcW w:w="232"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c>
                <w:tcPr>
                  <w:tcW w:w="423"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无组织抛丸废气</w:t>
                  </w:r>
                </w:p>
              </w:tc>
              <w:tc>
                <w:tcPr>
                  <w:tcW w:w="329"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颗粒物</w:t>
                  </w:r>
                </w:p>
              </w:tc>
              <w:tc>
                <w:tcPr>
                  <w:tcW w:w="237"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c>
                <w:tcPr>
                  <w:tcW w:w="287"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w:t>
                  </w:r>
                </w:p>
              </w:tc>
              <w:tc>
                <w:tcPr>
                  <w:tcW w:w="359"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w:t>
                  </w:r>
                </w:p>
              </w:tc>
              <w:tc>
                <w:tcPr>
                  <w:tcW w:w="305"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rFonts w:hint="eastAsia"/>
                      <w:color w:val="auto"/>
                      <w:kern w:val="0"/>
                      <w:szCs w:val="21"/>
                      <w:lang w:val="en-US" w:eastAsia="zh-CN"/>
                    </w:rPr>
                    <w:t>0.185</w:t>
                  </w:r>
                </w:p>
              </w:tc>
              <w:tc>
                <w:tcPr>
                  <w:tcW w:w="396"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rFonts w:hint="eastAsia"/>
                      <w:color w:val="auto"/>
                      <w:kern w:val="0"/>
                      <w:szCs w:val="21"/>
                      <w:lang w:val="en-US" w:eastAsia="zh-CN"/>
                    </w:rPr>
                    <w:t>0.4445</w:t>
                  </w:r>
                </w:p>
              </w:tc>
              <w:tc>
                <w:tcPr>
                  <w:tcW w:w="348"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w:t>
                  </w:r>
                </w:p>
              </w:tc>
              <w:tc>
                <w:tcPr>
                  <w:tcW w:w="338"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w:t>
                  </w:r>
                </w:p>
              </w:tc>
              <w:tc>
                <w:tcPr>
                  <w:tcW w:w="287"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w:t>
                  </w:r>
                </w:p>
              </w:tc>
              <w:tc>
                <w:tcPr>
                  <w:tcW w:w="314"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w:t>
                  </w:r>
                </w:p>
              </w:tc>
              <w:tc>
                <w:tcPr>
                  <w:tcW w:w="329"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color w:val="auto"/>
                      <w:kern w:val="0"/>
                      <w:szCs w:val="21"/>
                      <w:lang w:val="en-US" w:eastAsia="zh-CN"/>
                    </w:rPr>
                  </w:pPr>
                  <w:r>
                    <w:rPr>
                      <w:rFonts w:hint="eastAsia"/>
                      <w:color w:val="auto"/>
                      <w:kern w:val="0"/>
                      <w:szCs w:val="21"/>
                      <w:lang w:val="en-US" w:eastAsia="zh-CN"/>
                    </w:rPr>
                    <w:t>0.185</w:t>
                  </w:r>
                </w:p>
              </w:tc>
              <w:tc>
                <w:tcPr>
                  <w:tcW w:w="328"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color w:val="auto"/>
                      <w:kern w:val="0"/>
                      <w:szCs w:val="21"/>
                      <w:lang w:val="en-US" w:eastAsia="zh-CN"/>
                    </w:rPr>
                  </w:pPr>
                  <w:r>
                    <w:rPr>
                      <w:rFonts w:hint="eastAsia"/>
                      <w:color w:val="auto"/>
                      <w:kern w:val="0"/>
                      <w:szCs w:val="21"/>
                      <w:lang w:val="en-US" w:eastAsia="zh-CN"/>
                    </w:rPr>
                    <w:t>0.4445</w:t>
                  </w:r>
                </w:p>
              </w:tc>
              <w:tc>
                <w:tcPr>
                  <w:tcW w:w="232"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250"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焊接</w:t>
                  </w:r>
                </w:p>
              </w:tc>
              <w:tc>
                <w:tcPr>
                  <w:tcW w:w="232"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rFonts w:hint="eastAsia"/>
                      <w:color w:val="auto"/>
                      <w:kern w:val="0"/>
                      <w:szCs w:val="21"/>
                    </w:rPr>
                    <w:t>电弧焊机、</w:t>
                  </w:r>
                  <w:r>
                    <w:rPr>
                      <w:color w:val="auto"/>
                      <w:kern w:val="0"/>
                      <w:szCs w:val="21"/>
                    </w:rPr>
                    <w:t>埋弧焊机、气体保护焊机</w:t>
                  </w:r>
                </w:p>
              </w:tc>
              <w:tc>
                <w:tcPr>
                  <w:tcW w:w="423"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rFonts w:hint="eastAsia"/>
                      <w:color w:val="auto"/>
                      <w:kern w:val="0"/>
                      <w:szCs w:val="21"/>
                      <w:lang w:eastAsia="zh-CN"/>
                    </w:rPr>
                    <w:t>有</w:t>
                  </w:r>
                  <w:r>
                    <w:rPr>
                      <w:color w:val="auto"/>
                      <w:kern w:val="0"/>
                      <w:szCs w:val="21"/>
                    </w:rPr>
                    <w:t>组织焊接废气</w:t>
                  </w:r>
                </w:p>
              </w:tc>
              <w:tc>
                <w:tcPr>
                  <w:tcW w:w="329"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颗粒物</w:t>
                  </w:r>
                </w:p>
              </w:tc>
              <w:tc>
                <w:tcPr>
                  <w:tcW w:w="237"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c>
                <w:tcPr>
                  <w:tcW w:w="287"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rFonts w:hint="eastAsia"/>
                      <w:color w:val="auto"/>
                      <w:kern w:val="0"/>
                      <w:szCs w:val="21"/>
                      <w:lang w:val="en-US" w:eastAsia="zh-CN"/>
                    </w:rPr>
                    <w:t>10000</w:t>
                  </w:r>
                </w:p>
              </w:tc>
              <w:tc>
                <w:tcPr>
                  <w:tcW w:w="359"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rFonts w:hint="eastAsia"/>
                      <w:color w:val="auto"/>
                      <w:kern w:val="0"/>
                      <w:szCs w:val="21"/>
                      <w:lang w:val="en-US" w:eastAsia="zh-CN"/>
                    </w:rPr>
                    <w:t>2.79</w:t>
                  </w:r>
                </w:p>
              </w:tc>
              <w:tc>
                <w:tcPr>
                  <w:tcW w:w="305"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rFonts w:hint="eastAsia"/>
                      <w:color w:val="auto"/>
                      <w:kern w:val="0"/>
                      <w:szCs w:val="21"/>
                      <w:lang w:val="en-US" w:eastAsia="zh-CN"/>
                    </w:rPr>
                    <w:t>0.028</w:t>
                  </w:r>
                </w:p>
              </w:tc>
              <w:tc>
                <w:tcPr>
                  <w:tcW w:w="396"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rFonts w:hint="eastAsia"/>
                      <w:color w:val="auto"/>
                      <w:kern w:val="0"/>
                      <w:szCs w:val="21"/>
                      <w:lang w:val="en-US" w:eastAsia="zh-CN"/>
                    </w:rPr>
                    <w:t>0.067</w:t>
                  </w:r>
                </w:p>
              </w:tc>
              <w:tc>
                <w:tcPr>
                  <w:tcW w:w="348"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布袋除尘器</w:t>
                  </w:r>
                </w:p>
              </w:tc>
              <w:tc>
                <w:tcPr>
                  <w:tcW w:w="338"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99</w:t>
                  </w:r>
                  <w:r>
                    <w:rPr>
                      <w:rFonts w:hint="eastAsia"/>
                      <w:color w:val="auto"/>
                      <w:kern w:val="0"/>
                      <w:szCs w:val="21"/>
                      <w:lang w:val="en-US" w:eastAsia="zh-CN"/>
                    </w:rPr>
                    <w:t>.5</w:t>
                  </w:r>
                  <w:r>
                    <w:rPr>
                      <w:color w:val="auto"/>
                      <w:kern w:val="0"/>
                      <w:szCs w:val="21"/>
                    </w:rPr>
                    <w:t>%</w:t>
                  </w:r>
                </w:p>
              </w:tc>
              <w:tc>
                <w:tcPr>
                  <w:tcW w:w="287"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w:t>
                  </w:r>
                </w:p>
              </w:tc>
              <w:tc>
                <w:tcPr>
                  <w:tcW w:w="314"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rFonts w:hint="eastAsia"/>
                      <w:color w:val="auto"/>
                      <w:kern w:val="0"/>
                      <w:szCs w:val="21"/>
                      <w:lang w:val="en-US" w:eastAsia="zh-CN"/>
                    </w:rPr>
                    <w:t>0.0125</w:t>
                  </w:r>
                </w:p>
              </w:tc>
              <w:tc>
                <w:tcPr>
                  <w:tcW w:w="329"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rFonts w:hint="eastAsia"/>
                      <w:color w:val="auto"/>
                      <w:kern w:val="0"/>
                      <w:szCs w:val="21"/>
                      <w:lang w:val="en-US" w:eastAsia="zh-CN"/>
                    </w:rPr>
                    <w:t>0.0001</w:t>
                  </w:r>
                </w:p>
              </w:tc>
              <w:tc>
                <w:tcPr>
                  <w:tcW w:w="328"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rFonts w:hint="eastAsia"/>
                      <w:color w:val="auto"/>
                      <w:kern w:val="0"/>
                      <w:szCs w:val="21"/>
                      <w:lang w:val="en-US" w:eastAsia="zh-CN"/>
                    </w:rPr>
                    <w:t>0.0003</w:t>
                  </w:r>
                </w:p>
              </w:tc>
              <w:tc>
                <w:tcPr>
                  <w:tcW w:w="232"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250"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c>
                <w:tcPr>
                  <w:tcW w:w="232"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color w:val="auto"/>
                      <w:kern w:val="0"/>
                      <w:szCs w:val="21"/>
                    </w:rPr>
                  </w:pPr>
                </w:p>
              </w:tc>
              <w:tc>
                <w:tcPr>
                  <w:tcW w:w="423"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无组织焊接废气</w:t>
                  </w:r>
                </w:p>
              </w:tc>
              <w:tc>
                <w:tcPr>
                  <w:tcW w:w="329"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颗粒物</w:t>
                  </w:r>
                </w:p>
              </w:tc>
              <w:tc>
                <w:tcPr>
                  <w:tcW w:w="237"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c>
                <w:tcPr>
                  <w:tcW w:w="287"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w:t>
                  </w:r>
                </w:p>
              </w:tc>
              <w:tc>
                <w:tcPr>
                  <w:tcW w:w="359"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eastAsia="宋体"/>
                      <w:color w:val="auto"/>
                      <w:kern w:val="0"/>
                      <w:szCs w:val="21"/>
                      <w:lang w:val="en-US" w:eastAsia="zh-CN"/>
                    </w:rPr>
                  </w:pPr>
                  <w:r>
                    <w:rPr>
                      <w:color w:val="auto"/>
                      <w:kern w:val="0"/>
                      <w:szCs w:val="21"/>
                    </w:rPr>
                    <w:t>/</w:t>
                  </w:r>
                </w:p>
              </w:tc>
              <w:tc>
                <w:tcPr>
                  <w:tcW w:w="305"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color w:val="auto"/>
                      <w:kern w:val="0"/>
                      <w:szCs w:val="21"/>
                      <w:lang w:val="en-US" w:eastAsia="zh-CN"/>
                    </w:rPr>
                  </w:pPr>
                  <w:r>
                    <w:rPr>
                      <w:rFonts w:hint="eastAsia"/>
                      <w:color w:val="auto"/>
                      <w:kern w:val="0"/>
                      <w:szCs w:val="21"/>
                      <w:lang w:val="en-US" w:eastAsia="zh-CN"/>
                    </w:rPr>
                    <w:t>0.0029</w:t>
                  </w:r>
                </w:p>
              </w:tc>
              <w:tc>
                <w:tcPr>
                  <w:tcW w:w="396"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color w:val="auto"/>
                      <w:kern w:val="0"/>
                      <w:szCs w:val="21"/>
                      <w:lang w:val="en-US" w:eastAsia="zh-CN"/>
                    </w:rPr>
                  </w:pPr>
                  <w:r>
                    <w:rPr>
                      <w:rFonts w:hint="eastAsia"/>
                      <w:color w:val="auto"/>
                      <w:kern w:val="0"/>
                      <w:szCs w:val="21"/>
                      <w:lang w:val="en-US" w:eastAsia="zh-CN"/>
                    </w:rPr>
                    <w:t>0.007</w:t>
                  </w:r>
                </w:p>
              </w:tc>
              <w:tc>
                <w:tcPr>
                  <w:tcW w:w="348"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w:t>
                  </w:r>
                </w:p>
              </w:tc>
              <w:tc>
                <w:tcPr>
                  <w:tcW w:w="338"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w:t>
                  </w:r>
                </w:p>
              </w:tc>
              <w:tc>
                <w:tcPr>
                  <w:tcW w:w="287"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w:t>
                  </w:r>
                </w:p>
              </w:tc>
              <w:tc>
                <w:tcPr>
                  <w:tcW w:w="314"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w:t>
                  </w:r>
                </w:p>
              </w:tc>
              <w:tc>
                <w:tcPr>
                  <w:tcW w:w="329"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color w:val="auto"/>
                      <w:kern w:val="0"/>
                      <w:szCs w:val="21"/>
                      <w:lang w:val="en-US" w:eastAsia="zh-CN"/>
                    </w:rPr>
                  </w:pPr>
                  <w:r>
                    <w:rPr>
                      <w:rFonts w:hint="eastAsia"/>
                      <w:color w:val="auto"/>
                      <w:kern w:val="0"/>
                      <w:szCs w:val="21"/>
                      <w:lang w:val="en-US" w:eastAsia="zh-CN"/>
                    </w:rPr>
                    <w:t>0.0029</w:t>
                  </w:r>
                </w:p>
              </w:tc>
              <w:tc>
                <w:tcPr>
                  <w:tcW w:w="328"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color w:val="auto"/>
                      <w:kern w:val="0"/>
                      <w:szCs w:val="21"/>
                      <w:lang w:val="en-US" w:eastAsia="zh-CN"/>
                    </w:rPr>
                  </w:pPr>
                  <w:r>
                    <w:rPr>
                      <w:rFonts w:hint="eastAsia"/>
                      <w:color w:val="auto"/>
                      <w:kern w:val="0"/>
                      <w:szCs w:val="21"/>
                      <w:lang w:val="en-US" w:eastAsia="zh-CN"/>
                    </w:rPr>
                    <w:t>0.007</w:t>
                  </w:r>
                </w:p>
              </w:tc>
              <w:tc>
                <w:tcPr>
                  <w:tcW w:w="232"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250"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喷漆、晾干、调漆</w:t>
                  </w:r>
                </w:p>
              </w:tc>
              <w:tc>
                <w:tcPr>
                  <w:tcW w:w="232"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喷漆房、晾干</w:t>
                  </w:r>
                  <w:r>
                    <w:rPr>
                      <w:rFonts w:hint="eastAsia"/>
                      <w:color w:val="auto"/>
                      <w:kern w:val="0"/>
                      <w:szCs w:val="21"/>
                    </w:rPr>
                    <w:t>房</w:t>
                  </w:r>
                </w:p>
              </w:tc>
              <w:tc>
                <w:tcPr>
                  <w:tcW w:w="423"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有组织喷漆、调漆废气</w:t>
                  </w:r>
                </w:p>
              </w:tc>
              <w:tc>
                <w:tcPr>
                  <w:tcW w:w="329"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非甲烷总烃</w:t>
                  </w:r>
                </w:p>
              </w:tc>
              <w:tc>
                <w:tcPr>
                  <w:tcW w:w="237"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物料平衡法</w:t>
                  </w:r>
                </w:p>
              </w:tc>
              <w:tc>
                <w:tcPr>
                  <w:tcW w:w="287"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rFonts w:hint="eastAsia"/>
                      <w:color w:val="auto"/>
                      <w:kern w:val="0"/>
                      <w:szCs w:val="21"/>
                      <w:lang w:val="en-US" w:eastAsia="zh-CN"/>
                    </w:rPr>
                    <w:t>22000</w:t>
                  </w:r>
                </w:p>
              </w:tc>
              <w:tc>
                <w:tcPr>
                  <w:tcW w:w="359"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rFonts w:hint="eastAsia"/>
                      <w:color w:val="auto"/>
                      <w:kern w:val="0"/>
                      <w:szCs w:val="21"/>
                      <w:lang w:val="en-US" w:eastAsia="zh-CN"/>
                    </w:rPr>
                    <w:t>1.89</w:t>
                  </w:r>
                </w:p>
              </w:tc>
              <w:tc>
                <w:tcPr>
                  <w:tcW w:w="305"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rFonts w:hint="eastAsia"/>
                      <w:color w:val="auto"/>
                      <w:kern w:val="0"/>
                      <w:szCs w:val="21"/>
                      <w:lang w:val="en-US" w:eastAsia="zh-CN"/>
                    </w:rPr>
                    <w:t>0.0416</w:t>
                  </w:r>
                </w:p>
              </w:tc>
              <w:tc>
                <w:tcPr>
                  <w:tcW w:w="396"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rFonts w:hint="eastAsia"/>
                      <w:color w:val="auto"/>
                      <w:kern w:val="0"/>
                      <w:szCs w:val="21"/>
                      <w:lang w:val="en-US" w:eastAsia="zh-CN"/>
                    </w:rPr>
                    <w:t>0.0998</w:t>
                  </w:r>
                </w:p>
              </w:tc>
              <w:tc>
                <w:tcPr>
                  <w:tcW w:w="348"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干式过滤棉+二级活性炭吸附</w:t>
                  </w:r>
                </w:p>
              </w:tc>
              <w:tc>
                <w:tcPr>
                  <w:tcW w:w="338"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90%</w:t>
                  </w:r>
                </w:p>
              </w:tc>
              <w:tc>
                <w:tcPr>
                  <w:tcW w:w="287"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rFonts w:hint="eastAsia"/>
                      <w:color w:val="auto"/>
                      <w:kern w:val="0"/>
                      <w:szCs w:val="21"/>
                      <w:lang w:val="en-US" w:eastAsia="zh-CN"/>
                    </w:rPr>
                    <w:t>22000</w:t>
                  </w:r>
                </w:p>
              </w:tc>
              <w:tc>
                <w:tcPr>
                  <w:tcW w:w="314"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rFonts w:hint="eastAsia"/>
                      <w:color w:val="auto"/>
                      <w:kern w:val="0"/>
                      <w:szCs w:val="21"/>
                      <w:lang w:val="en-US" w:eastAsia="zh-CN"/>
                    </w:rPr>
                    <w:t>0.189</w:t>
                  </w:r>
                </w:p>
              </w:tc>
              <w:tc>
                <w:tcPr>
                  <w:tcW w:w="329"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rFonts w:hint="eastAsia"/>
                      <w:color w:val="auto"/>
                      <w:kern w:val="0"/>
                      <w:szCs w:val="21"/>
                      <w:lang w:val="en-US" w:eastAsia="zh-CN"/>
                    </w:rPr>
                    <w:t>0.0042</w:t>
                  </w:r>
                </w:p>
              </w:tc>
              <w:tc>
                <w:tcPr>
                  <w:tcW w:w="328"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rFonts w:hint="eastAsia"/>
                      <w:color w:val="auto"/>
                      <w:kern w:val="0"/>
                      <w:szCs w:val="21"/>
                      <w:lang w:val="en-US" w:eastAsia="zh-CN"/>
                    </w:rPr>
                    <w:t>0.01</w:t>
                  </w:r>
                </w:p>
              </w:tc>
              <w:tc>
                <w:tcPr>
                  <w:tcW w:w="232"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250"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c>
                <w:tcPr>
                  <w:tcW w:w="232"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c>
                <w:tcPr>
                  <w:tcW w:w="423"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rFonts w:hint="eastAsia"/>
                      <w:color w:val="auto"/>
                      <w:kern w:val="0"/>
                      <w:szCs w:val="21"/>
                    </w:rPr>
                    <w:t>有组织晾干废气</w:t>
                  </w:r>
                </w:p>
              </w:tc>
              <w:tc>
                <w:tcPr>
                  <w:tcW w:w="329"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非甲烷总烃</w:t>
                  </w:r>
                </w:p>
              </w:tc>
              <w:tc>
                <w:tcPr>
                  <w:tcW w:w="237"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c>
                <w:tcPr>
                  <w:tcW w:w="287"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c>
                <w:tcPr>
                  <w:tcW w:w="359" w:type="pct"/>
                  <w:shd w:val="clear" w:color="auto" w:fill="FFFFFF"/>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2"/>
                      <w:sz w:val="21"/>
                      <w:szCs w:val="24"/>
                      <w:lang w:val="en-US" w:eastAsia="zh-CN" w:bidi="ar-SA"/>
                    </w:rPr>
                  </w:pPr>
                  <w:r>
                    <w:rPr>
                      <w:rFonts w:hint="eastAsia" w:cs="Times New Roman"/>
                      <w:color w:val="auto"/>
                      <w:kern w:val="2"/>
                      <w:sz w:val="21"/>
                      <w:szCs w:val="24"/>
                      <w:lang w:val="en-US" w:eastAsia="zh-CN" w:bidi="ar-SA"/>
                    </w:rPr>
                    <w:t>35.89</w:t>
                  </w:r>
                </w:p>
              </w:tc>
              <w:tc>
                <w:tcPr>
                  <w:tcW w:w="305"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rFonts w:hint="eastAsia"/>
                      <w:color w:val="auto"/>
                      <w:kern w:val="0"/>
                      <w:szCs w:val="21"/>
                      <w:lang w:val="en-US" w:eastAsia="zh-CN"/>
                    </w:rPr>
                    <w:t>0.79</w:t>
                  </w:r>
                </w:p>
              </w:tc>
              <w:tc>
                <w:tcPr>
                  <w:tcW w:w="396"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rFonts w:hint="eastAsia"/>
                      <w:color w:val="auto"/>
                      <w:kern w:val="0"/>
                      <w:szCs w:val="21"/>
                      <w:lang w:val="en-US" w:eastAsia="zh-CN"/>
                    </w:rPr>
                    <w:t>1.895</w:t>
                  </w:r>
                </w:p>
              </w:tc>
              <w:tc>
                <w:tcPr>
                  <w:tcW w:w="348"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c>
                <w:tcPr>
                  <w:tcW w:w="338"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c>
                <w:tcPr>
                  <w:tcW w:w="287"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c>
                <w:tcPr>
                  <w:tcW w:w="314"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rFonts w:hint="eastAsia"/>
                      <w:color w:val="auto"/>
                      <w:kern w:val="0"/>
                      <w:szCs w:val="21"/>
                      <w:lang w:val="en-US" w:eastAsia="zh-CN"/>
                    </w:rPr>
                    <w:t>3.58</w:t>
                  </w:r>
                </w:p>
              </w:tc>
              <w:tc>
                <w:tcPr>
                  <w:tcW w:w="329"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rFonts w:hint="eastAsia"/>
                      <w:color w:val="auto"/>
                      <w:kern w:val="0"/>
                      <w:szCs w:val="21"/>
                      <w:lang w:val="en-US" w:eastAsia="zh-CN"/>
                    </w:rPr>
                    <w:t>0.079</w:t>
                  </w:r>
                </w:p>
              </w:tc>
              <w:tc>
                <w:tcPr>
                  <w:tcW w:w="328"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rFonts w:hint="eastAsia"/>
                      <w:color w:val="auto"/>
                      <w:kern w:val="0"/>
                      <w:szCs w:val="21"/>
                      <w:lang w:val="en-US" w:eastAsia="zh-CN"/>
                    </w:rPr>
                    <w:t>0.1895</w:t>
                  </w:r>
                </w:p>
              </w:tc>
              <w:tc>
                <w:tcPr>
                  <w:tcW w:w="232"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250"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c>
                <w:tcPr>
                  <w:tcW w:w="232"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c>
                <w:tcPr>
                  <w:tcW w:w="423"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rFonts w:hint="eastAsia"/>
                      <w:color w:val="auto"/>
                      <w:kern w:val="0"/>
                      <w:szCs w:val="21"/>
                    </w:rPr>
                    <w:t>无组织晾干废气</w:t>
                  </w:r>
                </w:p>
              </w:tc>
              <w:tc>
                <w:tcPr>
                  <w:tcW w:w="329"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非甲烷总烃</w:t>
                  </w:r>
                </w:p>
              </w:tc>
              <w:tc>
                <w:tcPr>
                  <w:tcW w:w="237"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c>
                <w:tcPr>
                  <w:tcW w:w="287"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c>
                <w:tcPr>
                  <w:tcW w:w="359"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rFonts w:hint="eastAsia"/>
                      <w:color w:val="auto"/>
                      <w:kern w:val="0"/>
                      <w:szCs w:val="21"/>
                    </w:rPr>
                    <w:t>/</w:t>
                  </w:r>
                </w:p>
              </w:tc>
              <w:tc>
                <w:tcPr>
                  <w:tcW w:w="305"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rFonts w:hint="eastAsia"/>
                      <w:color w:val="auto"/>
                      <w:kern w:val="0"/>
                      <w:szCs w:val="21"/>
                      <w:lang w:val="en-US" w:eastAsia="zh-CN"/>
                    </w:rPr>
                    <w:t>0.042</w:t>
                  </w:r>
                </w:p>
              </w:tc>
              <w:tc>
                <w:tcPr>
                  <w:tcW w:w="396"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rFonts w:hint="eastAsia"/>
                      <w:color w:val="auto"/>
                      <w:kern w:val="0"/>
                      <w:szCs w:val="21"/>
                      <w:lang w:val="en-US" w:eastAsia="zh-CN"/>
                    </w:rPr>
                    <w:t>0.1</w:t>
                  </w:r>
                </w:p>
              </w:tc>
              <w:tc>
                <w:tcPr>
                  <w:tcW w:w="348"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rFonts w:hint="eastAsia"/>
                      <w:color w:val="auto"/>
                      <w:kern w:val="0"/>
                      <w:szCs w:val="21"/>
                    </w:rPr>
                    <w:t>/</w:t>
                  </w:r>
                </w:p>
              </w:tc>
              <w:tc>
                <w:tcPr>
                  <w:tcW w:w="338"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rFonts w:hint="eastAsia"/>
                      <w:color w:val="auto"/>
                      <w:kern w:val="0"/>
                      <w:szCs w:val="21"/>
                    </w:rPr>
                    <w:t>/</w:t>
                  </w:r>
                </w:p>
              </w:tc>
              <w:tc>
                <w:tcPr>
                  <w:tcW w:w="287"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c>
                <w:tcPr>
                  <w:tcW w:w="314"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rFonts w:hint="eastAsia"/>
                      <w:color w:val="auto"/>
                      <w:kern w:val="0"/>
                      <w:szCs w:val="21"/>
                    </w:rPr>
                    <w:t>/</w:t>
                  </w:r>
                </w:p>
              </w:tc>
              <w:tc>
                <w:tcPr>
                  <w:tcW w:w="329"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rFonts w:hint="eastAsia"/>
                      <w:color w:val="auto"/>
                      <w:kern w:val="0"/>
                      <w:szCs w:val="21"/>
                      <w:lang w:val="en-US" w:eastAsia="zh-CN"/>
                    </w:rPr>
                    <w:t>0.042</w:t>
                  </w:r>
                </w:p>
              </w:tc>
              <w:tc>
                <w:tcPr>
                  <w:tcW w:w="328"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rFonts w:hint="eastAsia"/>
                      <w:color w:val="auto"/>
                      <w:kern w:val="0"/>
                      <w:szCs w:val="21"/>
                      <w:lang w:val="en-US" w:eastAsia="zh-CN"/>
                    </w:rPr>
                    <w:t>0.1</w:t>
                  </w:r>
                </w:p>
              </w:tc>
              <w:tc>
                <w:tcPr>
                  <w:tcW w:w="232"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250"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c>
                <w:tcPr>
                  <w:tcW w:w="232"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c>
                <w:tcPr>
                  <w:tcW w:w="423"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无组织喷漆、调漆废气</w:t>
                  </w:r>
                </w:p>
              </w:tc>
              <w:tc>
                <w:tcPr>
                  <w:tcW w:w="329"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非甲烷总烃</w:t>
                  </w:r>
                </w:p>
              </w:tc>
              <w:tc>
                <w:tcPr>
                  <w:tcW w:w="237"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c>
                <w:tcPr>
                  <w:tcW w:w="287"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c>
                <w:tcPr>
                  <w:tcW w:w="359"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w:t>
                  </w:r>
                </w:p>
              </w:tc>
              <w:tc>
                <w:tcPr>
                  <w:tcW w:w="305"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rFonts w:hint="eastAsia"/>
                      <w:color w:val="auto"/>
                      <w:kern w:val="0"/>
                      <w:szCs w:val="21"/>
                      <w:lang w:val="en-US" w:eastAsia="zh-CN"/>
                    </w:rPr>
                    <w:t>0.0021</w:t>
                  </w:r>
                </w:p>
              </w:tc>
              <w:tc>
                <w:tcPr>
                  <w:tcW w:w="396"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rFonts w:hint="eastAsia"/>
                      <w:color w:val="auto"/>
                      <w:kern w:val="0"/>
                      <w:szCs w:val="21"/>
                      <w:lang w:val="en-US" w:eastAsia="zh-CN"/>
                    </w:rPr>
                    <w:t>0.005</w:t>
                  </w:r>
                </w:p>
              </w:tc>
              <w:tc>
                <w:tcPr>
                  <w:tcW w:w="348"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w:t>
                  </w:r>
                </w:p>
              </w:tc>
              <w:tc>
                <w:tcPr>
                  <w:tcW w:w="338"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w:t>
                  </w:r>
                </w:p>
              </w:tc>
              <w:tc>
                <w:tcPr>
                  <w:tcW w:w="287"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c>
                <w:tcPr>
                  <w:tcW w:w="314"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w:t>
                  </w:r>
                </w:p>
              </w:tc>
              <w:tc>
                <w:tcPr>
                  <w:tcW w:w="329"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rFonts w:hint="eastAsia"/>
                      <w:color w:val="auto"/>
                      <w:kern w:val="0"/>
                      <w:szCs w:val="21"/>
                      <w:lang w:val="en-US" w:eastAsia="zh-CN"/>
                    </w:rPr>
                    <w:t>0.0021</w:t>
                  </w:r>
                </w:p>
              </w:tc>
              <w:tc>
                <w:tcPr>
                  <w:tcW w:w="328"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rFonts w:hint="eastAsia"/>
                      <w:color w:val="auto"/>
                      <w:kern w:val="0"/>
                      <w:szCs w:val="21"/>
                      <w:lang w:val="en-US" w:eastAsia="zh-CN"/>
                    </w:rPr>
                    <w:t>0.005</w:t>
                  </w:r>
                </w:p>
              </w:tc>
              <w:tc>
                <w:tcPr>
                  <w:tcW w:w="232"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250"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喷漆</w:t>
                  </w:r>
                </w:p>
              </w:tc>
              <w:tc>
                <w:tcPr>
                  <w:tcW w:w="232"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喷漆房</w:t>
                  </w:r>
                </w:p>
              </w:tc>
              <w:tc>
                <w:tcPr>
                  <w:tcW w:w="423"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喷漆废气</w:t>
                  </w:r>
                </w:p>
              </w:tc>
              <w:tc>
                <w:tcPr>
                  <w:tcW w:w="329"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颗粒物</w:t>
                  </w:r>
                </w:p>
              </w:tc>
              <w:tc>
                <w:tcPr>
                  <w:tcW w:w="237"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c>
                <w:tcPr>
                  <w:tcW w:w="287"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c>
                <w:tcPr>
                  <w:tcW w:w="359"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rFonts w:hint="eastAsia"/>
                      <w:color w:val="auto"/>
                      <w:kern w:val="0"/>
                      <w:szCs w:val="21"/>
                      <w:lang w:val="en-US" w:eastAsia="zh-CN"/>
                    </w:rPr>
                    <w:t>96.8</w:t>
                  </w:r>
                </w:p>
              </w:tc>
              <w:tc>
                <w:tcPr>
                  <w:tcW w:w="305"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rFonts w:hint="eastAsia"/>
                      <w:color w:val="auto"/>
                      <w:kern w:val="0"/>
                      <w:szCs w:val="21"/>
                      <w:lang w:val="en-US" w:eastAsia="zh-CN"/>
                    </w:rPr>
                    <w:t>2.13</w:t>
                  </w:r>
                </w:p>
              </w:tc>
              <w:tc>
                <w:tcPr>
                  <w:tcW w:w="396"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rFonts w:hint="eastAsia"/>
                      <w:color w:val="auto"/>
                      <w:kern w:val="0"/>
                      <w:szCs w:val="21"/>
                      <w:lang w:val="en-US" w:eastAsia="zh-CN"/>
                    </w:rPr>
                    <w:t>5.111</w:t>
                  </w:r>
                </w:p>
              </w:tc>
              <w:tc>
                <w:tcPr>
                  <w:tcW w:w="348"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干式过滤棉+二级活性炭吸附</w:t>
                  </w:r>
                </w:p>
              </w:tc>
              <w:tc>
                <w:tcPr>
                  <w:tcW w:w="338"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90%</w:t>
                  </w:r>
                </w:p>
              </w:tc>
              <w:tc>
                <w:tcPr>
                  <w:tcW w:w="287"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p>
              </w:tc>
              <w:tc>
                <w:tcPr>
                  <w:tcW w:w="314"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rFonts w:hint="eastAsia"/>
                      <w:color w:val="auto"/>
                      <w:kern w:val="0"/>
                      <w:szCs w:val="21"/>
                      <w:lang w:val="en-US" w:eastAsia="zh-CN"/>
                    </w:rPr>
                    <w:t>9.68</w:t>
                  </w:r>
                </w:p>
              </w:tc>
              <w:tc>
                <w:tcPr>
                  <w:tcW w:w="329"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rFonts w:hint="eastAsia"/>
                      <w:color w:val="auto"/>
                      <w:kern w:val="0"/>
                      <w:szCs w:val="21"/>
                      <w:lang w:val="en-US" w:eastAsia="zh-CN"/>
                    </w:rPr>
                    <w:t>0.212</w:t>
                  </w:r>
                </w:p>
              </w:tc>
              <w:tc>
                <w:tcPr>
                  <w:tcW w:w="328"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rFonts w:hint="eastAsia"/>
                      <w:color w:val="auto"/>
                      <w:kern w:val="0"/>
                      <w:szCs w:val="21"/>
                      <w:lang w:val="en-US" w:eastAsia="zh-CN"/>
                    </w:rPr>
                    <w:t>0.512</w:t>
                  </w:r>
                </w:p>
              </w:tc>
              <w:tc>
                <w:tcPr>
                  <w:tcW w:w="232"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250"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c>
                <w:tcPr>
                  <w:tcW w:w="232"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c>
                <w:tcPr>
                  <w:tcW w:w="423"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喷漆废气</w:t>
                  </w:r>
                </w:p>
              </w:tc>
              <w:tc>
                <w:tcPr>
                  <w:tcW w:w="329"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颗粒物</w:t>
                  </w:r>
                </w:p>
              </w:tc>
              <w:tc>
                <w:tcPr>
                  <w:tcW w:w="237"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c>
                <w:tcPr>
                  <w:tcW w:w="287"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c>
                <w:tcPr>
                  <w:tcW w:w="359"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w:t>
                  </w:r>
                </w:p>
              </w:tc>
              <w:tc>
                <w:tcPr>
                  <w:tcW w:w="305"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rFonts w:hint="eastAsia"/>
                      <w:color w:val="auto"/>
                      <w:kern w:val="0"/>
                      <w:szCs w:val="21"/>
                      <w:lang w:val="en-US" w:eastAsia="zh-CN"/>
                    </w:rPr>
                    <w:t>0.112</w:t>
                  </w:r>
                </w:p>
              </w:tc>
              <w:tc>
                <w:tcPr>
                  <w:tcW w:w="396"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rFonts w:hint="eastAsia"/>
                      <w:color w:val="auto"/>
                      <w:kern w:val="0"/>
                      <w:szCs w:val="21"/>
                      <w:lang w:val="en-US" w:eastAsia="zh-CN"/>
                    </w:rPr>
                    <w:t>0.269</w:t>
                  </w:r>
                </w:p>
              </w:tc>
              <w:tc>
                <w:tcPr>
                  <w:tcW w:w="348"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w:t>
                  </w:r>
                </w:p>
              </w:tc>
              <w:tc>
                <w:tcPr>
                  <w:tcW w:w="338"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w:t>
                  </w:r>
                </w:p>
              </w:tc>
              <w:tc>
                <w:tcPr>
                  <w:tcW w:w="287"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c>
                <w:tcPr>
                  <w:tcW w:w="314"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w:t>
                  </w:r>
                </w:p>
              </w:tc>
              <w:tc>
                <w:tcPr>
                  <w:tcW w:w="329"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0"/>
                      <w:sz w:val="21"/>
                      <w:szCs w:val="21"/>
                      <w:lang w:val="en-US" w:eastAsia="zh-CN" w:bidi="ar-SA"/>
                    </w:rPr>
                  </w:pPr>
                  <w:r>
                    <w:rPr>
                      <w:rFonts w:hint="eastAsia"/>
                      <w:color w:val="auto"/>
                      <w:kern w:val="0"/>
                      <w:szCs w:val="21"/>
                      <w:lang w:val="en-US" w:eastAsia="zh-CN"/>
                    </w:rPr>
                    <w:t>0.112</w:t>
                  </w:r>
                </w:p>
              </w:tc>
              <w:tc>
                <w:tcPr>
                  <w:tcW w:w="328"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0"/>
                      <w:sz w:val="21"/>
                      <w:szCs w:val="21"/>
                      <w:lang w:val="en-US" w:eastAsia="zh-CN" w:bidi="ar-SA"/>
                    </w:rPr>
                  </w:pPr>
                  <w:r>
                    <w:rPr>
                      <w:rFonts w:hint="eastAsia"/>
                      <w:color w:val="auto"/>
                      <w:kern w:val="0"/>
                      <w:szCs w:val="21"/>
                      <w:lang w:val="en-US" w:eastAsia="zh-CN"/>
                    </w:rPr>
                    <w:t>0.269</w:t>
                  </w:r>
                </w:p>
              </w:tc>
              <w:tc>
                <w:tcPr>
                  <w:tcW w:w="232"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250"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eastAsia="宋体"/>
                      <w:color w:val="auto"/>
                      <w:kern w:val="0"/>
                      <w:szCs w:val="21"/>
                      <w:lang w:eastAsia="zh-CN"/>
                    </w:rPr>
                  </w:pPr>
                  <w:r>
                    <w:rPr>
                      <w:rFonts w:hint="eastAsia"/>
                      <w:color w:val="auto"/>
                      <w:kern w:val="0"/>
                      <w:szCs w:val="21"/>
                      <w:lang w:eastAsia="zh-CN"/>
                    </w:rPr>
                    <w:t>危废</w:t>
                  </w:r>
                </w:p>
              </w:tc>
              <w:tc>
                <w:tcPr>
                  <w:tcW w:w="232"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auto"/>
                      <w:kern w:val="0"/>
                      <w:sz w:val="21"/>
                      <w:szCs w:val="21"/>
                      <w:lang w:val="en-US" w:eastAsia="zh-CN" w:bidi="ar-SA"/>
                    </w:rPr>
                  </w:pPr>
                  <w:r>
                    <w:rPr>
                      <w:rFonts w:hint="eastAsia"/>
                      <w:color w:val="auto"/>
                      <w:kern w:val="0"/>
                      <w:szCs w:val="21"/>
                      <w:lang w:eastAsia="zh-CN"/>
                    </w:rPr>
                    <w:t>危废库</w:t>
                  </w:r>
                </w:p>
              </w:tc>
              <w:tc>
                <w:tcPr>
                  <w:tcW w:w="423"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eastAsia="宋体"/>
                      <w:color w:val="auto"/>
                      <w:kern w:val="0"/>
                      <w:szCs w:val="21"/>
                      <w:lang w:eastAsia="zh-CN"/>
                    </w:rPr>
                  </w:pPr>
                  <w:r>
                    <w:rPr>
                      <w:rFonts w:hint="eastAsia"/>
                      <w:color w:val="auto"/>
                      <w:kern w:val="0"/>
                      <w:szCs w:val="21"/>
                      <w:lang w:eastAsia="zh-CN"/>
                    </w:rPr>
                    <w:t>有机废气</w:t>
                  </w:r>
                </w:p>
              </w:tc>
              <w:tc>
                <w:tcPr>
                  <w:tcW w:w="329"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非甲烷总烃</w:t>
                  </w:r>
                </w:p>
              </w:tc>
              <w:tc>
                <w:tcPr>
                  <w:tcW w:w="237"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产污系数法</w:t>
                  </w:r>
                </w:p>
              </w:tc>
              <w:tc>
                <w:tcPr>
                  <w:tcW w:w="287"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rFonts w:hint="eastAsia"/>
                      <w:color w:val="auto"/>
                      <w:kern w:val="0"/>
                      <w:szCs w:val="21"/>
                      <w:lang w:val="en-US" w:eastAsia="zh-CN"/>
                    </w:rPr>
                    <w:t>22000</w:t>
                  </w:r>
                </w:p>
              </w:tc>
              <w:tc>
                <w:tcPr>
                  <w:tcW w:w="98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rFonts w:hint="eastAsia" w:cs="Times New Roman"/>
                      <w:color w:val="auto"/>
                      <w:kern w:val="0"/>
                      <w:sz w:val="21"/>
                      <w:szCs w:val="21"/>
                      <w:lang w:val="en-US" w:eastAsia="zh-CN" w:bidi="ar-SA"/>
                    </w:rPr>
                    <w:t>2.27</w:t>
                  </w:r>
                </w:p>
              </w:tc>
              <w:tc>
                <w:tcPr>
                  <w:tcW w:w="836"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color w:val="auto"/>
                      <w:kern w:val="0"/>
                      <w:szCs w:val="21"/>
                      <w:lang w:val="en-US" w:eastAsia="zh-CN"/>
                    </w:rPr>
                  </w:pPr>
                  <w:r>
                    <w:rPr>
                      <w:rFonts w:hint="eastAsia" w:cs="Times New Roman"/>
                      <w:color w:val="auto"/>
                      <w:kern w:val="0"/>
                      <w:sz w:val="21"/>
                      <w:szCs w:val="21"/>
                      <w:lang w:val="en-US" w:eastAsia="zh-CN" w:bidi="ar-SA"/>
                    </w:rPr>
                    <w:t>0.0499</w:t>
                  </w:r>
                </w:p>
              </w:tc>
              <w:tc>
                <w:tcPr>
                  <w:tcW w:w="1086"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color w:val="auto"/>
                      <w:kern w:val="0"/>
                      <w:szCs w:val="21"/>
                      <w:lang w:val="en-US" w:eastAsia="zh-CN"/>
                    </w:rPr>
                  </w:pPr>
                  <w:r>
                    <w:rPr>
                      <w:rFonts w:hint="eastAsia" w:cs="Times New Roman"/>
                      <w:color w:val="auto"/>
                      <w:kern w:val="0"/>
                      <w:sz w:val="21"/>
                      <w:szCs w:val="21"/>
                      <w:lang w:val="en-US" w:eastAsia="zh-CN" w:bidi="ar-SA"/>
                    </w:rPr>
                    <w:t>0.1079</w:t>
                  </w:r>
                </w:p>
              </w:tc>
              <w:tc>
                <w:tcPr>
                  <w:tcW w:w="348"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二级活性炭吸附</w:t>
                  </w:r>
                </w:p>
              </w:tc>
              <w:tc>
                <w:tcPr>
                  <w:tcW w:w="338"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90%</w:t>
                  </w:r>
                </w:p>
              </w:tc>
              <w:tc>
                <w:tcPr>
                  <w:tcW w:w="287"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c>
                <w:tcPr>
                  <w:tcW w:w="861"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rFonts w:hint="eastAsia" w:cs="Times New Roman"/>
                      <w:color w:val="auto"/>
                      <w:kern w:val="0"/>
                      <w:sz w:val="21"/>
                      <w:szCs w:val="21"/>
                      <w:lang w:val="en-US" w:eastAsia="zh-CN" w:bidi="ar-SA"/>
                    </w:rPr>
                    <w:t>0.23</w:t>
                  </w:r>
                </w:p>
              </w:tc>
              <w:tc>
                <w:tcPr>
                  <w:tcW w:w="90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color w:val="auto"/>
                      <w:kern w:val="0"/>
                      <w:szCs w:val="21"/>
                      <w:lang w:val="en-US" w:eastAsia="zh-CN"/>
                    </w:rPr>
                  </w:pPr>
                  <w:r>
                    <w:rPr>
                      <w:rFonts w:hint="eastAsia" w:cs="Times New Roman"/>
                      <w:color w:val="auto"/>
                      <w:kern w:val="0"/>
                      <w:sz w:val="21"/>
                      <w:szCs w:val="21"/>
                      <w:lang w:val="en-US" w:eastAsia="zh-CN" w:bidi="ar-SA"/>
                    </w:rPr>
                    <w:t>0.0050</w:t>
                  </w:r>
                </w:p>
              </w:tc>
              <w:tc>
                <w:tcPr>
                  <w:tcW w:w="901"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color w:val="auto"/>
                      <w:kern w:val="0"/>
                      <w:szCs w:val="21"/>
                      <w:lang w:val="en-US" w:eastAsia="zh-CN"/>
                    </w:rPr>
                  </w:pPr>
                  <w:r>
                    <w:rPr>
                      <w:rFonts w:hint="eastAsia" w:cs="Times New Roman"/>
                      <w:color w:val="auto"/>
                      <w:kern w:val="0"/>
                      <w:sz w:val="21"/>
                      <w:szCs w:val="21"/>
                      <w:lang w:val="en-US" w:eastAsia="zh-CN" w:bidi="ar-SA"/>
                    </w:rPr>
                    <w:t>0.0108</w:t>
                  </w:r>
                </w:p>
              </w:tc>
              <w:tc>
                <w:tcPr>
                  <w:tcW w:w="232"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250"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color w:val="auto"/>
                      <w:kern w:val="0"/>
                      <w:szCs w:val="21"/>
                      <w:lang w:eastAsia="zh-CN"/>
                    </w:rPr>
                  </w:pPr>
                </w:p>
              </w:tc>
              <w:tc>
                <w:tcPr>
                  <w:tcW w:w="232"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color w:val="auto"/>
                      <w:kern w:val="0"/>
                      <w:szCs w:val="21"/>
                      <w:lang w:eastAsia="zh-CN"/>
                    </w:rPr>
                  </w:pPr>
                </w:p>
              </w:tc>
              <w:tc>
                <w:tcPr>
                  <w:tcW w:w="423"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color w:val="auto"/>
                      <w:kern w:val="0"/>
                      <w:szCs w:val="21"/>
                      <w:lang w:eastAsia="zh-CN"/>
                    </w:rPr>
                  </w:pPr>
                  <w:r>
                    <w:rPr>
                      <w:rFonts w:hint="eastAsia"/>
                      <w:color w:val="auto"/>
                      <w:kern w:val="0"/>
                      <w:szCs w:val="21"/>
                      <w:lang w:eastAsia="zh-CN"/>
                    </w:rPr>
                    <w:t>有机废气</w:t>
                  </w:r>
                </w:p>
              </w:tc>
              <w:tc>
                <w:tcPr>
                  <w:tcW w:w="329"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非甲烷总烃</w:t>
                  </w:r>
                </w:p>
              </w:tc>
              <w:tc>
                <w:tcPr>
                  <w:tcW w:w="237"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c>
                <w:tcPr>
                  <w:tcW w:w="287"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color w:val="auto"/>
                      <w:kern w:val="0"/>
                      <w:szCs w:val="21"/>
                      <w:lang w:val="en-US" w:eastAsia="zh-CN"/>
                    </w:rPr>
                  </w:pPr>
                </w:p>
              </w:tc>
              <w:tc>
                <w:tcPr>
                  <w:tcW w:w="359"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eastAsia="宋体"/>
                      <w:color w:val="auto"/>
                      <w:kern w:val="0"/>
                      <w:szCs w:val="21"/>
                      <w:lang w:val="en-US" w:eastAsia="zh-CN"/>
                    </w:rPr>
                  </w:pPr>
                  <w:r>
                    <w:rPr>
                      <w:rFonts w:hint="eastAsia"/>
                      <w:color w:val="auto"/>
                      <w:kern w:val="0"/>
                      <w:szCs w:val="21"/>
                      <w:lang w:val="en-US" w:eastAsia="zh-CN"/>
                    </w:rPr>
                    <w:t>/</w:t>
                  </w:r>
                </w:p>
              </w:tc>
              <w:tc>
                <w:tcPr>
                  <w:tcW w:w="836"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cs="Times New Roman"/>
                      <w:color w:val="auto"/>
                      <w:kern w:val="0"/>
                      <w:sz w:val="21"/>
                      <w:szCs w:val="21"/>
                      <w:lang w:val="en-US" w:eastAsia="zh-CN" w:bidi="ar-SA"/>
                    </w:rPr>
                  </w:pPr>
                  <w:r>
                    <w:rPr>
                      <w:rFonts w:hint="eastAsia"/>
                      <w:color w:val="auto"/>
                      <w:kern w:val="0"/>
                      <w:szCs w:val="21"/>
                      <w:lang w:val="en-US" w:eastAsia="zh-CN"/>
                    </w:rPr>
                    <w:t>0.005</w:t>
                  </w:r>
                </w:p>
              </w:tc>
              <w:tc>
                <w:tcPr>
                  <w:tcW w:w="1086"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cs="Times New Roman"/>
                      <w:color w:val="auto"/>
                      <w:kern w:val="0"/>
                      <w:sz w:val="21"/>
                      <w:szCs w:val="21"/>
                      <w:lang w:val="en-US" w:eastAsia="zh-CN" w:bidi="ar-SA"/>
                    </w:rPr>
                  </w:pPr>
                  <w:r>
                    <w:rPr>
                      <w:rFonts w:hint="eastAsia"/>
                      <w:color w:val="auto"/>
                      <w:kern w:val="0"/>
                      <w:szCs w:val="21"/>
                      <w:lang w:val="en-US" w:eastAsia="zh-CN"/>
                    </w:rPr>
                    <w:t>0.012</w:t>
                  </w:r>
                </w:p>
              </w:tc>
              <w:tc>
                <w:tcPr>
                  <w:tcW w:w="348"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eastAsia="宋体"/>
                      <w:color w:val="auto"/>
                      <w:kern w:val="0"/>
                      <w:szCs w:val="21"/>
                      <w:lang w:val="en-US" w:eastAsia="zh-CN"/>
                    </w:rPr>
                  </w:pPr>
                  <w:r>
                    <w:rPr>
                      <w:color w:val="auto"/>
                      <w:kern w:val="0"/>
                      <w:szCs w:val="21"/>
                    </w:rPr>
                    <w:t>/</w:t>
                  </w:r>
                </w:p>
              </w:tc>
              <w:tc>
                <w:tcPr>
                  <w:tcW w:w="338"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w:t>
                  </w:r>
                </w:p>
              </w:tc>
              <w:tc>
                <w:tcPr>
                  <w:tcW w:w="287"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c>
                <w:tcPr>
                  <w:tcW w:w="314"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w:t>
                  </w:r>
                </w:p>
              </w:tc>
              <w:tc>
                <w:tcPr>
                  <w:tcW w:w="90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cs="Times New Roman"/>
                      <w:color w:val="auto"/>
                      <w:kern w:val="0"/>
                      <w:sz w:val="21"/>
                      <w:szCs w:val="21"/>
                      <w:lang w:val="en-US" w:eastAsia="zh-CN" w:bidi="ar-SA"/>
                    </w:rPr>
                  </w:pPr>
                  <w:r>
                    <w:rPr>
                      <w:rFonts w:hint="eastAsia"/>
                      <w:color w:val="auto"/>
                      <w:kern w:val="0"/>
                      <w:szCs w:val="21"/>
                      <w:lang w:val="en-US" w:eastAsia="zh-CN"/>
                    </w:rPr>
                    <w:t>0.005</w:t>
                  </w:r>
                </w:p>
              </w:tc>
              <w:tc>
                <w:tcPr>
                  <w:tcW w:w="901"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cs="Times New Roman"/>
                      <w:color w:val="auto"/>
                      <w:kern w:val="0"/>
                      <w:sz w:val="21"/>
                      <w:szCs w:val="21"/>
                      <w:lang w:val="en-US" w:eastAsia="zh-CN" w:bidi="ar-SA"/>
                    </w:rPr>
                  </w:pPr>
                  <w:r>
                    <w:rPr>
                      <w:rFonts w:hint="eastAsia"/>
                      <w:color w:val="auto"/>
                      <w:kern w:val="0"/>
                      <w:szCs w:val="21"/>
                      <w:lang w:val="en-US" w:eastAsia="zh-CN"/>
                    </w:rPr>
                    <w:t>0.012</w:t>
                  </w:r>
                </w:p>
              </w:tc>
              <w:tc>
                <w:tcPr>
                  <w:tcW w:w="232"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p>
              </w:tc>
            </w:tr>
          </w:tbl>
          <w:p>
            <w:pPr>
              <w:wordWrap w:val="0"/>
              <w:spacing w:before="120" w:beforeLines="50" w:line="360" w:lineRule="auto"/>
              <w:jc w:val="center"/>
              <w:rPr>
                <w:b/>
                <w:bCs/>
                <w:color w:val="auto"/>
              </w:rPr>
            </w:pPr>
            <w:r>
              <w:rPr>
                <w:b/>
                <w:bCs/>
                <w:color w:val="auto"/>
              </w:rPr>
              <w:t>表 4.2-2 建设项目有组织废气污染源源强核算结果及相关参数一览表</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
              <w:gridCol w:w="833"/>
              <w:gridCol w:w="872"/>
              <w:gridCol w:w="741"/>
              <w:gridCol w:w="820"/>
              <w:gridCol w:w="905"/>
              <w:gridCol w:w="884"/>
              <w:gridCol w:w="817"/>
              <w:gridCol w:w="746"/>
              <w:gridCol w:w="601"/>
              <w:gridCol w:w="880"/>
              <w:gridCol w:w="881"/>
              <w:gridCol w:w="875"/>
              <w:gridCol w:w="809"/>
              <w:gridCol w:w="840"/>
              <w:gridCol w:w="660"/>
              <w:gridCol w:w="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jc w:val="center"/>
              </w:trPr>
              <w:tc>
                <w:tcPr>
                  <w:tcW w:w="321" w:type="pct"/>
                  <w:vMerge w:val="restart"/>
                  <w:vAlign w:val="center"/>
                </w:tcPr>
                <w:p>
                  <w:pPr>
                    <w:widowControl/>
                    <w:jc w:val="center"/>
                    <w:rPr>
                      <w:b/>
                      <w:bCs/>
                      <w:color w:val="auto"/>
                      <w:kern w:val="0"/>
                      <w:szCs w:val="21"/>
                    </w:rPr>
                  </w:pPr>
                  <w:r>
                    <w:rPr>
                      <w:b/>
                      <w:bCs/>
                      <w:color w:val="auto"/>
                      <w:kern w:val="0"/>
                      <w:szCs w:val="21"/>
                    </w:rPr>
                    <w:t>污染源</w:t>
                  </w:r>
                </w:p>
              </w:tc>
              <w:tc>
                <w:tcPr>
                  <w:tcW w:w="304" w:type="pct"/>
                  <w:vMerge w:val="restart"/>
                  <w:vAlign w:val="center"/>
                </w:tcPr>
                <w:p>
                  <w:pPr>
                    <w:widowControl/>
                    <w:jc w:val="center"/>
                    <w:rPr>
                      <w:b/>
                      <w:bCs/>
                      <w:color w:val="auto"/>
                      <w:kern w:val="0"/>
                      <w:szCs w:val="21"/>
                    </w:rPr>
                  </w:pPr>
                  <w:r>
                    <w:rPr>
                      <w:b/>
                      <w:bCs/>
                      <w:color w:val="auto"/>
                      <w:kern w:val="0"/>
                      <w:szCs w:val="21"/>
                    </w:rPr>
                    <w:t>排放口编号</w:t>
                  </w:r>
                </w:p>
              </w:tc>
              <w:tc>
                <w:tcPr>
                  <w:tcW w:w="318" w:type="pct"/>
                  <w:vMerge w:val="restart"/>
                  <w:vAlign w:val="center"/>
                </w:tcPr>
                <w:p>
                  <w:pPr>
                    <w:widowControl/>
                    <w:jc w:val="center"/>
                    <w:rPr>
                      <w:b/>
                      <w:bCs/>
                      <w:color w:val="auto"/>
                      <w:kern w:val="0"/>
                      <w:szCs w:val="21"/>
                    </w:rPr>
                  </w:pPr>
                  <w:r>
                    <w:rPr>
                      <w:b/>
                      <w:bCs/>
                      <w:color w:val="auto"/>
                      <w:kern w:val="0"/>
                      <w:szCs w:val="21"/>
                    </w:rPr>
                    <w:t>污染物名称</w:t>
                  </w:r>
                </w:p>
              </w:tc>
              <w:tc>
                <w:tcPr>
                  <w:tcW w:w="270" w:type="pct"/>
                  <w:vMerge w:val="restart"/>
                  <w:vAlign w:val="center"/>
                </w:tcPr>
                <w:p>
                  <w:pPr>
                    <w:widowControl/>
                    <w:jc w:val="center"/>
                    <w:rPr>
                      <w:b/>
                      <w:bCs/>
                      <w:color w:val="auto"/>
                      <w:kern w:val="0"/>
                      <w:szCs w:val="21"/>
                    </w:rPr>
                  </w:pPr>
                  <w:r>
                    <w:rPr>
                      <w:b/>
                      <w:bCs/>
                      <w:color w:val="auto"/>
                      <w:kern w:val="0"/>
                      <w:szCs w:val="21"/>
                    </w:rPr>
                    <w:t>废气产生量m</w:t>
                  </w:r>
                  <w:r>
                    <w:rPr>
                      <w:b/>
                      <w:bCs/>
                      <w:color w:val="auto"/>
                      <w:kern w:val="0"/>
                      <w:szCs w:val="21"/>
                      <w:vertAlign w:val="superscript"/>
                    </w:rPr>
                    <w:t>3</w:t>
                  </w:r>
                  <w:r>
                    <w:rPr>
                      <w:b/>
                      <w:bCs/>
                      <w:color w:val="auto"/>
                      <w:kern w:val="0"/>
                      <w:szCs w:val="21"/>
                    </w:rPr>
                    <w:t>/h</w:t>
                  </w:r>
                </w:p>
              </w:tc>
              <w:tc>
                <w:tcPr>
                  <w:tcW w:w="299" w:type="pct"/>
                  <w:vMerge w:val="restart"/>
                  <w:vAlign w:val="center"/>
                </w:tcPr>
                <w:p>
                  <w:pPr>
                    <w:widowControl/>
                    <w:jc w:val="center"/>
                    <w:rPr>
                      <w:b/>
                      <w:bCs/>
                      <w:color w:val="auto"/>
                      <w:kern w:val="0"/>
                      <w:szCs w:val="21"/>
                    </w:rPr>
                  </w:pPr>
                  <w:r>
                    <w:rPr>
                      <w:b/>
                      <w:bCs/>
                      <w:color w:val="auto"/>
                      <w:kern w:val="0"/>
                      <w:szCs w:val="21"/>
                    </w:rPr>
                    <w:t>核算方法</w:t>
                  </w:r>
                </w:p>
              </w:tc>
              <w:tc>
                <w:tcPr>
                  <w:tcW w:w="951" w:type="pct"/>
                  <w:gridSpan w:val="3"/>
                  <w:vAlign w:val="center"/>
                </w:tcPr>
                <w:p>
                  <w:pPr>
                    <w:widowControl/>
                    <w:jc w:val="center"/>
                    <w:rPr>
                      <w:b/>
                      <w:bCs/>
                      <w:color w:val="auto"/>
                      <w:kern w:val="0"/>
                      <w:szCs w:val="21"/>
                    </w:rPr>
                  </w:pPr>
                  <w:r>
                    <w:rPr>
                      <w:b/>
                      <w:bCs/>
                      <w:color w:val="auto"/>
                      <w:kern w:val="0"/>
                      <w:szCs w:val="21"/>
                    </w:rPr>
                    <w:t>产生情况</w:t>
                  </w:r>
                </w:p>
              </w:tc>
              <w:tc>
                <w:tcPr>
                  <w:tcW w:w="491" w:type="pct"/>
                  <w:gridSpan w:val="2"/>
                  <w:vAlign w:val="center"/>
                </w:tcPr>
                <w:p>
                  <w:pPr>
                    <w:widowControl/>
                    <w:jc w:val="center"/>
                    <w:rPr>
                      <w:b/>
                      <w:bCs/>
                      <w:color w:val="auto"/>
                      <w:kern w:val="0"/>
                      <w:szCs w:val="21"/>
                    </w:rPr>
                  </w:pPr>
                  <w:r>
                    <w:rPr>
                      <w:b/>
                      <w:bCs/>
                      <w:color w:val="auto"/>
                      <w:kern w:val="0"/>
                      <w:szCs w:val="21"/>
                    </w:rPr>
                    <w:t>治理措施</w:t>
                  </w:r>
                </w:p>
              </w:tc>
              <w:tc>
                <w:tcPr>
                  <w:tcW w:w="321" w:type="pct"/>
                  <w:vMerge w:val="restart"/>
                  <w:vAlign w:val="center"/>
                </w:tcPr>
                <w:p>
                  <w:pPr>
                    <w:widowControl/>
                    <w:jc w:val="center"/>
                    <w:rPr>
                      <w:b/>
                      <w:bCs/>
                      <w:color w:val="auto"/>
                      <w:kern w:val="0"/>
                      <w:szCs w:val="21"/>
                    </w:rPr>
                  </w:pPr>
                  <w:r>
                    <w:rPr>
                      <w:b/>
                      <w:bCs/>
                      <w:color w:val="auto"/>
                      <w:kern w:val="0"/>
                      <w:szCs w:val="21"/>
                    </w:rPr>
                    <w:t>核算方法</w:t>
                  </w:r>
                </w:p>
              </w:tc>
              <w:tc>
                <w:tcPr>
                  <w:tcW w:w="936" w:type="pct"/>
                  <w:gridSpan w:val="3"/>
                  <w:vAlign w:val="center"/>
                </w:tcPr>
                <w:p>
                  <w:pPr>
                    <w:widowControl/>
                    <w:jc w:val="center"/>
                    <w:rPr>
                      <w:b/>
                      <w:bCs/>
                      <w:color w:val="auto"/>
                      <w:kern w:val="0"/>
                      <w:szCs w:val="21"/>
                    </w:rPr>
                  </w:pPr>
                  <w:r>
                    <w:rPr>
                      <w:b/>
                      <w:bCs/>
                      <w:color w:val="auto"/>
                      <w:kern w:val="0"/>
                      <w:szCs w:val="21"/>
                    </w:rPr>
                    <w:t>排放情况</w:t>
                  </w:r>
                </w:p>
              </w:tc>
              <w:tc>
                <w:tcPr>
                  <w:tcW w:w="547" w:type="pct"/>
                  <w:gridSpan w:val="2"/>
                  <w:vAlign w:val="center"/>
                </w:tcPr>
                <w:p>
                  <w:pPr>
                    <w:widowControl/>
                    <w:jc w:val="center"/>
                    <w:rPr>
                      <w:b/>
                      <w:bCs/>
                      <w:color w:val="auto"/>
                      <w:kern w:val="0"/>
                      <w:szCs w:val="21"/>
                    </w:rPr>
                  </w:pPr>
                  <w:r>
                    <w:rPr>
                      <w:b/>
                      <w:bCs/>
                      <w:color w:val="auto"/>
                      <w:kern w:val="0"/>
                      <w:szCs w:val="21"/>
                    </w:rPr>
                    <w:t>执行标准</w:t>
                  </w:r>
                </w:p>
              </w:tc>
              <w:tc>
                <w:tcPr>
                  <w:tcW w:w="238" w:type="pct"/>
                  <w:vMerge w:val="restart"/>
                  <w:vAlign w:val="center"/>
                </w:tcPr>
                <w:p>
                  <w:pPr>
                    <w:widowControl/>
                    <w:jc w:val="center"/>
                    <w:rPr>
                      <w:b/>
                      <w:bCs/>
                      <w:color w:val="auto"/>
                      <w:kern w:val="0"/>
                      <w:szCs w:val="21"/>
                    </w:rPr>
                  </w:pPr>
                  <w:r>
                    <w:rPr>
                      <w:b/>
                      <w:bCs/>
                      <w:color w:val="auto"/>
                      <w:kern w:val="0"/>
                      <w:szCs w:val="21"/>
                    </w:rPr>
                    <w:t>排放时间</w:t>
                  </w:r>
                  <w:r>
                    <w:rPr>
                      <w:b/>
                      <w:bCs/>
                      <w:color w:val="auto"/>
                      <w:kern w:val="0"/>
                      <w:szCs w:val="21"/>
                    </w:rPr>
                    <w:br w:type="textWrapping"/>
                  </w:r>
                  <w:r>
                    <w:rPr>
                      <w:b/>
                      <w:bCs/>
                      <w:color w:val="auto"/>
                      <w:kern w:val="0"/>
                      <w:szCs w:val="21"/>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321" w:type="pct"/>
                  <w:vMerge w:val="continue"/>
                  <w:vAlign w:val="center"/>
                </w:tcPr>
                <w:p>
                  <w:pPr>
                    <w:widowControl/>
                    <w:jc w:val="center"/>
                    <w:rPr>
                      <w:b/>
                      <w:bCs/>
                      <w:color w:val="auto"/>
                      <w:kern w:val="0"/>
                      <w:szCs w:val="21"/>
                    </w:rPr>
                  </w:pPr>
                </w:p>
              </w:tc>
              <w:tc>
                <w:tcPr>
                  <w:tcW w:w="304" w:type="pct"/>
                  <w:vMerge w:val="continue"/>
                  <w:vAlign w:val="center"/>
                </w:tcPr>
                <w:p>
                  <w:pPr>
                    <w:widowControl/>
                    <w:jc w:val="center"/>
                    <w:rPr>
                      <w:b/>
                      <w:bCs/>
                      <w:color w:val="auto"/>
                      <w:kern w:val="0"/>
                      <w:szCs w:val="21"/>
                    </w:rPr>
                  </w:pPr>
                </w:p>
              </w:tc>
              <w:tc>
                <w:tcPr>
                  <w:tcW w:w="318" w:type="pct"/>
                  <w:vMerge w:val="continue"/>
                  <w:vAlign w:val="center"/>
                </w:tcPr>
                <w:p>
                  <w:pPr>
                    <w:widowControl/>
                    <w:jc w:val="center"/>
                    <w:rPr>
                      <w:b/>
                      <w:bCs/>
                      <w:color w:val="auto"/>
                      <w:kern w:val="0"/>
                      <w:szCs w:val="21"/>
                    </w:rPr>
                  </w:pPr>
                </w:p>
              </w:tc>
              <w:tc>
                <w:tcPr>
                  <w:tcW w:w="270" w:type="pct"/>
                  <w:vMerge w:val="continue"/>
                  <w:vAlign w:val="center"/>
                </w:tcPr>
                <w:p>
                  <w:pPr>
                    <w:widowControl/>
                    <w:jc w:val="center"/>
                    <w:rPr>
                      <w:b/>
                      <w:bCs/>
                      <w:color w:val="auto"/>
                      <w:kern w:val="0"/>
                      <w:szCs w:val="21"/>
                    </w:rPr>
                  </w:pPr>
                </w:p>
              </w:tc>
              <w:tc>
                <w:tcPr>
                  <w:tcW w:w="299" w:type="pct"/>
                  <w:vMerge w:val="continue"/>
                  <w:vAlign w:val="center"/>
                </w:tcPr>
                <w:p>
                  <w:pPr>
                    <w:widowControl/>
                    <w:jc w:val="center"/>
                    <w:rPr>
                      <w:b/>
                      <w:bCs/>
                      <w:color w:val="auto"/>
                      <w:kern w:val="0"/>
                      <w:szCs w:val="21"/>
                    </w:rPr>
                  </w:pPr>
                </w:p>
              </w:tc>
              <w:tc>
                <w:tcPr>
                  <w:tcW w:w="330" w:type="pct"/>
                  <w:vAlign w:val="center"/>
                </w:tcPr>
                <w:p>
                  <w:pPr>
                    <w:widowControl/>
                    <w:jc w:val="center"/>
                    <w:rPr>
                      <w:b/>
                      <w:bCs/>
                      <w:color w:val="auto"/>
                      <w:kern w:val="0"/>
                      <w:szCs w:val="21"/>
                    </w:rPr>
                  </w:pPr>
                  <w:r>
                    <w:rPr>
                      <w:b/>
                      <w:bCs/>
                      <w:color w:val="auto"/>
                      <w:kern w:val="0"/>
                      <w:szCs w:val="21"/>
                    </w:rPr>
                    <w:t>浓度</w:t>
                  </w:r>
                  <w:r>
                    <w:rPr>
                      <w:b/>
                      <w:bCs/>
                      <w:color w:val="auto"/>
                      <w:kern w:val="0"/>
                      <w:szCs w:val="21"/>
                    </w:rPr>
                    <w:br w:type="textWrapping"/>
                  </w:r>
                  <w:r>
                    <w:rPr>
                      <w:b/>
                      <w:bCs/>
                      <w:color w:val="auto"/>
                      <w:kern w:val="0"/>
                      <w:szCs w:val="21"/>
                    </w:rPr>
                    <w:t>mg/m</w:t>
                  </w:r>
                  <w:r>
                    <w:rPr>
                      <w:b/>
                      <w:bCs/>
                      <w:color w:val="auto"/>
                      <w:kern w:val="0"/>
                      <w:szCs w:val="21"/>
                      <w:vertAlign w:val="superscript"/>
                    </w:rPr>
                    <w:t>3</w:t>
                  </w:r>
                </w:p>
              </w:tc>
              <w:tc>
                <w:tcPr>
                  <w:tcW w:w="322" w:type="pct"/>
                  <w:vAlign w:val="center"/>
                </w:tcPr>
                <w:p>
                  <w:pPr>
                    <w:widowControl/>
                    <w:jc w:val="center"/>
                    <w:rPr>
                      <w:b/>
                      <w:bCs/>
                      <w:color w:val="auto"/>
                      <w:kern w:val="0"/>
                      <w:szCs w:val="21"/>
                    </w:rPr>
                  </w:pPr>
                  <w:r>
                    <w:rPr>
                      <w:b/>
                      <w:bCs/>
                      <w:color w:val="auto"/>
                      <w:kern w:val="0"/>
                      <w:szCs w:val="21"/>
                    </w:rPr>
                    <w:t>速率kg/h</w:t>
                  </w:r>
                </w:p>
              </w:tc>
              <w:tc>
                <w:tcPr>
                  <w:tcW w:w="298" w:type="pct"/>
                  <w:vAlign w:val="center"/>
                </w:tcPr>
                <w:p>
                  <w:pPr>
                    <w:widowControl/>
                    <w:jc w:val="center"/>
                    <w:rPr>
                      <w:b/>
                      <w:bCs/>
                      <w:color w:val="auto"/>
                      <w:kern w:val="0"/>
                      <w:szCs w:val="21"/>
                    </w:rPr>
                  </w:pPr>
                  <w:r>
                    <w:rPr>
                      <w:b/>
                      <w:bCs/>
                      <w:color w:val="auto"/>
                      <w:kern w:val="0"/>
                      <w:szCs w:val="21"/>
                    </w:rPr>
                    <w:t>产生量t/a</w:t>
                  </w:r>
                </w:p>
              </w:tc>
              <w:tc>
                <w:tcPr>
                  <w:tcW w:w="272" w:type="pct"/>
                  <w:vAlign w:val="center"/>
                </w:tcPr>
                <w:p>
                  <w:pPr>
                    <w:widowControl/>
                    <w:jc w:val="center"/>
                    <w:rPr>
                      <w:b/>
                      <w:bCs/>
                      <w:color w:val="auto"/>
                      <w:kern w:val="0"/>
                      <w:szCs w:val="21"/>
                    </w:rPr>
                  </w:pPr>
                  <w:r>
                    <w:rPr>
                      <w:b/>
                      <w:bCs/>
                      <w:color w:val="auto"/>
                      <w:kern w:val="0"/>
                      <w:szCs w:val="21"/>
                    </w:rPr>
                    <w:t>工艺</w:t>
                  </w:r>
                </w:p>
              </w:tc>
              <w:tc>
                <w:tcPr>
                  <w:tcW w:w="219" w:type="pct"/>
                  <w:vAlign w:val="center"/>
                </w:tcPr>
                <w:p>
                  <w:pPr>
                    <w:widowControl/>
                    <w:jc w:val="center"/>
                    <w:rPr>
                      <w:b/>
                      <w:bCs/>
                      <w:color w:val="auto"/>
                      <w:kern w:val="0"/>
                      <w:szCs w:val="21"/>
                    </w:rPr>
                  </w:pPr>
                  <w:r>
                    <w:rPr>
                      <w:b/>
                      <w:bCs/>
                      <w:color w:val="auto"/>
                      <w:kern w:val="0"/>
                      <w:szCs w:val="21"/>
                    </w:rPr>
                    <w:t>效率</w:t>
                  </w:r>
                </w:p>
              </w:tc>
              <w:tc>
                <w:tcPr>
                  <w:tcW w:w="321" w:type="pct"/>
                  <w:vMerge w:val="continue"/>
                  <w:vAlign w:val="center"/>
                </w:tcPr>
                <w:p>
                  <w:pPr>
                    <w:widowControl/>
                    <w:jc w:val="center"/>
                    <w:rPr>
                      <w:b/>
                      <w:bCs/>
                      <w:color w:val="auto"/>
                      <w:kern w:val="0"/>
                      <w:szCs w:val="21"/>
                    </w:rPr>
                  </w:pPr>
                </w:p>
              </w:tc>
              <w:tc>
                <w:tcPr>
                  <w:tcW w:w="321" w:type="pct"/>
                  <w:vAlign w:val="center"/>
                </w:tcPr>
                <w:p>
                  <w:pPr>
                    <w:widowControl/>
                    <w:jc w:val="center"/>
                    <w:rPr>
                      <w:rFonts w:hint="eastAsia" w:eastAsia="宋体"/>
                      <w:b/>
                      <w:bCs/>
                      <w:color w:val="auto"/>
                      <w:kern w:val="0"/>
                      <w:szCs w:val="21"/>
                      <w:lang w:val="en-US" w:eastAsia="zh-CN"/>
                    </w:rPr>
                  </w:pPr>
                  <w:r>
                    <w:rPr>
                      <w:b/>
                      <w:bCs/>
                      <w:color w:val="auto"/>
                      <w:kern w:val="0"/>
                      <w:szCs w:val="21"/>
                    </w:rPr>
                    <w:t>浓度mg/m</w:t>
                  </w:r>
                  <w:r>
                    <w:rPr>
                      <w:rFonts w:hint="eastAsia"/>
                      <w:b/>
                      <w:bCs/>
                      <w:color w:val="auto"/>
                      <w:kern w:val="0"/>
                      <w:szCs w:val="21"/>
                      <w:vertAlign w:val="superscript"/>
                      <w:lang w:val="en-US" w:eastAsia="zh-CN"/>
                    </w:rPr>
                    <w:t>3</w:t>
                  </w:r>
                </w:p>
              </w:tc>
              <w:tc>
                <w:tcPr>
                  <w:tcW w:w="319" w:type="pct"/>
                  <w:vAlign w:val="center"/>
                </w:tcPr>
                <w:p>
                  <w:pPr>
                    <w:widowControl/>
                    <w:jc w:val="center"/>
                    <w:rPr>
                      <w:b/>
                      <w:bCs/>
                      <w:color w:val="auto"/>
                      <w:kern w:val="0"/>
                      <w:szCs w:val="21"/>
                    </w:rPr>
                  </w:pPr>
                  <w:r>
                    <w:rPr>
                      <w:b/>
                      <w:bCs/>
                      <w:color w:val="auto"/>
                      <w:kern w:val="0"/>
                      <w:szCs w:val="21"/>
                    </w:rPr>
                    <w:t>速率kg/h</w:t>
                  </w:r>
                </w:p>
              </w:tc>
              <w:tc>
                <w:tcPr>
                  <w:tcW w:w="295" w:type="pct"/>
                  <w:vAlign w:val="center"/>
                </w:tcPr>
                <w:p>
                  <w:pPr>
                    <w:widowControl/>
                    <w:jc w:val="center"/>
                    <w:rPr>
                      <w:b/>
                      <w:bCs/>
                      <w:color w:val="auto"/>
                      <w:kern w:val="0"/>
                      <w:szCs w:val="21"/>
                    </w:rPr>
                  </w:pPr>
                  <w:r>
                    <w:rPr>
                      <w:b/>
                      <w:bCs/>
                      <w:color w:val="auto"/>
                      <w:kern w:val="0"/>
                      <w:szCs w:val="21"/>
                    </w:rPr>
                    <w:t>排放量t/a</w:t>
                  </w:r>
                </w:p>
              </w:tc>
              <w:tc>
                <w:tcPr>
                  <w:tcW w:w="306" w:type="pct"/>
                  <w:vAlign w:val="center"/>
                </w:tcPr>
                <w:p>
                  <w:pPr>
                    <w:widowControl/>
                    <w:jc w:val="center"/>
                    <w:rPr>
                      <w:b/>
                      <w:bCs/>
                      <w:color w:val="auto"/>
                      <w:kern w:val="0"/>
                      <w:szCs w:val="21"/>
                    </w:rPr>
                  </w:pPr>
                  <w:r>
                    <w:rPr>
                      <w:b/>
                      <w:bCs/>
                      <w:color w:val="auto"/>
                      <w:kern w:val="0"/>
                      <w:szCs w:val="21"/>
                    </w:rPr>
                    <w:t>浓度mg/m</w:t>
                  </w:r>
                  <w:r>
                    <w:rPr>
                      <w:b/>
                      <w:bCs/>
                      <w:color w:val="auto"/>
                      <w:kern w:val="0"/>
                      <w:szCs w:val="21"/>
                      <w:vertAlign w:val="superscript"/>
                    </w:rPr>
                    <w:t>3</w:t>
                  </w:r>
                </w:p>
              </w:tc>
              <w:tc>
                <w:tcPr>
                  <w:tcW w:w="240" w:type="pct"/>
                  <w:vAlign w:val="center"/>
                </w:tcPr>
                <w:p>
                  <w:pPr>
                    <w:widowControl/>
                    <w:jc w:val="center"/>
                    <w:rPr>
                      <w:b/>
                      <w:bCs/>
                      <w:color w:val="auto"/>
                      <w:kern w:val="0"/>
                      <w:szCs w:val="21"/>
                    </w:rPr>
                  </w:pPr>
                  <w:r>
                    <w:rPr>
                      <w:b/>
                      <w:bCs/>
                      <w:color w:val="auto"/>
                      <w:kern w:val="0"/>
                      <w:szCs w:val="21"/>
                    </w:rPr>
                    <w:t>速率kg/h</w:t>
                  </w:r>
                </w:p>
              </w:tc>
              <w:tc>
                <w:tcPr>
                  <w:tcW w:w="238" w:type="pct"/>
                  <w:vMerge w:val="continue"/>
                  <w:vAlign w:val="center"/>
                </w:tcPr>
                <w:p>
                  <w:pPr>
                    <w:widowControl/>
                    <w:jc w:val="center"/>
                    <w:rPr>
                      <w:b/>
                      <w:bCs/>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21" w:type="pct"/>
                  <w:vAlign w:val="center"/>
                </w:tcPr>
                <w:p>
                  <w:pPr>
                    <w:widowControl/>
                    <w:jc w:val="center"/>
                    <w:rPr>
                      <w:color w:val="auto"/>
                      <w:kern w:val="0"/>
                      <w:szCs w:val="21"/>
                    </w:rPr>
                  </w:pPr>
                  <w:r>
                    <w:rPr>
                      <w:rFonts w:hint="eastAsia"/>
                      <w:color w:val="auto"/>
                      <w:kern w:val="0"/>
                      <w:szCs w:val="21"/>
                    </w:rPr>
                    <w:t>切割废气</w:t>
                  </w:r>
                </w:p>
              </w:tc>
              <w:tc>
                <w:tcPr>
                  <w:tcW w:w="304" w:type="pct"/>
                  <w:vMerge w:val="restart"/>
                  <w:vAlign w:val="center"/>
                </w:tcPr>
                <w:p>
                  <w:pPr>
                    <w:widowControl/>
                    <w:jc w:val="center"/>
                    <w:rPr>
                      <w:color w:val="auto"/>
                      <w:kern w:val="0"/>
                      <w:szCs w:val="21"/>
                    </w:rPr>
                  </w:pPr>
                  <w:r>
                    <w:rPr>
                      <w:color w:val="auto"/>
                      <w:kern w:val="0"/>
                      <w:szCs w:val="21"/>
                    </w:rPr>
                    <w:t>DA001</w:t>
                  </w:r>
                </w:p>
              </w:tc>
              <w:tc>
                <w:tcPr>
                  <w:tcW w:w="318" w:type="pct"/>
                  <w:vAlign w:val="center"/>
                </w:tcPr>
                <w:p>
                  <w:pPr>
                    <w:widowControl/>
                    <w:jc w:val="center"/>
                    <w:rPr>
                      <w:color w:val="auto"/>
                      <w:kern w:val="0"/>
                      <w:szCs w:val="21"/>
                    </w:rPr>
                  </w:pPr>
                  <w:r>
                    <w:rPr>
                      <w:rFonts w:hint="eastAsia"/>
                      <w:color w:val="auto"/>
                      <w:kern w:val="0"/>
                      <w:szCs w:val="21"/>
                    </w:rPr>
                    <w:t>颗粒物</w:t>
                  </w:r>
                </w:p>
              </w:tc>
              <w:tc>
                <w:tcPr>
                  <w:tcW w:w="270" w:type="pct"/>
                  <w:vMerge w:val="restart"/>
                  <w:vAlign w:val="center"/>
                </w:tcPr>
                <w:p>
                  <w:pPr>
                    <w:widowControl/>
                    <w:jc w:val="center"/>
                    <w:rPr>
                      <w:rFonts w:hint="default" w:eastAsia="宋体"/>
                      <w:color w:val="auto"/>
                      <w:kern w:val="0"/>
                      <w:szCs w:val="21"/>
                      <w:lang w:val="en-US" w:eastAsia="zh-CN"/>
                    </w:rPr>
                  </w:pPr>
                  <w:r>
                    <w:rPr>
                      <w:rFonts w:hint="eastAsia"/>
                      <w:color w:val="auto"/>
                      <w:kern w:val="0"/>
                      <w:szCs w:val="21"/>
                      <w:lang w:val="en-US" w:eastAsia="zh-CN"/>
                    </w:rPr>
                    <w:t>10000</w:t>
                  </w:r>
                </w:p>
              </w:tc>
              <w:tc>
                <w:tcPr>
                  <w:tcW w:w="299" w:type="pct"/>
                  <w:vAlign w:val="center"/>
                </w:tcPr>
                <w:p>
                  <w:pPr>
                    <w:widowControl/>
                    <w:jc w:val="center"/>
                    <w:rPr>
                      <w:color w:val="auto"/>
                      <w:kern w:val="0"/>
                      <w:szCs w:val="21"/>
                    </w:rPr>
                  </w:pPr>
                  <w:r>
                    <w:rPr>
                      <w:color w:val="auto"/>
                      <w:kern w:val="0"/>
                      <w:szCs w:val="21"/>
                    </w:rPr>
                    <w:t>产污系数法</w:t>
                  </w:r>
                </w:p>
              </w:tc>
              <w:tc>
                <w:tcPr>
                  <w:tcW w:w="330" w:type="pct"/>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rFonts w:hint="eastAsia"/>
                      <w:color w:val="auto"/>
                      <w:kern w:val="0"/>
                      <w:szCs w:val="21"/>
                      <w:lang w:val="en-US" w:eastAsia="zh-CN"/>
                    </w:rPr>
                    <w:t>837.38</w:t>
                  </w:r>
                </w:p>
              </w:tc>
              <w:tc>
                <w:tcPr>
                  <w:tcW w:w="322" w:type="pct"/>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rFonts w:hint="eastAsia"/>
                      <w:color w:val="auto"/>
                      <w:kern w:val="0"/>
                      <w:szCs w:val="21"/>
                      <w:lang w:val="en-US" w:eastAsia="zh-CN"/>
                    </w:rPr>
                    <w:t>8.3738</w:t>
                  </w:r>
                </w:p>
              </w:tc>
              <w:tc>
                <w:tcPr>
                  <w:tcW w:w="298" w:type="pct"/>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20.</w:t>
                  </w:r>
                  <w:r>
                    <w:rPr>
                      <w:rFonts w:hint="eastAsia"/>
                      <w:color w:val="auto"/>
                      <w:kern w:val="0"/>
                      <w:szCs w:val="21"/>
                      <w:lang w:val="en-US" w:eastAsia="zh-CN"/>
                    </w:rPr>
                    <w:t>097</w:t>
                  </w:r>
                </w:p>
              </w:tc>
              <w:tc>
                <w:tcPr>
                  <w:tcW w:w="272" w:type="pct"/>
                  <w:vMerge w:val="restart"/>
                  <w:vAlign w:val="center"/>
                </w:tcPr>
                <w:p>
                  <w:pPr>
                    <w:widowControl/>
                    <w:jc w:val="center"/>
                    <w:rPr>
                      <w:color w:val="auto"/>
                      <w:kern w:val="0"/>
                      <w:szCs w:val="21"/>
                    </w:rPr>
                  </w:pPr>
                  <w:r>
                    <w:rPr>
                      <w:color w:val="auto"/>
                      <w:kern w:val="0"/>
                      <w:szCs w:val="21"/>
                    </w:rPr>
                    <w:t>布袋除尘器</w:t>
                  </w:r>
                </w:p>
              </w:tc>
              <w:tc>
                <w:tcPr>
                  <w:tcW w:w="219" w:type="pct"/>
                  <w:vMerge w:val="restart"/>
                  <w:vAlign w:val="center"/>
                </w:tcPr>
                <w:p>
                  <w:pPr>
                    <w:widowControl/>
                    <w:jc w:val="center"/>
                    <w:rPr>
                      <w:color w:val="auto"/>
                      <w:kern w:val="0"/>
                      <w:szCs w:val="21"/>
                    </w:rPr>
                  </w:pPr>
                  <w:r>
                    <w:rPr>
                      <w:color w:val="auto"/>
                      <w:kern w:val="0"/>
                      <w:szCs w:val="21"/>
                    </w:rPr>
                    <w:t>99</w:t>
                  </w:r>
                  <w:r>
                    <w:rPr>
                      <w:rFonts w:hint="eastAsia"/>
                      <w:color w:val="auto"/>
                      <w:kern w:val="0"/>
                      <w:szCs w:val="21"/>
                      <w:lang w:val="en-US" w:eastAsia="zh-CN"/>
                    </w:rPr>
                    <w:t>.5</w:t>
                  </w:r>
                  <w:r>
                    <w:rPr>
                      <w:color w:val="auto"/>
                      <w:kern w:val="0"/>
                      <w:szCs w:val="21"/>
                    </w:rPr>
                    <w:t>%</w:t>
                  </w:r>
                </w:p>
              </w:tc>
              <w:tc>
                <w:tcPr>
                  <w:tcW w:w="321" w:type="pct"/>
                  <w:vAlign w:val="center"/>
                </w:tcPr>
                <w:p>
                  <w:pPr>
                    <w:widowControl/>
                    <w:jc w:val="center"/>
                    <w:rPr>
                      <w:color w:val="auto"/>
                      <w:kern w:val="0"/>
                      <w:szCs w:val="21"/>
                    </w:rPr>
                  </w:pPr>
                  <w:r>
                    <w:rPr>
                      <w:color w:val="auto"/>
                      <w:kern w:val="0"/>
                      <w:szCs w:val="21"/>
                    </w:rPr>
                    <w:t>产污系数法</w:t>
                  </w:r>
                </w:p>
              </w:tc>
              <w:tc>
                <w:tcPr>
                  <w:tcW w:w="321" w:type="pct"/>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rFonts w:hint="eastAsia"/>
                      <w:color w:val="auto"/>
                      <w:kern w:val="0"/>
                      <w:szCs w:val="21"/>
                      <w:lang w:val="en-US" w:eastAsia="zh-CN"/>
                    </w:rPr>
                    <w:t>4.19</w:t>
                  </w:r>
                </w:p>
              </w:tc>
              <w:tc>
                <w:tcPr>
                  <w:tcW w:w="319" w:type="pct"/>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0.</w:t>
                  </w:r>
                  <w:r>
                    <w:rPr>
                      <w:rFonts w:hint="eastAsia"/>
                      <w:color w:val="auto"/>
                      <w:kern w:val="0"/>
                      <w:szCs w:val="21"/>
                      <w:lang w:val="en-US" w:eastAsia="zh-CN"/>
                    </w:rPr>
                    <w:t>0419</w:t>
                  </w:r>
                </w:p>
              </w:tc>
              <w:tc>
                <w:tcPr>
                  <w:tcW w:w="295" w:type="pct"/>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0.</w:t>
                  </w:r>
                  <w:r>
                    <w:rPr>
                      <w:rFonts w:hint="eastAsia"/>
                      <w:color w:val="auto"/>
                      <w:kern w:val="0"/>
                      <w:szCs w:val="21"/>
                      <w:lang w:val="en-US" w:eastAsia="zh-CN"/>
                    </w:rPr>
                    <w:t>1005</w:t>
                  </w:r>
                </w:p>
              </w:tc>
              <w:tc>
                <w:tcPr>
                  <w:tcW w:w="306" w:type="pct"/>
                  <w:vAlign w:val="center"/>
                </w:tcPr>
                <w:p>
                  <w:pPr>
                    <w:widowControl/>
                    <w:jc w:val="center"/>
                    <w:rPr>
                      <w:color w:val="auto"/>
                      <w:kern w:val="0"/>
                      <w:szCs w:val="21"/>
                    </w:rPr>
                  </w:pPr>
                  <w:r>
                    <w:rPr>
                      <w:rFonts w:hint="eastAsia"/>
                      <w:color w:val="auto"/>
                      <w:kern w:val="0"/>
                      <w:szCs w:val="21"/>
                    </w:rPr>
                    <w:t>20</w:t>
                  </w:r>
                </w:p>
              </w:tc>
              <w:tc>
                <w:tcPr>
                  <w:tcW w:w="240" w:type="pct"/>
                  <w:vAlign w:val="center"/>
                </w:tcPr>
                <w:p>
                  <w:pPr>
                    <w:widowControl/>
                    <w:jc w:val="center"/>
                    <w:rPr>
                      <w:color w:val="auto"/>
                      <w:kern w:val="0"/>
                      <w:szCs w:val="21"/>
                    </w:rPr>
                  </w:pPr>
                  <w:r>
                    <w:rPr>
                      <w:rFonts w:hint="eastAsia"/>
                      <w:color w:val="auto"/>
                      <w:kern w:val="0"/>
                      <w:szCs w:val="21"/>
                    </w:rPr>
                    <w:t>1</w:t>
                  </w:r>
                </w:p>
              </w:tc>
              <w:tc>
                <w:tcPr>
                  <w:tcW w:w="238" w:type="pct"/>
                  <w:vMerge w:val="restart"/>
                  <w:vAlign w:val="center"/>
                </w:tcPr>
                <w:p>
                  <w:pPr>
                    <w:widowControl/>
                    <w:jc w:val="center"/>
                    <w:rPr>
                      <w:color w:val="auto"/>
                      <w:kern w:val="0"/>
                      <w:szCs w:val="21"/>
                    </w:rPr>
                  </w:pPr>
                  <w:r>
                    <w:rPr>
                      <w:color w:val="auto"/>
                      <w:kern w:val="0"/>
                      <w:szCs w:val="21"/>
                    </w:rPr>
                    <w:t>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21" w:type="pct"/>
                  <w:vAlign w:val="center"/>
                </w:tcPr>
                <w:p>
                  <w:pPr>
                    <w:widowControl/>
                    <w:jc w:val="center"/>
                    <w:rPr>
                      <w:color w:val="auto"/>
                      <w:kern w:val="0"/>
                      <w:szCs w:val="21"/>
                    </w:rPr>
                  </w:pPr>
                  <w:r>
                    <w:rPr>
                      <w:color w:val="auto"/>
                      <w:kern w:val="0"/>
                      <w:szCs w:val="21"/>
                    </w:rPr>
                    <w:t>打磨废气</w:t>
                  </w:r>
                </w:p>
              </w:tc>
              <w:tc>
                <w:tcPr>
                  <w:tcW w:w="304" w:type="pct"/>
                  <w:vMerge w:val="continue"/>
                  <w:vAlign w:val="center"/>
                </w:tcPr>
                <w:p>
                  <w:pPr>
                    <w:widowControl/>
                    <w:jc w:val="center"/>
                    <w:rPr>
                      <w:color w:val="auto"/>
                      <w:kern w:val="0"/>
                      <w:szCs w:val="21"/>
                    </w:rPr>
                  </w:pPr>
                </w:p>
              </w:tc>
              <w:tc>
                <w:tcPr>
                  <w:tcW w:w="318" w:type="pct"/>
                  <w:vAlign w:val="center"/>
                </w:tcPr>
                <w:p>
                  <w:pPr>
                    <w:widowControl/>
                    <w:jc w:val="center"/>
                    <w:rPr>
                      <w:color w:val="auto"/>
                      <w:kern w:val="0"/>
                      <w:szCs w:val="21"/>
                    </w:rPr>
                  </w:pPr>
                  <w:r>
                    <w:rPr>
                      <w:color w:val="auto"/>
                      <w:kern w:val="0"/>
                      <w:szCs w:val="21"/>
                    </w:rPr>
                    <w:t>颗粒物</w:t>
                  </w:r>
                </w:p>
              </w:tc>
              <w:tc>
                <w:tcPr>
                  <w:tcW w:w="270" w:type="pct"/>
                  <w:vMerge w:val="continue"/>
                  <w:vAlign w:val="center"/>
                </w:tcPr>
                <w:p>
                  <w:pPr>
                    <w:widowControl/>
                    <w:jc w:val="center"/>
                    <w:rPr>
                      <w:color w:val="auto"/>
                      <w:kern w:val="0"/>
                      <w:szCs w:val="21"/>
                    </w:rPr>
                  </w:pPr>
                </w:p>
              </w:tc>
              <w:tc>
                <w:tcPr>
                  <w:tcW w:w="299" w:type="pct"/>
                  <w:vAlign w:val="center"/>
                </w:tcPr>
                <w:p>
                  <w:pPr>
                    <w:widowControl/>
                    <w:jc w:val="center"/>
                    <w:rPr>
                      <w:color w:val="auto"/>
                      <w:kern w:val="0"/>
                      <w:szCs w:val="21"/>
                    </w:rPr>
                  </w:pPr>
                  <w:r>
                    <w:rPr>
                      <w:color w:val="auto"/>
                      <w:kern w:val="0"/>
                      <w:szCs w:val="21"/>
                    </w:rPr>
                    <w:t>产污系数法</w:t>
                  </w:r>
                </w:p>
              </w:tc>
              <w:tc>
                <w:tcPr>
                  <w:tcW w:w="330" w:type="pct"/>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eastAsia="宋体"/>
                      <w:color w:val="auto"/>
                      <w:kern w:val="0"/>
                      <w:szCs w:val="21"/>
                      <w:lang w:val="en-US" w:eastAsia="zh-CN"/>
                    </w:rPr>
                  </w:pPr>
                  <w:r>
                    <w:rPr>
                      <w:rFonts w:hint="eastAsia"/>
                      <w:color w:val="auto"/>
                      <w:kern w:val="0"/>
                      <w:szCs w:val="21"/>
                      <w:lang w:val="en-US" w:eastAsia="zh-CN"/>
                    </w:rPr>
                    <w:t>83.25</w:t>
                  </w:r>
                </w:p>
              </w:tc>
              <w:tc>
                <w:tcPr>
                  <w:tcW w:w="322" w:type="pct"/>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rFonts w:hint="eastAsia"/>
                      <w:color w:val="auto"/>
                      <w:kern w:val="0"/>
                      <w:szCs w:val="21"/>
                      <w:lang w:val="en-US" w:eastAsia="zh-CN"/>
                    </w:rPr>
                    <w:t>0.83</w:t>
                  </w:r>
                </w:p>
              </w:tc>
              <w:tc>
                <w:tcPr>
                  <w:tcW w:w="298" w:type="pct"/>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rFonts w:hint="eastAsia"/>
                      <w:color w:val="auto"/>
                      <w:kern w:val="0"/>
                      <w:szCs w:val="21"/>
                      <w:lang w:val="en-US" w:eastAsia="zh-CN"/>
                    </w:rPr>
                    <w:t>1.998</w:t>
                  </w:r>
                </w:p>
              </w:tc>
              <w:tc>
                <w:tcPr>
                  <w:tcW w:w="272" w:type="pct"/>
                  <w:vMerge w:val="continue"/>
                  <w:vAlign w:val="center"/>
                </w:tcPr>
                <w:p>
                  <w:pPr>
                    <w:widowControl/>
                    <w:jc w:val="center"/>
                    <w:rPr>
                      <w:color w:val="auto"/>
                      <w:kern w:val="0"/>
                      <w:szCs w:val="21"/>
                    </w:rPr>
                  </w:pPr>
                </w:p>
              </w:tc>
              <w:tc>
                <w:tcPr>
                  <w:tcW w:w="219" w:type="pct"/>
                  <w:vMerge w:val="continue"/>
                  <w:vAlign w:val="center"/>
                </w:tcPr>
                <w:p>
                  <w:pPr>
                    <w:widowControl/>
                    <w:jc w:val="center"/>
                    <w:rPr>
                      <w:color w:val="auto"/>
                      <w:kern w:val="0"/>
                      <w:szCs w:val="21"/>
                    </w:rPr>
                  </w:pPr>
                </w:p>
              </w:tc>
              <w:tc>
                <w:tcPr>
                  <w:tcW w:w="321" w:type="pct"/>
                  <w:vAlign w:val="center"/>
                </w:tcPr>
                <w:p>
                  <w:pPr>
                    <w:widowControl/>
                    <w:jc w:val="center"/>
                    <w:rPr>
                      <w:color w:val="auto"/>
                      <w:kern w:val="0"/>
                      <w:szCs w:val="21"/>
                    </w:rPr>
                  </w:pPr>
                  <w:r>
                    <w:rPr>
                      <w:color w:val="auto"/>
                      <w:kern w:val="0"/>
                      <w:szCs w:val="21"/>
                    </w:rPr>
                    <w:t>产污系数法</w:t>
                  </w:r>
                </w:p>
              </w:tc>
              <w:tc>
                <w:tcPr>
                  <w:tcW w:w="321" w:type="pct"/>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rFonts w:hint="eastAsia"/>
                      <w:color w:val="auto"/>
                      <w:kern w:val="0"/>
                      <w:szCs w:val="21"/>
                      <w:lang w:val="en-US" w:eastAsia="zh-CN"/>
                    </w:rPr>
                    <w:t>0.375</w:t>
                  </w:r>
                </w:p>
              </w:tc>
              <w:tc>
                <w:tcPr>
                  <w:tcW w:w="319" w:type="pct"/>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color w:val="auto"/>
                      <w:kern w:val="0"/>
                      <w:szCs w:val="21"/>
                    </w:rPr>
                    <w:t>0.00</w:t>
                  </w:r>
                  <w:r>
                    <w:rPr>
                      <w:rFonts w:hint="eastAsia"/>
                      <w:color w:val="auto"/>
                      <w:kern w:val="0"/>
                      <w:szCs w:val="21"/>
                      <w:lang w:val="en-US" w:eastAsia="zh-CN"/>
                    </w:rPr>
                    <w:t>38</w:t>
                  </w:r>
                </w:p>
              </w:tc>
              <w:tc>
                <w:tcPr>
                  <w:tcW w:w="295" w:type="pct"/>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rFonts w:hint="eastAsia"/>
                      <w:color w:val="auto"/>
                      <w:kern w:val="0"/>
                      <w:szCs w:val="21"/>
                      <w:lang w:val="en-US" w:eastAsia="zh-CN"/>
                    </w:rPr>
                    <w:t>0.009</w:t>
                  </w:r>
                </w:p>
              </w:tc>
              <w:tc>
                <w:tcPr>
                  <w:tcW w:w="306" w:type="pct"/>
                  <w:vAlign w:val="center"/>
                </w:tcPr>
                <w:p>
                  <w:pPr>
                    <w:widowControl/>
                    <w:jc w:val="center"/>
                    <w:rPr>
                      <w:color w:val="auto"/>
                      <w:kern w:val="0"/>
                      <w:szCs w:val="21"/>
                    </w:rPr>
                  </w:pPr>
                  <w:r>
                    <w:rPr>
                      <w:color w:val="auto"/>
                      <w:kern w:val="0"/>
                      <w:szCs w:val="21"/>
                    </w:rPr>
                    <w:t>20</w:t>
                  </w:r>
                </w:p>
              </w:tc>
              <w:tc>
                <w:tcPr>
                  <w:tcW w:w="240" w:type="pct"/>
                  <w:vAlign w:val="center"/>
                </w:tcPr>
                <w:p>
                  <w:pPr>
                    <w:widowControl/>
                    <w:jc w:val="center"/>
                    <w:rPr>
                      <w:color w:val="auto"/>
                      <w:kern w:val="0"/>
                      <w:szCs w:val="21"/>
                    </w:rPr>
                  </w:pPr>
                  <w:r>
                    <w:rPr>
                      <w:color w:val="auto"/>
                      <w:kern w:val="0"/>
                      <w:szCs w:val="21"/>
                    </w:rPr>
                    <w:t>1</w:t>
                  </w:r>
                </w:p>
              </w:tc>
              <w:tc>
                <w:tcPr>
                  <w:tcW w:w="238" w:type="pct"/>
                  <w:vMerge w:val="continue"/>
                  <w:vAlign w:val="center"/>
                </w:tcPr>
                <w:p>
                  <w:pPr>
                    <w:widowControl/>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321" w:type="pct"/>
                  <w:vAlign w:val="center"/>
                </w:tcPr>
                <w:p>
                  <w:pPr>
                    <w:widowControl/>
                    <w:jc w:val="center"/>
                    <w:rPr>
                      <w:color w:val="auto"/>
                      <w:kern w:val="0"/>
                      <w:szCs w:val="21"/>
                    </w:rPr>
                  </w:pPr>
                  <w:r>
                    <w:rPr>
                      <w:color w:val="auto"/>
                      <w:kern w:val="0"/>
                      <w:szCs w:val="21"/>
                    </w:rPr>
                    <w:t>抛丸废气</w:t>
                  </w:r>
                </w:p>
              </w:tc>
              <w:tc>
                <w:tcPr>
                  <w:tcW w:w="304" w:type="pct"/>
                  <w:vMerge w:val="continue"/>
                  <w:vAlign w:val="center"/>
                </w:tcPr>
                <w:p>
                  <w:pPr>
                    <w:widowControl/>
                    <w:jc w:val="center"/>
                    <w:rPr>
                      <w:color w:val="auto"/>
                      <w:kern w:val="0"/>
                      <w:szCs w:val="21"/>
                    </w:rPr>
                  </w:pPr>
                </w:p>
              </w:tc>
              <w:tc>
                <w:tcPr>
                  <w:tcW w:w="318" w:type="pct"/>
                  <w:vAlign w:val="center"/>
                </w:tcPr>
                <w:p>
                  <w:pPr>
                    <w:widowControl/>
                    <w:jc w:val="center"/>
                    <w:rPr>
                      <w:color w:val="auto"/>
                      <w:kern w:val="0"/>
                      <w:szCs w:val="21"/>
                    </w:rPr>
                  </w:pPr>
                  <w:r>
                    <w:rPr>
                      <w:color w:val="auto"/>
                      <w:kern w:val="0"/>
                      <w:szCs w:val="21"/>
                    </w:rPr>
                    <w:t>颗粒物</w:t>
                  </w:r>
                </w:p>
              </w:tc>
              <w:tc>
                <w:tcPr>
                  <w:tcW w:w="270" w:type="pct"/>
                  <w:vMerge w:val="continue"/>
                  <w:vAlign w:val="center"/>
                </w:tcPr>
                <w:p>
                  <w:pPr>
                    <w:widowControl/>
                    <w:jc w:val="center"/>
                    <w:rPr>
                      <w:color w:val="auto"/>
                      <w:kern w:val="0"/>
                      <w:szCs w:val="21"/>
                    </w:rPr>
                  </w:pPr>
                </w:p>
              </w:tc>
              <w:tc>
                <w:tcPr>
                  <w:tcW w:w="299" w:type="pct"/>
                  <w:vAlign w:val="center"/>
                </w:tcPr>
                <w:p>
                  <w:pPr>
                    <w:widowControl/>
                    <w:jc w:val="center"/>
                    <w:rPr>
                      <w:color w:val="auto"/>
                      <w:kern w:val="0"/>
                      <w:szCs w:val="21"/>
                    </w:rPr>
                  </w:pPr>
                  <w:r>
                    <w:rPr>
                      <w:color w:val="auto"/>
                      <w:kern w:val="0"/>
                      <w:szCs w:val="21"/>
                    </w:rPr>
                    <w:t>产污系数法</w:t>
                  </w:r>
                </w:p>
              </w:tc>
              <w:tc>
                <w:tcPr>
                  <w:tcW w:w="330" w:type="pct"/>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rFonts w:hint="eastAsia"/>
                      <w:color w:val="auto"/>
                      <w:kern w:val="0"/>
                      <w:szCs w:val="21"/>
                      <w:lang w:val="en-US" w:eastAsia="zh-CN"/>
                    </w:rPr>
                    <w:t>1666.88</w:t>
                  </w:r>
                </w:p>
              </w:tc>
              <w:tc>
                <w:tcPr>
                  <w:tcW w:w="322" w:type="pct"/>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rFonts w:hint="eastAsia"/>
                      <w:color w:val="auto"/>
                      <w:kern w:val="0"/>
                      <w:szCs w:val="21"/>
                    </w:rPr>
                    <w:t>16.7</w:t>
                  </w:r>
                </w:p>
              </w:tc>
              <w:tc>
                <w:tcPr>
                  <w:tcW w:w="298" w:type="pct"/>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rFonts w:hint="eastAsia"/>
                      <w:color w:val="auto"/>
                      <w:kern w:val="0"/>
                      <w:szCs w:val="21"/>
                    </w:rPr>
                    <w:t>40.005</w:t>
                  </w:r>
                </w:p>
              </w:tc>
              <w:tc>
                <w:tcPr>
                  <w:tcW w:w="272" w:type="pct"/>
                  <w:vMerge w:val="continue"/>
                  <w:vAlign w:val="center"/>
                </w:tcPr>
                <w:p>
                  <w:pPr>
                    <w:widowControl/>
                    <w:jc w:val="center"/>
                    <w:rPr>
                      <w:color w:val="auto"/>
                      <w:kern w:val="0"/>
                      <w:szCs w:val="21"/>
                    </w:rPr>
                  </w:pPr>
                </w:p>
              </w:tc>
              <w:tc>
                <w:tcPr>
                  <w:tcW w:w="219" w:type="pct"/>
                  <w:vMerge w:val="continue"/>
                  <w:vAlign w:val="center"/>
                </w:tcPr>
                <w:p>
                  <w:pPr>
                    <w:widowControl/>
                    <w:jc w:val="center"/>
                    <w:rPr>
                      <w:color w:val="auto"/>
                      <w:kern w:val="0"/>
                      <w:szCs w:val="21"/>
                    </w:rPr>
                  </w:pPr>
                </w:p>
              </w:tc>
              <w:tc>
                <w:tcPr>
                  <w:tcW w:w="321" w:type="pct"/>
                  <w:vAlign w:val="center"/>
                </w:tcPr>
                <w:p>
                  <w:pPr>
                    <w:widowControl/>
                    <w:jc w:val="center"/>
                    <w:rPr>
                      <w:color w:val="auto"/>
                      <w:kern w:val="0"/>
                      <w:szCs w:val="21"/>
                    </w:rPr>
                  </w:pPr>
                  <w:r>
                    <w:rPr>
                      <w:color w:val="auto"/>
                      <w:kern w:val="0"/>
                      <w:szCs w:val="21"/>
                    </w:rPr>
                    <w:t>产污系数法</w:t>
                  </w:r>
                </w:p>
              </w:tc>
              <w:tc>
                <w:tcPr>
                  <w:tcW w:w="321" w:type="pct"/>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rFonts w:hint="eastAsia"/>
                      <w:color w:val="auto"/>
                      <w:kern w:val="0"/>
                      <w:szCs w:val="21"/>
                      <w:lang w:val="en-US" w:eastAsia="zh-CN"/>
                    </w:rPr>
                    <w:t>8.3</w:t>
                  </w:r>
                </w:p>
              </w:tc>
              <w:tc>
                <w:tcPr>
                  <w:tcW w:w="319" w:type="pct"/>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rFonts w:hint="eastAsia"/>
                      <w:color w:val="auto"/>
                      <w:kern w:val="0"/>
                      <w:szCs w:val="21"/>
                      <w:lang w:val="en-US" w:eastAsia="zh-CN"/>
                    </w:rPr>
                    <w:t>0.08</w:t>
                  </w:r>
                </w:p>
              </w:tc>
              <w:tc>
                <w:tcPr>
                  <w:tcW w:w="295" w:type="pct"/>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rFonts w:hint="eastAsia"/>
                      <w:color w:val="auto"/>
                      <w:kern w:val="0"/>
                      <w:szCs w:val="21"/>
                      <w:lang w:val="en-US" w:eastAsia="zh-CN"/>
                    </w:rPr>
                    <w:t>0.2</w:t>
                  </w:r>
                </w:p>
              </w:tc>
              <w:tc>
                <w:tcPr>
                  <w:tcW w:w="306" w:type="pct"/>
                  <w:vAlign w:val="center"/>
                </w:tcPr>
                <w:p>
                  <w:pPr>
                    <w:widowControl/>
                    <w:jc w:val="center"/>
                    <w:rPr>
                      <w:color w:val="auto"/>
                      <w:kern w:val="0"/>
                      <w:szCs w:val="21"/>
                    </w:rPr>
                  </w:pPr>
                  <w:r>
                    <w:rPr>
                      <w:color w:val="auto"/>
                      <w:kern w:val="0"/>
                      <w:szCs w:val="21"/>
                    </w:rPr>
                    <w:t>20</w:t>
                  </w:r>
                </w:p>
              </w:tc>
              <w:tc>
                <w:tcPr>
                  <w:tcW w:w="240" w:type="pct"/>
                  <w:vAlign w:val="center"/>
                </w:tcPr>
                <w:p>
                  <w:pPr>
                    <w:widowControl/>
                    <w:jc w:val="center"/>
                    <w:rPr>
                      <w:color w:val="auto"/>
                      <w:kern w:val="0"/>
                      <w:szCs w:val="21"/>
                    </w:rPr>
                  </w:pPr>
                  <w:r>
                    <w:rPr>
                      <w:color w:val="auto"/>
                      <w:kern w:val="0"/>
                      <w:szCs w:val="21"/>
                    </w:rPr>
                    <w:t>1</w:t>
                  </w:r>
                </w:p>
              </w:tc>
              <w:tc>
                <w:tcPr>
                  <w:tcW w:w="238" w:type="pct"/>
                  <w:vMerge w:val="continue"/>
                  <w:vAlign w:val="center"/>
                </w:tcPr>
                <w:p>
                  <w:pPr>
                    <w:widowControl/>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321" w:type="pct"/>
                  <w:vAlign w:val="center"/>
                </w:tcPr>
                <w:p>
                  <w:pPr>
                    <w:widowControl/>
                    <w:jc w:val="center"/>
                    <w:rPr>
                      <w:rFonts w:hint="eastAsia" w:eastAsia="宋体"/>
                      <w:color w:val="auto"/>
                      <w:kern w:val="0"/>
                      <w:szCs w:val="21"/>
                      <w:lang w:eastAsia="zh-CN"/>
                    </w:rPr>
                  </w:pPr>
                  <w:r>
                    <w:rPr>
                      <w:rFonts w:hint="eastAsia"/>
                      <w:color w:val="auto"/>
                      <w:kern w:val="0"/>
                      <w:szCs w:val="21"/>
                      <w:lang w:eastAsia="zh-CN"/>
                    </w:rPr>
                    <w:t>焊接废气</w:t>
                  </w:r>
                </w:p>
              </w:tc>
              <w:tc>
                <w:tcPr>
                  <w:tcW w:w="304" w:type="pct"/>
                  <w:vMerge w:val="continue"/>
                  <w:vAlign w:val="center"/>
                </w:tcPr>
                <w:p>
                  <w:pPr>
                    <w:widowControl/>
                    <w:jc w:val="center"/>
                    <w:rPr>
                      <w:color w:val="auto"/>
                      <w:kern w:val="0"/>
                      <w:szCs w:val="21"/>
                    </w:rPr>
                  </w:pPr>
                </w:p>
              </w:tc>
              <w:tc>
                <w:tcPr>
                  <w:tcW w:w="318" w:type="pct"/>
                  <w:vAlign w:val="center"/>
                </w:tcPr>
                <w:p>
                  <w:pPr>
                    <w:widowControl/>
                    <w:jc w:val="center"/>
                    <w:rPr>
                      <w:color w:val="auto"/>
                      <w:kern w:val="0"/>
                      <w:szCs w:val="21"/>
                    </w:rPr>
                  </w:pPr>
                  <w:r>
                    <w:rPr>
                      <w:color w:val="auto"/>
                      <w:kern w:val="0"/>
                      <w:szCs w:val="21"/>
                    </w:rPr>
                    <w:t>颗粒物</w:t>
                  </w:r>
                </w:p>
              </w:tc>
              <w:tc>
                <w:tcPr>
                  <w:tcW w:w="270" w:type="pct"/>
                  <w:vMerge w:val="continue"/>
                  <w:vAlign w:val="center"/>
                </w:tcPr>
                <w:p>
                  <w:pPr>
                    <w:widowControl/>
                    <w:jc w:val="center"/>
                    <w:rPr>
                      <w:color w:val="auto"/>
                      <w:kern w:val="0"/>
                      <w:szCs w:val="21"/>
                    </w:rPr>
                  </w:pPr>
                </w:p>
              </w:tc>
              <w:tc>
                <w:tcPr>
                  <w:tcW w:w="299" w:type="pct"/>
                  <w:vAlign w:val="center"/>
                </w:tcPr>
                <w:p>
                  <w:pPr>
                    <w:widowControl/>
                    <w:jc w:val="center"/>
                    <w:rPr>
                      <w:color w:val="auto"/>
                      <w:kern w:val="0"/>
                      <w:szCs w:val="21"/>
                    </w:rPr>
                  </w:pPr>
                  <w:r>
                    <w:rPr>
                      <w:color w:val="auto"/>
                      <w:kern w:val="0"/>
                      <w:szCs w:val="21"/>
                    </w:rPr>
                    <w:t>产污系数法</w:t>
                  </w:r>
                </w:p>
              </w:tc>
              <w:tc>
                <w:tcPr>
                  <w:tcW w:w="330" w:type="pct"/>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color w:val="auto"/>
                      <w:kern w:val="0"/>
                      <w:szCs w:val="21"/>
                      <w:lang w:val="en-US" w:eastAsia="zh-CN"/>
                    </w:rPr>
                  </w:pPr>
                  <w:r>
                    <w:rPr>
                      <w:rFonts w:hint="eastAsia"/>
                      <w:color w:val="auto"/>
                      <w:kern w:val="0"/>
                      <w:szCs w:val="21"/>
                      <w:lang w:val="en-US" w:eastAsia="zh-CN"/>
                    </w:rPr>
                    <w:t>2.79</w:t>
                  </w:r>
                </w:p>
              </w:tc>
              <w:tc>
                <w:tcPr>
                  <w:tcW w:w="322" w:type="pct"/>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color w:val="auto"/>
                      <w:kern w:val="0"/>
                      <w:szCs w:val="21"/>
                    </w:rPr>
                  </w:pPr>
                  <w:r>
                    <w:rPr>
                      <w:rFonts w:hint="eastAsia"/>
                      <w:color w:val="auto"/>
                      <w:kern w:val="0"/>
                      <w:szCs w:val="21"/>
                      <w:lang w:val="en-US" w:eastAsia="zh-CN"/>
                    </w:rPr>
                    <w:t>0.028</w:t>
                  </w:r>
                </w:p>
              </w:tc>
              <w:tc>
                <w:tcPr>
                  <w:tcW w:w="298" w:type="pct"/>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color w:val="auto"/>
                      <w:kern w:val="0"/>
                      <w:szCs w:val="21"/>
                    </w:rPr>
                  </w:pPr>
                  <w:r>
                    <w:rPr>
                      <w:rFonts w:hint="eastAsia"/>
                      <w:color w:val="auto"/>
                      <w:kern w:val="0"/>
                      <w:szCs w:val="21"/>
                      <w:lang w:val="en-US" w:eastAsia="zh-CN"/>
                    </w:rPr>
                    <w:t>0.067</w:t>
                  </w:r>
                </w:p>
              </w:tc>
              <w:tc>
                <w:tcPr>
                  <w:tcW w:w="272" w:type="pct"/>
                  <w:vMerge w:val="continue"/>
                  <w:vAlign w:val="center"/>
                </w:tcPr>
                <w:p>
                  <w:pPr>
                    <w:widowControl/>
                    <w:jc w:val="center"/>
                    <w:rPr>
                      <w:color w:val="auto"/>
                      <w:kern w:val="0"/>
                      <w:szCs w:val="21"/>
                    </w:rPr>
                  </w:pPr>
                </w:p>
              </w:tc>
              <w:tc>
                <w:tcPr>
                  <w:tcW w:w="219" w:type="pct"/>
                  <w:vMerge w:val="continue"/>
                  <w:vAlign w:val="center"/>
                </w:tcPr>
                <w:p>
                  <w:pPr>
                    <w:widowControl/>
                    <w:jc w:val="center"/>
                    <w:rPr>
                      <w:color w:val="auto"/>
                      <w:kern w:val="0"/>
                      <w:szCs w:val="21"/>
                    </w:rPr>
                  </w:pPr>
                </w:p>
              </w:tc>
              <w:tc>
                <w:tcPr>
                  <w:tcW w:w="321" w:type="pct"/>
                  <w:vAlign w:val="center"/>
                </w:tcPr>
                <w:p>
                  <w:pPr>
                    <w:widowControl/>
                    <w:jc w:val="center"/>
                    <w:rPr>
                      <w:color w:val="auto"/>
                      <w:kern w:val="0"/>
                      <w:szCs w:val="21"/>
                    </w:rPr>
                  </w:pPr>
                  <w:r>
                    <w:rPr>
                      <w:color w:val="auto"/>
                      <w:kern w:val="0"/>
                      <w:szCs w:val="21"/>
                    </w:rPr>
                    <w:t>产污系数法</w:t>
                  </w:r>
                </w:p>
              </w:tc>
              <w:tc>
                <w:tcPr>
                  <w:tcW w:w="321" w:type="pct"/>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auto"/>
                      <w:kern w:val="0"/>
                      <w:sz w:val="21"/>
                      <w:szCs w:val="21"/>
                      <w:lang w:val="en-US" w:eastAsia="zh-CN" w:bidi="ar-SA"/>
                    </w:rPr>
                  </w:pPr>
                  <w:r>
                    <w:rPr>
                      <w:rFonts w:hint="eastAsia"/>
                      <w:color w:val="auto"/>
                      <w:kern w:val="0"/>
                      <w:szCs w:val="21"/>
                      <w:lang w:val="en-US" w:eastAsia="zh-CN"/>
                    </w:rPr>
                    <w:t>0.0125</w:t>
                  </w:r>
                </w:p>
              </w:tc>
              <w:tc>
                <w:tcPr>
                  <w:tcW w:w="319" w:type="pct"/>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auto"/>
                      <w:kern w:val="0"/>
                      <w:sz w:val="21"/>
                      <w:szCs w:val="21"/>
                      <w:lang w:val="en-US" w:eastAsia="zh-CN" w:bidi="ar-SA"/>
                    </w:rPr>
                  </w:pPr>
                  <w:r>
                    <w:rPr>
                      <w:rFonts w:hint="eastAsia"/>
                      <w:color w:val="auto"/>
                      <w:kern w:val="0"/>
                      <w:szCs w:val="21"/>
                      <w:lang w:val="en-US" w:eastAsia="zh-CN"/>
                    </w:rPr>
                    <w:t>0.0001</w:t>
                  </w:r>
                </w:p>
              </w:tc>
              <w:tc>
                <w:tcPr>
                  <w:tcW w:w="295" w:type="pct"/>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auto"/>
                      <w:kern w:val="0"/>
                      <w:sz w:val="21"/>
                      <w:szCs w:val="21"/>
                      <w:lang w:val="en-US" w:eastAsia="zh-CN" w:bidi="ar-SA"/>
                    </w:rPr>
                  </w:pPr>
                  <w:r>
                    <w:rPr>
                      <w:rFonts w:hint="eastAsia"/>
                      <w:color w:val="auto"/>
                      <w:kern w:val="0"/>
                      <w:szCs w:val="21"/>
                      <w:lang w:val="en-US" w:eastAsia="zh-CN"/>
                    </w:rPr>
                    <w:t>0.0003</w:t>
                  </w:r>
                </w:p>
              </w:tc>
              <w:tc>
                <w:tcPr>
                  <w:tcW w:w="306" w:type="pct"/>
                  <w:vAlign w:val="center"/>
                </w:tcPr>
                <w:p>
                  <w:pPr>
                    <w:widowControl/>
                    <w:jc w:val="center"/>
                    <w:rPr>
                      <w:rFonts w:ascii="Times New Roman" w:hAnsi="Times New Roman" w:eastAsia="宋体" w:cs="Times New Roman"/>
                      <w:color w:val="auto"/>
                      <w:kern w:val="0"/>
                      <w:sz w:val="21"/>
                      <w:szCs w:val="21"/>
                      <w:lang w:val="en-US" w:eastAsia="zh-CN" w:bidi="ar-SA"/>
                    </w:rPr>
                  </w:pPr>
                  <w:r>
                    <w:rPr>
                      <w:color w:val="auto"/>
                      <w:kern w:val="0"/>
                      <w:szCs w:val="21"/>
                    </w:rPr>
                    <w:t>20</w:t>
                  </w:r>
                </w:p>
              </w:tc>
              <w:tc>
                <w:tcPr>
                  <w:tcW w:w="240" w:type="pct"/>
                  <w:vAlign w:val="center"/>
                </w:tcPr>
                <w:p>
                  <w:pPr>
                    <w:widowControl/>
                    <w:jc w:val="center"/>
                    <w:rPr>
                      <w:rFonts w:ascii="Times New Roman" w:hAnsi="Times New Roman" w:eastAsia="宋体" w:cs="Times New Roman"/>
                      <w:color w:val="auto"/>
                      <w:kern w:val="0"/>
                      <w:sz w:val="21"/>
                      <w:szCs w:val="21"/>
                      <w:lang w:val="en-US" w:eastAsia="zh-CN" w:bidi="ar-SA"/>
                    </w:rPr>
                  </w:pPr>
                  <w:r>
                    <w:rPr>
                      <w:color w:val="auto"/>
                      <w:kern w:val="0"/>
                      <w:szCs w:val="21"/>
                    </w:rPr>
                    <w:t>1</w:t>
                  </w:r>
                </w:p>
              </w:tc>
              <w:tc>
                <w:tcPr>
                  <w:tcW w:w="238" w:type="pct"/>
                  <w:vMerge w:val="continue"/>
                  <w:vAlign w:val="center"/>
                </w:tcPr>
                <w:p>
                  <w:pPr>
                    <w:widowControl/>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321" w:type="pct"/>
                  <w:vAlign w:val="center"/>
                </w:tcPr>
                <w:p>
                  <w:pPr>
                    <w:widowControl/>
                    <w:jc w:val="center"/>
                    <w:rPr>
                      <w:color w:val="auto"/>
                      <w:kern w:val="0"/>
                      <w:szCs w:val="21"/>
                    </w:rPr>
                  </w:pPr>
                  <w:r>
                    <w:rPr>
                      <w:color w:val="auto"/>
                      <w:kern w:val="0"/>
                      <w:szCs w:val="21"/>
                    </w:rPr>
                    <w:t>调漆、</w:t>
                  </w:r>
                  <w:r>
                    <w:rPr>
                      <w:rFonts w:hint="eastAsia"/>
                      <w:color w:val="auto"/>
                      <w:kern w:val="0"/>
                      <w:szCs w:val="21"/>
                    </w:rPr>
                    <w:t>喷漆</w:t>
                  </w:r>
                  <w:r>
                    <w:rPr>
                      <w:color w:val="auto"/>
                      <w:kern w:val="0"/>
                      <w:szCs w:val="21"/>
                    </w:rPr>
                    <w:t>废气</w:t>
                  </w:r>
                </w:p>
              </w:tc>
              <w:tc>
                <w:tcPr>
                  <w:tcW w:w="304" w:type="pct"/>
                  <w:vMerge w:val="restart"/>
                  <w:vAlign w:val="center"/>
                </w:tcPr>
                <w:p>
                  <w:pPr>
                    <w:widowControl/>
                    <w:jc w:val="center"/>
                    <w:rPr>
                      <w:color w:val="auto"/>
                      <w:kern w:val="0"/>
                      <w:szCs w:val="21"/>
                    </w:rPr>
                  </w:pPr>
                  <w:r>
                    <w:rPr>
                      <w:color w:val="auto"/>
                      <w:kern w:val="0"/>
                      <w:szCs w:val="21"/>
                    </w:rPr>
                    <w:t>DA002</w:t>
                  </w:r>
                </w:p>
              </w:tc>
              <w:tc>
                <w:tcPr>
                  <w:tcW w:w="318" w:type="pct"/>
                  <w:vMerge w:val="restart"/>
                  <w:vAlign w:val="center"/>
                </w:tcPr>
                <w:p>
                  <w:pPr>
                    <w:widowControl/>
                    <w:jc w:val="center"/>
                    <w:rPr>
                      <w:color w:val="auto"/>
                      <w:kern w:val="0"/>
                      <w:szCs w:val="21"/>
                    </w:rPr>
                  </w:pPr>
                  <w:r>
                    <w:rPr>
                      <w:color w:val="auto"/>
                      <w:kern w:val="0"/>
                      <w:szCs w:val="21"/>
                    </w:rPr>
                    <w:t>非甲烷总烃</w:t>
                  </w:r>
                </w:p>
              </w:tc>
              <w:tc>
                <w:tcPr>
                  <w:tcW w:w="270" w:type="pct"/>
                  <w:vMerge w:val="restart"/>
                  <w:vAlign w:val="center"/>
                </w:tcPr>
                <w:p>
                  <w:pPr>
                    <w:widowControl/>
                    <w:jc w:val="center"/>
                    <w:rPr>
                      <w:rFonts w:hint="default" w:eastAsia="宋体"/>
                      <w:color w:val="auto"/>
                      <w:kern w:val="0"/>
                      <w:szCs w:val="21"/>
                      <w:lang w:val="en-US" w:eastAsia="zh-CN"/>
                    </w:rPr>
                  </w:pPr>
                  <w:r>
                    <w:rPr>
                      <w:rFonts w:hint="eastAsia"/>
                      <w:color w:val="auto"/>
                      <w:kern w:val="0"/>
                      <w:szCs w:val="21"/>
                      <w:lang w:val="en-US" w:eastAsia="zh-CN"/>
                    </w:rPr>
                    <w:t>22000</w:t>
                  </w:r>
                </w:p>
              </w:tc>
              <w:tc>
                <w:tcPr>
                  <w:tcW w:w="299" w:type="pct"/>
                  <w:vMerge w:val="restart"/>
                  <w:vAlign w:val="center"/>
                </w:tcPr>
                <w:p>
                  <w:pPr>
                    <w:widowControl/>
                    <w:jc w:val="center"/>
                    <w:rPr>
                      <w:color w:val="auto"/>
                      <w:kern w:val="0"/>
                      <w:szCs w:val="21"/>
                    </w:rPr>
                  </w:pPr>
                  <w:r>
                    <w:rPr>
                      <w:color w:val="auto"/>
                      <w:kern w:val="0"/>
                      <w:szCs w:val="21"/>
                    </w:rPr>
                    <w:t>物料平衡法</w:t>
                  </w:r>
                </w:p>
              </w:tc>
              <w:tc>
                <w:tcPr>
                  <w:tcW w:w="330" w:type="pct"/>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color w:val="auto"/>
                      <w:kern w:val="0"/>
                      <w:szCs w:val="21"/>
                      <w:lang w:val="en-US"/>
                    </w:rPr>
                  </w:pPr>
                  <w:r>
                    <w:rPr>
                      <w:rFonts w:hint="eastAsia"/>
                      <w:color w:val="auto"/>
                      <w:kern w:val="0"/>
                      <w:szCs w:val="21"/>
                      <w:lang w:val="en-US" w:eastAsia="zh-CN"/>
                    </w:rPr>
                    <w:t>1.89</w:t>
                  </w:r>
                </w:p>
              </w:tc>
              <w:tc>
                <w:tcPr>
                  <w:tcW w:w="322" w:type="pct"/>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rFonts w:hint="eastAsia"/>
                      <w:color w:val="auto"/>
                      <w:kern w:val="0"/>
                      <w:szCs w:val="21"/>
                      <w:lang w:val="en-US" w:eastAsia="zh-CN"/>
                    </w:rPr>
                    <w:t>0.0416</w:t>
                  </w:r>
                </w:p>
              </w:tc>
              <w:tc>
                <w:tcPr>
                  <w:tcW w:w="298" w:type="pct"/>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rFonts w:hint="eastAsia"/>
                      <w:color w:val="auto"/>
                      <w:kern w:val="0"/>
                      <w:szCs w:val="21"/>
                      <w:lang w:val="en-US" w:eastAsia="zh-CN"/>
                    </w:rPr>
                    <w:t>0.0998</w:t>
                  </w:r>
                </w:p>
              </w:tc>
              <w:tc>
                <w:tcPr>
                  <w:tcW w:w="272" w:type="pct"/>
                  <w:vMerge w:val="restart"/>
                  <w:vAlign w:val="center"/>
                </w:tcPr>
                <w:p>
                  <w:pPr>
                    <w:widowControl/>
                    <w:jc w:val="center"/>
                    <w:rPr>
                      <w:color w:val="auto"/>
                      <w:kern w:val="0"/>
                      <w:szCs w:val="21"/>
                    </w:rPr>
                  </w:pPr>
                  <w:r>
                    <w:rPr>
                      <w:color w:val="auto"/>
                      <w:kern w:val="0"/>
                      <w:szCs w:val="21"/>
                    </w:rPr>
                    <w:t>干式过滤棉+二级</w:t>
                  </w:r>
                  <w:r>
                    <w:rPr>
                      <w:rFonts w:hint="eastAsia"/>
                      <w:color w:val="auto"/>
                      <w:kern w:val="0"/>
                      <w:szCs w:val="21"/>
                    </w:rPr>
                    <w:t>活性炭</w:t>
                  </w:r>
                  <w:r>
                    <w:rPr>
                      <w:color w:val="auto"/>
                      <w:kern w:val="0"/>
                      <w:szCs w:val="21"/>
                    </w:rPr>
                    <w:t>吸附</w:t>
                  </w:r>
                </w:p>
              </w:tc>
              <w:tc>
                <w:tcPr>
                  <w:tcW w:w="219" w:type="pct"/>
                  <w:vMerge w:val="restart"/>
                  <w:vAlign w:val="center"/>
                </w:tcPr>
                <w:p>
                  <w:pPr>
                    <w:widowControl/>
                    <w:jc w:val="center"/>
                    <w:rPr>
                      <w:color w:val="auto"/>
                      <w:kern w:val="0"/>
                      <w:szCs w:val="21"/>
                    </w:rPr>
                  </w:pPr>
                  <w:r>
                    <w:rPr>
                      <w:color w:val="auto"/>
                      <w:kern w:val="0"/>
                      <w:szCs w:val="21"/>
                    </w:rPr>
                    <w:t>90%</w:t>
                  </w:r>
                </w:p>
              </w:tc>
              <w:tc>
                <w:tcPr>
                  <w:tcW w:w="321" w:type="pct"/>
                  <w:vAlign w:val="center"/>
                </w:tcPr>
                <w:p>
                  <w:pPr>
                    <w:widowControl/>
                    <w:jc w:val="center"/>
                    <w:rPr>
                      <w:color w:val="auto"/>
                      <w:kern w:val="0"/>
                      <w:szCs w:val="21"/>
                    </w:rPr>
                  </w:pPr>
                  <w:r>
                    <w:rPr>
                      <w:color w:val="auto"/>
                      <w:kern w:val="0"/>
                      <w:szCs w:val="21"/>
                    </w:rPr>
                    <w:t>物料平衡法</w:t>
                  </w:r>
                </w:p>
              </w:tc>
              <w:tc>
                <w:tcPr>
                  <w:tcW w:w="321" w:type="pct"/>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rFonts w:hint="eastAsia"/>
                      <w:color w:val="auto"/>
                      <w:kern w:val="0"/>
                      <w:szCs w:val="21"/>
                      <w:lang w:val="en-US" w:eastAsia="zh-CN"/>
                    </w:rPr>
                    <w:t>0.189</w:t>
                  </w:r>
                </w:p>
              </w:tc>
              <w:tc>
                <w:tcPr>
                  <w:tcW w:w="319" w:type="pct"/>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rFonts w:hint="eastAsia"/>
                      <w:color w:val="auto"/>
                      <w:kern w:val="0"/>
                      <w:szCs w:val="21"/>
                      <w:lang w:val="en-US" w:eastAsia="zh-CN"/>
                    </w:rPr>
                    <w:t>0.0042</w:t>
                  </w:r>
                </w:p>
              </w:tc>
              <w:tc>
                <w:tcPr>
                  <w:tcW w:w="295" w:type="pct"/>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rFonts w:hint="eastAsia"/>
                      <w:color w:val="auto"/>
                      <w:kern w:val="0"/>
                      <w:szCs w:val="21"/>
                      <w:lang w:val="en-US" w:eastAsia="zh-CN"/>
                    </w:rPr>
                    <w:t>0.01</w:t>
                  </w:r>
                </w:p>
              </w:tc>
              <w:tc>
                <w:tcPr>
                  <w:tcW w:w="306" w:type="pct"/>
                  <w:vAlign w:val="center"/>
                </w:tcPr>
                <w:p>
                  <w:pPr>
                    <w:widowControl/>
                    <w:jc w:val="center"/>
                    <w:rPr>
                      <w:color w:val="auto"/>
                      <w:kern w:val="0"/>
                      <w:szCs w:val="21"/>
                    </w:rPr>
                  </w:pPr>
                  <w:r>
                    <w:rPr>
                      <w:color w:val="auto"/>
                      <w:kern w:val="0"/>
                      <w:szCs w:val="21"/>
                    </w:rPr>
                    <w:t>50</w:t>
                  </w:r>
                </w:p>
              </w:tc>
              <w:tc>
                <w:tcPr>
                  <w:tcW w:w="240" w:type="pct"/>
                  <w:vAlign w:val="center"/>
                </w:tcPr>
                <w:p>
                  <w:pPr>
                    <w:widowControl/>
                    <w:jc w:val="center"/>
                    <w:rPr>
                      <w:color w:val="auto"/>
                      <w:kern w:val="0"/>
                      <w:szCs w:val="21"/>
                    </w:rPr>
                  </w:pPr>
                  <w:r>
                    <w:rPr>
                      <w:color w:val="auto"/>
                      <w:kern w:val="0"/>
                      <w:szCs w:val="21"/>
                    </w:rPr>
                    <w:t>1.8</w:t>
                  </w:r>
                </w:p>
              </w:tc>
              <w:tc>
                <w:tcPr>
                  <w:tcW w:w="238" w:type="pct"/>
                  <w:vMerge w:val="continue"/>
                  <w:vAlign w:val="center"/>
                </w:tcPr>
                <w:p>
                  <w:pPr>
                    <w:widowControl/>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321" w:type="pct"/>
                  <w:vAlign w:val="center"/>
                </w:tcPr>
                <w:p>
                  <w:pPr>
                    <w:widowControl/>
                    <w:jc w:val="center"/>
                    <w:rPr>
                      <w:color w:val="auto"/>
                      <w:kern w:val="0"/>
                      <w:szCs w:val="21"/>
                    </w:rPr>
                  </w:pPr>
                  <w:r>
                    <w:rPr>
                      <w:rFonts w:hint="eastAsia"/>
                      <w:color w:val="auto"/>
                      <w:kern w:val="0"/>
                      <w:szCs w:val="21"/>
                    </w:rPr>
                    <w:t>晾干废气</w:t>
                  </w:r>
                </w:p>
              </w:tc>
              <w:tc>
                <w:tcPr>
                  <w:tcW w:w="304" w:type="pct"/>
                  <w:vMerge w:val="continue"/>
                  <w:vAlign w:val="center"/>
                </w:tcPr>
                <w:p>
                  <w:pPr>
                    <w:widowControl/>
                    <w:jc w:val="center"/>
                    <w:rPr>
                      <w:color w:val="auto"/>
                      <w:kern w:val="0"/>
                      <w:szCs w:val="21"/>
                    </w:rPr>
                  </w:pPr>
                </w:p>
              </w:tc>
              <w:tc>
                <w:tcPr>
                  <w:tcW w:w="318" w:type="pct"/>
                  <w:vMerge w:val="continue"/>
                  <w:vAlign w:val="center"/>
                </w:tcPr>
                <w:p>
                  <w:pPr>
                    <w:widowControl/>
                    <w:jc w:val="center"/>
                    <w:rPr>
                      <w:color w:val="auto"/>
                      <w:kern w:val="0"/>
                      <w:szCs w:val="21"/>
                    </w:rPr>
                  </w:pPr>
                </w:p>
              </w:tc>
              <w:tc>
                <w:tcPr>
                  <w:tcW w:w="270" w:type="pct"/>
                  <w:vMerge w:val="continue"/>
                  <w:vAlign w:val="center"/>
                </w:tcPr>
                <w:p>
                  <w:pPr>
                    <w:widowControl/>
                    <w:jc w:val="center"/>
                    <w:rPr>
                      <w:color w:val="auto"/>
                      <w:kern w:val="0"/>
                      <w:szCs w:val="21"/>
                    </w:rPr>
                  </w:pPr>
                </w:p>
              </w:tc>
              <w:tc>
                <w:tcPr>
                  <w:tcW w:w="299" w:type="pct"/>
                  <w:vMerge w:val="continue"/>
                  <w:vAlign w:val="center"/>
                </w:tcPr>
                <w:p>
                  <w:pPr>
                    <w:widowControl/>
                    <w:jc w:val="center"/>
                    <w:rPr>
                      <w:color w:val="auto"/>
                      <w:kern w:val="0"/>
                      <w:szCs w:val="21"/>
                    </w:rPr>
                  </w:pPr>
                </w:p>
              </w:tc>
              <w:tc>
                <w:tcPr>
                  <w:tcW w:w="330" w:type="pct"/>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color w:val="auto"/>
                      <w:kern w:val="0"/>
                      <w:szCs w:val="21"/>
                    </w:rPr>
                  </w:pPr>
                  <w:r>
                    <w:rPr>
                      <w:rFonts w:hint="eastAsia" w:cs="Times New Roman"/>
                      <w:color w:val="auto"/>
                      <w:kern w:val="2"/>
                      <w:sz w:val="21"/>
                      <w:szCs w:val="24"/>
                      <w:lang w:val="en-US" w:eastAsia="zh-CN" w:bidi="ar-SA"/>
                    </w:rPr>
                    <w:t>35.89</w:t>
                  </w:r>
                </w:p>
              </w:tc>
              <w:tc>
                <w:tcPr>
                  <w:tcW w:w="322" w:type="pct"/>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rFonts w:hint="eastAsia"/>
                      <w:color w:val="auto"/>
                      <w:kern w:val="0"/>
                      <w:szCs w:val="21"/>
                      <w:lang w:val="en-US" w:eastAsia="zh-CN"/>
                    </w:rPr>
                    <w:t>0.79</w:t>
                  </w:r>
                </w:p>
              </w:tc>
              <w:tc>
                <w:tcPr>
                  <w:tcW w:w="298" w:type="pct"/>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rFonts w:hint="eastAsia"/>
                      <w:color w:val="auto"/>
                      <w:kern w:val="0"/>
                      <w:szCs w:val="21"/>
                      <w:lang w:val="en-US" w:eastAsia="zh-CN"/>
                    </w:rPr>
                    <w:t>1.895</w:t>
                  </w:r>
                </w:p>
              </w:tc>
              <w:tc>
                <w:tcPr>
                  <w:tcW w:w="272" w:type="pct"/>
                  <w:vMerge w:val="continue"/>
                  <w:vAlign w:val="center"/>
                </w:tcPr>
                <w:p>
                  <w:pPr>
                    <w:widowControl/>
                    <w:jc w:val="center"/>
                    <w:rPr>
                      <w:color w:val="auto"/>
                      <w:kern w:val="0"/>
                      <w:szCs w:val="21"/>
                    </w:rPr>
                  </w:pPr>
                </w:p>
              </w:tc>
              <w:tc>
                <w:tcPr>
                  <w:tcW w:w="219" w:type="pct"/>
                  <w:vMerge w:val="continue"/>
                  <w:vAlign w:val="center"/>
                </w:tcPr>
                <w:p>
                  <w:pPr>
                    <w:widowControl/>
                    <w:jc w:val="center"/>
                    <w:rPr>
                      <w:color w:val="auto"/>
                      <w:kern w:val="0"/>
                      <w:szCs w:val="21"/>
                    </w:rPr>
                  </w:pPr>
                </w:p>
              </w:tc>
              <w:tc>
                <w:tcPr>
                  <w:tcW w:w="321" w:type="pct"/>
                  <w:vAlign w:val="center"/>
                </w:tcPr>
                <w:p>
                  <w:pPr>
                    <w:widowControl/>
                    <w:jc w:val="center"/>
                    <w:rPr>
                      <w:color w:val="auto"/>
                      <w:kern w:val="0"/>
                      <w:szCs w:val="21"/>
                    </w:rPr>
                  </w:pPr>
                  <w:r>
                    <w:rPr>
                      <w:color w:val="auto"/>
                      <w:kern w:val="0"/>
                      <w:szCs w:val="21"/>
                    </w:rPr>
                    <w:t>物料平衡法</w:t>
                  </w:r>
                </w:p>
              </w:tc>
              <w:tc>
                <w:tcPr>
                  <w:tcW w:w="321" w:type="pct"/>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rFonts w:hint="eastAsia"/>
                      <w:color w:val="auto"/>
                      <w:kern w:val="0"/>
                      <w:szCs w:val="21"/>
                      <w:lang w:val="en-US" w:eastAsia="zh-CN"/>
                    </w:rPr>
                    <w:t>3.58</w:t>
                  </w:r>
                </w:p>
              </w:tc>
              <w:tc>
                <w:tcPr>
                  <w:tcW w:w="319" w:type="pct"/>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rFonts w:hint="eastAsia"/>
                      <w:color w:val="auto"/>
                      <w:kern w:val="0"/>
                      <w:szCs w:val="21"/>
                      <w:lang w:val="en-US" w:eastAsia="zh-CN"/>
                    </w:rPr>
                    <w:t>0.079</w:t>
                  </w:r>
                </w:p>
              </w:tc>
              <w:tc>
                <w:tcPr>
                  <w:tcW w:w="295" w:type="pct"/>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rFonts w:hint="eastAsia"/>
                      <w:color w:val="auto"/>
                      <w:kern w:val="0"/>
                      <w:szCs w:val="21"/>
                      <w:lang w:val="en-US" w:eastAsia="zh-CN"/>
                    </w:rPr>
                    <w:t>0.1895</w:t>
                  </w:r>
                </w:p>
              </w:tc>
              <w:tc>
                <w:tcPr>
                  <w:tcW w:w="306" w:type="pct"/>
                  <w:vAlign w:val="center"/>
                </w:tcPr>
                <w:p>
                  <w:pPr>
                    <w:widowControl/>
                    <w:jc w:val="center"/>
                    <w:rPr>
                      <w:color w:val="auto"/>
                      <w:kern w:val="0"/>
                      <w:szCs w:val="21"/>
                    </w:rPr>
                  </w:pPr>
                  <w:r>
                    <w:rPr>
                      <w:rFonts w:hint="eastAsia"/>
                      <w:color w:val="auto"/>
                      <w:kern w:val="0"/>
                      <w:szCs w:val="21"/>
                    </w:rPr>
                    <w:t>50</w:t>
                  </w:r>
                </w:p>
              </w:tc>
              <w:tc>
                <w:tcPr>
                  <w:tcW w:w="240" w:type="pct"/>
                  <w:vAlign w:val="center"/>
                </w:tcPr>
                <w:p>
                  <w:pPr>
                    <w:widowControl/>
                    <w:jc w:val="center"/>
                    <w:rPr>
                      <w:color w:val="auto"/>
                      <w:kern w:val="0"/>
                      <w:szCs w:val="21"/>
                    </w:rPr>
                  </w:pPr>
                  <w:r>
                    <w:rPr>
                      <w:rFonts w:hint="eastAsia"/>
                      <w:color w:val="auto"/>
                      <w:kern w:val="0"/>
                      <w:szCs w:val="21"/>
                    </w:rPr>
                    <w:t>1.8</w:t>
                  </w:r>
                </w:p>
              </w:tc>
              <w:tc>
                <w:tcPr>
                  <w:tcW w:w="238" w:type="pct"/>
                  <w:vMerge w:val="continue"/>
                  <w:vAlign w:val="center"/>
                </w:tcPr>
                <w:p>
                  <w:pPr>
                    <w:widowControl/>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321" w:type="pct"/>
                  <w:vAlign w:val="center"/>
                </w:tcPr>
                <w:p>
                  <w:pPr>
                    <w:widowControl/>
                    <w:jc w:val="center"/>
                    <w:rPr>
                      <w:color w:val="auto"/>
                      <w:kern w:val="0"/>
                      <w:szCs w:val="21"/>
                    </w:rPr>
                  </w:pPr>
                  <w:r>
                    <w:rPr>
                      <w:rFonts w:hint="eastAsia"/>
                      <w:color w:val="auto"/>
                      <w:kern w:val="0"/>
                      <w:szCs w:val="21"/>
                    </w:rPr>
                    <w:t>喷漆</w:t>
                  </w:r>
                  <w:r>
                    <w:rPr>
                      <w:color w:val="auto"/>
                      <w:kern w:val="0"/>
                      <w:szCs w:val="21"/>
                    </w:rPr>
                    <w:t>废气</w:t>
                  </w:r>
                </w:p>
              </w:tc>
              <w:tc>
                <w:tcPr>
                  <w:tcW w:w="304" w:type="pct"/>
                  <w:vMerge w:val="continue"/>
                  <w:vAlign w:val="center"/>
                </w:tcPr>
                <w:p>
                  <w:pPr>
                    <w:widowControl/>
                    <w:jc w:val="center"/>
                    <w:rPr>
                      <w:color w:val="auto"/>
                      <w:kern w:val="0"/>
                      <w:szCs w:val="21"/>
                    </w:rPr>
                  </w:pPr>
                </w:p>
              </w:tc>
              <w:tc>
                <w:tcPr>
                  <w:tcW w:w="318" w:type="pct"/>
                  <w:vAlign w:val="center"/>
                </w:tcPr>
                <w:p>
                  <w:pPr>
                    <w:widowControl/>
                    <w:jc w:val="center"/>
                    <w:rPr>
                      <w:color w:val="auto"/>
                      <w:kern w:val="0"/>
                      <w:szCs w:val="21"/>
                    </w:rPr>
                  </w:pPr>
                  <w:r>
                    <w:rPr>
                      <w:color w:val="auto"/>
                      <w:kern w:val="0"/>
                      <w:szCs w:val="21"/>
                    </w:rPr>
                    <w:t>颗粒物</w:t>
                  </w:r>
                </w:p>
              </w:tc>
              <w:tc>
                <w:tcPr>
                  <w:tcW w:w="270" w:type="pct"/>
                  <w:vMerge w:val="continue"/>
                  <w:vAlign w:val="center"/>
                </w:tcPr>
                <w:p>
                  <w:pPr>
                    <w:widowControl/>
                    <w:jc w:val="center"/>
                    <w:rPr>
                      <w:color w:val="auto"/>
                      <w:kern w:val="0"/>
                      <w:szCs w:val="21"/>
                    </w:rPr>
                  </w:pPr>
                </w:p>
              </w:tc>
              <w:tc>
                <w:tcPr>
                  <w:tcW w:w="299" w:type="pct"/>
                  <w:vAlign w:val="center"/>
                </w:tcPr>
                <w:p>
                  <w:pPr>
                    <w:widowControl/>
                    <w:jc w:val="center"/>
                    <w:rPr>
                      <w:color w:val="auto"/>
                      <w:kern w:val="0"/>
                      <w:szCs w:val="21"/>
                    </w:rPr>
                  </w:pPr>
                  <w:r>
                    <w:rPr>
                      <w:color w:val="auto"/>
                      <w:kern w:val="0"/>
                      <w:szCs w:val="21"/>
                    </w:rPr>
                    <w:t>物料平衡法</w:t>
                  </w:r>
                </w:p>
              </w:tc>
              <w:tc>
                <w:tcPr>
                  <w:tcW w:w="330" w:type="pct"/>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rFonts w:hint="eastAsia"/>
                      <w:color w:val="auto"/>
                      <w:kern w:val="0"/>
                      <w:szCs w:val="21"/>
                      <w:lang w:val="en-US" w:eastAsia="zh-CN"/>
                    </w:rPr>
                    <w:t>96.8</w:t>
                  </w:r>
                </w:p>
              </w:tc>
              <w:tc>
                <w:tcPr>
                  <w:tcW w:w="322" w:type="pct"/>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rFonts w:hint="eastAsia"/>
                      <w:color w:val="auto"/>
                      <w:kern w:val="0"/>
                      <w:szCs w:val="21"/>
                      <w:lang w:val="en-US" w:eastAsia="zh-CN"/>
                    </w:rPr>
                    <w:t>2.13</w:t>
                  </w:r>
                </w:p>
              </w:tc>
              <w:tc>
                <w:tcPr>
                  <w:tcW w:w="298" w:type="pct"/>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rFonts w:hint="eastAsia"/>
                      <w:color w:val="auto"/>
                      <w:kern w:val="0"/>
                      <w:szCs w:val="21"/>
                      <w:lang w:val="en-US" w:eastAsia="zh-CN"/>
                    </w:rPr>
                    <w:t>5.111</w:t>
                  </w:r>
                </w:p>
              </w:tc>
              <w:tc>
                <w:tcPr>
                  <w:tcW w:w="272" w:type="pct"/>
                  <w:vMerge w:val="continue"/>
                  <w:vAlign w:val="center"/>
                </w:tcPr>
                <w:p>
                  <w:pPr>
                    <w:widowControl/>
                    <w:jc w:val="center"/>
                    <w:rPr>
                      <w:color w:val="auto"/>
                      <w:kern w:val="0"/>
                      <w:szCs w:val="21"/>
                    </w:rPr>
                  </w:pPr>
                </w:p>
              </w:tc>
              <w:tc>
                <w:tcPr>
                  <w:tcW w:w="219" w:type="pct"/>
                  <w:vMerge w:val="continue"/>
                  <w:vAlign w:val="center"/>
                </w:tcPr>
                <w:p>
                  <w:pPr>
                    <w:widowControl/>
                    <w:jc w:val="center"/>
                    <w:rPr>
                      <w:color w:val="auto"/>
                      <w:kern w:val="0"/>
                      <w:szCs w:val="21"/>
                    </w:rPr>
                  </w:pPr>
                </w:p>
              </w:tc>
              <w:tc>
                <w:tcPr>
                  <w:tcW w:w="321" w:type="pct"/>
                  <w:vAlign w:val="center"/>
                </w:tcPr>
                <w:p>
                  <w:pPr>
                    <w:widowControl/>
                    <w:jc w:val="center"/>
                    <w:rPr>
                      <w:color w:val="auto"/>
                      <w:kern w:val="0"/>
                      <w:szCs w:val="21"/>
                    </w:rPr>
                  </w:pPr>
                  <w:r>
                    <w:rPr>
                      <w:color w:val="auto"/>
                      <w:kern w:val="0"/>
                      <w:szCs w:val="21"/>
                    </w:rPr>
                    <w:t>物料平衡法</w:t>
                  </w:r>
                </w:p>
              </w:tc>
              <w:tc>
                <w:tcPr>
                  <w:tcW w:w="321" w:type="pct"/>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rFonts w:hint="eastAsia"/>
                      <w:color w:val="auto"/>
                      <w:kern w:val="0"/>
                      <w:szCs w:val="21"/>
                      <w:lang w:val="en-US" w:eastAsia="zh-CN"/>
                    </w:rPr>
                    <w:t>9.68</w:t>
                  </w:r>
                </w:p>
              </w:tc>
              <w:tc>
                <w:tcPr>
                  <w:tcW w:w="319" w:type="pct"/>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rFonts w:hint="eastAsia"/>
                      <w:color w:val="auto"/>
                      <w:kern w:val="0"/>
                      <w:szCs w:val="21"/>
                      <w:lang w:val="en-US" w:eastAsia="zh-CN"/>
                    </w:rPr>
                    <w:t>0.212</w:t>
                  </w:r>
                </w:p>
              </w:tc>
              <w:tc>
                <w:tcPr>
                  <w:tcW w:w="295" w:type="pct"/>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color w:val="auto"/>
                      <w:kern w:val="0"/>
                      <w:szCs w:val="21"/>
                    </w:rPr>
                  </w:pPr>
                  <w:r>
                    <w:rPr>
                      <w:rFonts w:hint="eastAsia"/>
                      <w:color w:val="auto"/>
                      <w:kern w:val="0"/>
                      <w:szCs w:val="21"/>
                      <w:lang w:val="en-US" w:eastAsia="zh-CN"/>
                    </w:rPr>
                    <w:t>0.512</w:t>
                  </w:r>
                </w:p>
              </w:tc>
              <w:tc>
                <w:tcPr>
                  <w:tcW w:w="306" w:type="pct"/>
                  <w:vAlign w:val="center"/>
                </w:tcPr>
                <w:p>
                  <w:pPr>
                    <w:widowControl/>
                    <w:jc w:val="center"/>
                    <w:rPr>
                      <w:color w:val="auto"/>
                      <w:kern w:val="0"/>
                      <w:szCs w:val="21"/>
                    </w:rPr>
                  </w:pPr>
                  <w:r>
                    <w:rPr>
                      <w:color w:val="auto"/>
                      <w:kern w:val="0"/>
                      <w:szCs w:val="21"/>
                    </w:rPr>
                    <w:t>10</w:t>
                  </w:r>
                </w:p>
              </w:tc>
              <w:tc>
                <w:tcPr>
                  <w:tcW w:w="240" w:type="pct"/>
                  <w:vAlign w:val="center"/>
                </w:tcPr>
                <w:p>
                  <w:pPr>
                    <w:widowControl/>
                    <w:jc w:val="center"/>
                    <w:rPr>
                      <w:color w:val="auto"/>
                      <w:kern w:val="0"/>
                      <w:szCs w:val="21"/>
                    </w:rPr>
                  </w:pPr>
                  <w:r>
                    <w:rPr>
                      <w:color w:val="auto"/>
                      <w:kern w:val="0"/>
                      <w:szCs w:val="21"/>
                    </w:rPr>
                    <w:t>0.6</w:t>
                  </w:r>
                </w:p>
              </w:tc>
              <w:tc>
                <w:tcPr>
                  <w:tcW w:w="238" w:type="pct"/>
                  <w:vMerge w:val="continue"/>
                  <w:vAlign w:val="center"/>
                </w:tcPr>
                <w:p>
                  <w:pPr>
                    <w:widowControl/>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321" w:type="pct"/>
                  <w:vAlign w:val="center"/>
                </w:tcPr>
                <w:p>
                  <w:pPr>
                    <w:widowControl/>
                    <w:jc w:val="center"/>
                    <w:rPr>
                      <w:rFonts w:hint="eastAsia" w:eastAsia="宋体"/>
                      <w:color w:val="auto"/>
                      <w:kern w:val="0"/>
                      <w:szCs w:val="21"/>
                      <w:lang w:eastAsia="zh-CN"/>
                    </w:rPr>
                  </w:pPr>
                  <w:r>
                    <w:rPr>
                      <w:rFonts w:hint="eastAsia"/>
                      <w:color w:val="auto"/>
                      <w:kern w:val="0"/>
                      <w:szCs w:val="21"/>
                      <w:lang w:eastAsia="zh-CN"/>
                    </w:rPr>
                    <w:t>危废库废气</w:t>
                  </w:r>
                </w:p>
              </w:tc>
              <w:tc>
                <w:tcPr>
                  <w:tcW w:w="304" w:type="pct"/>
                  <w:vMerge w:val="continue"/>
                  <w:vAlign w:val="center"/>
                </w:tcPr>
                <w:p>
                  <w:pPr>
                    <w:widowControl/>
                    <w:jc w:val="center"/>
                    <w:rPr>
                      <w:color w:val="auto"/>
                      <w:kern w:val="0"/>
                      <w:szCs w:val="21"/>
                    </w:rPr>
                  </w:pPr>
                </w:p>
              </w:tc>
              <w:tc>
                <w:tcPr>
                  <w:tcW w:w="318" w:type="pct"/>
                  <w:vAlign w:val="center"/>
                </w:tcPr>
                <w:p>
                  <w:pPr>
                    <w:widowControl/>
                    <w:jc w:val="center"/>
                    <w:rPr>
                      <w:color w:val="auto"/>
                      <w:kern w:val="0"/>
                      <w:szCs w:val="21"/>
                    </w:rPr>
                  </w:pPr>
                  <w:r>
                    <w:rPr>
                      <w:color w:val="auto"/>
                      <w:kern w:val="0"/>
                      <w:szCs w:val="21"/>
                    </w:rPr>
                    <w:t>非甲烷总烃</w:t>
                  </w:r>
                </w:p>
              </w:tc>
              <w:tc>
                <w:tcPr>
                  <w:tcW w:w="270" w:type="pct"/>
                  <w:vMerge w:val="continue"/>
                  <w:vAlign w:val="center"/>
                </w:tcPr>
                <w:p>
                  <w:pPr>
                    <w:widowControl/>
                    <w:jc w:val="center"/>
                    <w:rPr>
                      <w:color w:val="auto"/>
                      <w:kern w:val="0"/>
                      <w:szCs w:val="21"/>
                    </w:rPr>
                  </w:pPr>
                </w:p>
              </w:tc>
              <w:tc>
                <w:tcPr>
                  <w:tcW w:w="299" w:type="pct"/>
                  <w:vAlign w:val="center"/>
                </w:tcPr>
                <w:p>
                  <w:pPr>
                    <w:widowControl/>
                    <w:jc w:val="center"/>
                    <w:rPr>
                      <w:color w:val="auto"/>
                      <w:kern w:val="0"/>
                      <w:szCs w:val="21"/>
                    </w:rPr>
                  </w:pPr>
                  <w:r>
                    <w:rPr>
                      <w:color w:val="auto"/>
                      <w:kern w:val="0"/>
                      <w:szCs w:val="21"/>
                    </w:rPr>
                    <w:t>产污系数法</w:t>
                  </w:r>
                </w:p>
              </w:tc>
              <w:tc>
                <w:tcPr>
                  <w:tcW w:w="330" w:type="pct"/>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0"/>
                      <w:sz w:val="21"/>
                      <w:szCs w:val="21"/>
                      <w:lang w:val="en-US" w:eastAsia="zh-CN" w:bidi="ar-SA"/>
                    </w:rPr>
                  </w:pPr>
                  <w:r>
                    <w:rPr>
                      <w:rFonts w:hint="eastAsia" w:cs="Times New Roman"/>
                      <w:color w:val="auto"/>
                      <w:kern w:val="0"/>
                      <w:sz w:val="21"/>
                      <w:szCs w:val="21"/>
                      <w:lang w:val="en-US" w:eastAsia="zh-CN" w:bidi="ar-SA"/>
                    </w:rPr>
                    <w:t>2.27</w:t>
                  </w:r>
                </w:p>
              </w:tc>
              <w:tc>
                <w:tcPr>
                  <w:tcW w:w="322" w:type="pct"/>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0"/>
                      <w:sz w:val="21"/>
                      <w:szCs w:val="21"/>
                      <w:lang w:val="en-US" w:eastAsia="zh-CN" w:bidi="ar-SA"/>
                    </w:rPr>
                  </w:pPr>
                  <w:r>
                    <w:rPr>
                      <w:rFonts w:hint="eastAsia" w:cs="Times New Roman"/>
                      <w:color w:val="auto"/>
                      <w:kern w:val="0"/>
                      <w:sz w:val="21"/>
                      <w:szCs w:val="21"/>
                      <w:lang w:val="en-US" w:eastAsia="zh-CN" w:bidi="ar-SA"/>
                    </w:rPr>
                    <w:t>0.0499</w:t>
                  </w:r>
                </w:p>
              </w:tc>
              <w:tc>
                <w:tcPr>
                  <w:tcW w:w="298" w:type="pct"/>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0"/>
                      <w:sz w:val="21"/>
                      <w:szCs w:val="21"/>
                      <w:lang w:val="en-US" w:eastAsia="zh-CN" w:bidi="ar-SA"/>
                    </w:rPr>
                  </w:pPr>
                  <w:r>
                    <w:rPr>
                      <w:rFonts w:hint="eastAsia" w:cs="Times New Roman"/>
                      <w:color w:val="auto"/>
                      <w:kern w:val="0"/>
                      <w:sz w:val="21"/>
                      <w:szCs w:val="21"/>
                      <w:lang w:val="en-US" w:eastAsia="zh-CN" w:bidi="ar-SA"/>
                    </w:rPr>
                    <w:t>0.1079</w:t>
                  </w:r>
                </w:p>
              </w:tc>
              <w:tc>
                <w:tcPr>
                  <w:tcW w:w="272" w:type="pct"/>
                  <w:vMerge w:val="continue"/>
                  <w:vAlign w:val="center"/>
                </w:tcPr>
                <w:p>
                  <w:pPr>
                    <w:widowControl/>
                    <w:jc w:val="center"/>
                    <w:rPr>
                      <w:color w:val="auto"/>
                      <w:kern w:val="0"/>
                      <w:szCs w:val="21"/>
                    </w:rPr>
                  </w:pPr>
                </w:p>
              </w:tc>
              <w:tc>
                <w:tcPr>
                  <w:tcW w:w="219" w:type="pct"/>
                  <w:vMerge w:val="continue"/>
                  <w:vAlign w:val="center"/>
                </w:tcPr>
                <w:p>
                  <w:pPr>
                    <w:widowControl/>
                    <w:jc w:val="center"/>
                    <w:rPr>
                      <w:color w:val="auto"/>
                      <w:kern w:val="0"/>
                      <w:szCs w:val="21"/>
                    </w:rPr>
                  </w:pPr>
                </w:p>
              </w:tc>
              <w:tc>
                <w:tcPr>
                  <w:tcW w:w="321" w:type="pct"/>
                  <w:vAlign w:val="center"/>
                </w:tcPr>
                <w:p>
                  <w:pPr>
                    <w:widowControl/>
                    <w:jc w:val="center"/>
                    <w:rPr>
                      <w:color w:val="auto"/>
                      <w:kern w:val="0"/>
                      <w:szCs w:val="21"/>
                    </w:rPr>
                  </w:pPr>
                  <w:r>
                    <w:rPr>
                      <w:color w:val="auto"/>
                      <w:kern w:val="0"/>
                      <w:szCs w:val="21"/>
                    </w:rPr>
                    <w:t>产污系数法</w:t>
                  </w:r>
                </w:p>
              </w:tc>
              <w:tc>
                <w:tcPr>
                  <w:tcW w:w="321" w:type="pct"/>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0"/>
                      <w:sz w:val="21"/>
                      <w:szCs w:val="21"/>
                      <w:lang w:val="en-US" w:eastAsia="zh-CN" w:bidi="ar-SA"/>
                    </w:rPr>
                  </w:pPr>
                  <w:r>
                    <w:rPr>
                      <w:rFonts w:hint="eastAsia" w:cs="Times New Roman"/>
                      <w:color w:val="auto"/>
                      <w:kern w:val="0"/>
                      <w:sz w:val="21"/>
                      <w:szCs w:val="21"/>
                      <w:lang w:val="en-US" w:eastAsia="zh-CN" w:bidi="ar-SA"/>
                    </w:rPr>
                    <w:t>0.22</w:t>
                  </w:r>
                </w:p>
              </w:tc>
              <w:tc>
                <w:tcPr>
                  <w:tcW w:w="319" w:type="pct"/>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0"/>
                      <w:sz w:val="21"/>
                      <w:szCs w:val="21"/>
                      <w:lang w:val="en-US" w:eastAsia="zh-CN" w:bidi="ar-SA"/>
                    </w:rPr>
                  </w:pPr>
                  <w:r>
                    <w:rPr>
                      <w:rFonts w:hint="eastAsia" w:cs="Times New Roman"/>
                      <w:color w:val="auto"/>
                      <w:kern w:val="0"/>
                      <w:sz w:val="21"/>
                      <w:szCs w:val="21"/>
                      <w:lang w:val="en-US" w:eastAsia="zh-CN" w:bidi="ar-SA"/>
                    </w:rPr>
                    <w:t>0.0050</w:t>
                  </w:r>
                </w:p>
              </w:tc>
              <w:tc>
                <w:tcPr>
                  <w:tcW w:w="295" w:type="pct"/>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0"/>
                      <w:sz w:val="21"/>
                      <w:szCs w:val="21"/>
                      <w:lang w:val="en-US" w:eastAsia="zh-CN" w:bidi="ar-SA"/>
                    </w:rPr>
                  </w:pPr>
                  <w:r>
                    <w:rPr>
                      <w:rFonts w:hint="eastAsia" w:cs="Times New Roman"/>
                      <w:color w:val="auto"/>
                      <w:kern w:val="0"/>
                      <w:sz w:val="21"/>
                      <w:szCs w:val="21"/>
                      <w:lang w:val="en-US" w:eastAsia="zh-CN" w:bidi="ar-SA"/>
                    </w:rPr>
                    <w:t>0.0108</w:t>
                  </w:r>
                </w:p>
              </w:tc>
              <w:tc>
                <w:tcPr>
                  <w:tcW w:w="306" w:type="pct"/>
                  <w:vAlign w:val="center"/>
                </w:tcPr>
                <w:p>
                  <w:pPr>
                    <w:widowControl/>
                    <w:jc w:val="center"/>
                    <w:rPr>
                      <w:rFonts w:ascii="Times New Roman" w:hAnsi="Times New Roman" w:eastAsia="宋体" w:cs="Times New Roman"/>
                      <w:color w:val="auto"/>
                      <w:kern w:val="0"/>
                      <w:sz w:val="21"/>
                      <w:szCs w:val="21"/>
                      <w:lang w:val="en-US" w:eastAsia="zh-CN" w:bidi="ar-SA"/>
                    </w:rPr>
                  </w:pPr>
                  <w:r>
                    <w:rPr>
                      <w:color w:val="auto"/>
                      <w:kern w:val="0"/>
                      <w:szCs w:val="21"/>
                    </w:rPr>
                    <w:t>50</w:t>
                  </w:r>
                </w:p>
              </w:tc>
              <w:tc>
                <w:tcPr>
                  <w:tcW w:w="240" w:type="pct"/>
                  <w:vAlign w:val="center"/>
                </w:tcPr>
                <w:p>
                  <w:pPr>
                    <w:widowControl/>
                    <w:jc w:val="center"/>
                    <w:rPr>
                      <w:rFonts w:ascii="Times New Roman" w:hAnsi="Times New Roman" w:eastAsia="宋体" w:cs="Times New Roman"/>
                      <w:color w:val="auto"/>
                      <w:kern w:val="0"/>
                      <w:sz w:val="21"/>
                      <w:szCs w:val="21"/>
                      <w:lang w:val="en-US" w:eastAsia="zh-CN" w:bidi="ar-SA"/>
                    </w:rPr>
                  </w:pPr>
                  <w:r>
                    <w:rPr>
                      <w:color w:val="auto"/>
                      <w:kern w:val="0"/>
                      <w:szCs w:val="21"/>
                    </w:rPr>
                    <w:t>1.8</w:t>
                  </w:r>
                </w:p>
              </w:tc>
              <w:tc>
                <w:tcPr>
                  <w:tcW w:w="238" w:type="pct"/>
                  <w:vMerge w:val="continue"/>
                  <w:vAlign w:val="center"/>
                </w:tcPr>
                <w:p>
                  <w:pPr>
                    <w:widowControl/>
                    <w:jc w:val="center"/>
                    <w:rPr>
                      <w:color w:val="auto"/>
                      <w:kern w:val="0"/>
                      <w:szCs w:val="21"/>
                    </w:rPr>
                  </w:pPr>
                </w:p>
              </w:tc>
            </w:tr>
          </w:tbl>
          <w:p>
            <w:pPr>
              <w:widowControl/>
              <w:spacing w:line="360" w:lineRule="auto"/>
              <w:ind w:firstLine="480" w:firstLineChars="200"/>
              <w:jc w:val="left"/>
              <w:rPr>
                <w:b/>
                <w:bCs/>
                <w:color w:val="auto"/>
              </w:rPr>
            </w:pPr>
            <w:r>
              <w:rPr>
                <w:color w:val="auto"/>
                <w:kern w:val="0"/>
                <w:sz w:val="24"/>
                <w:lang w:bidi="ar"/>
              </w:rPr>
              <w:t>由上述分析可知，排气筒DA001颗粒物满足江苏省大气污染物综合排放标准（DB32/4041-2021）表1规定的大气污染物有组织排放限值，DA002非甲烷总烃、颗粒物排放满足表面涂装（工程机械和钢结构行业）大气污染物排放标准（DB32/4147-2021）表1排放标准限值，大气污染物综合排放标准（DB324041-2021）表3排放标准限值。</w:t>
            </w:r>
          </w:p>
          <w:p>
            <w:pPr>
              <w:wordWrap w:val="0"/>
              <w:jc w:val="center"/>
              <w:rPr>
                <w:b/>
                <w:bCs/>
                <w:color w:val="auto"/>
              </w:rPr>
            </w:pPr>
            <w:r>
              <w:rPr>
                <w:b/>
                <w:bCs/>
                <w:color w:val="auto"/>
              </w:rPr>
              <w:t>表4.2-3  建设项目无组织排放情况汇总表</w:t>
            </w:r>
          </w:p>
          <w:tbl>
            <w:tblPr>
              <w:tblStyle w:val="20"/>
              <w:tblW w:w="5000" w:type="pct"/>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665"/>
              <w:gridCol w:w="990"/>
              <w:gridCol w:w="1292"/>
              <w:gridCol w:w="993"/>
              <w:gridCol w:w="1366"/>
              <w:gridCol w:w="1394"/>
              <w:gridCol w:w="1059"/>
              <w:gridCol w:w="1097"/>
              <w:gridCol w:w="1202"/>
              <w:gridCol w:w="2651"/>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07" w:type="pct"/>
                  <w:vMerge w:val="restart"/>
                  <w:vAlign w:val="center"/>
                </w:tcPr>
                <w:p>
                  <w:pPr>
                    <w:widowControl/>
                    <w:jc w:val="center"/>
                    <w:rPr>
                      <w:b/>
                      <w:bCs/>
                      <w:color w:val="auto"/>
                      <w:kern w:val="0"/>
                      <w:szCs w:val="21"/>
                    </w:rPr>
                  </w:pPr>
                  <w:r>
                    <w:rPr>
                      <w:b/>
                      <w:bCs/>
                      <w:color w:val="auto"/>
                      <w:kern w:val="0"/>
                      <w:szCs w:val="21"/>
                    </w:rPr>
                    <w:t>污染源位置</w:t>
                  </w:r>
                </w:p>
              </w:tc>
              <w:tc>
                <w:tcPr>
                  <w:tcW w:w="361" w:type="pct"/>
                  <w:vMerge w:val="restart"/>
                  <w:vAlign w:val="center"/>
                </w:tcPr>
                <w:p>
                  <w:pPr>
                    <w:widowControl/>
                    <w:jc w:val="center"/>
                    <w:rPr>
                      <w:b/>
                      <w:bCs/>
                      <w:color w:val="auto"/>
                      <w:kern w:val="0"/>
                      <w:szCs w:val="21"/>
                    </w:rPr>
                  </w:pPr>
                  <w:r>
                    <w:rPr>
                      <w:b/>
                      <w:bCs/>
                      <w:color w:val="auto"/>
                      <w:kern w:val="0"/>
                      <w:szCs w:val="21"/>
                    </w:rPr>
                    <w:t>污染物名称</w:t>
                  </w:r>
                </w:p>
              </w:tc>
              <w:tc>
                <w:tcPr>
                  <w:tcW w:w="471" w:type="pct"/>
                  <w:vMerge w:val="restart"/>
                  <w:vAlign w:val="center"/>
                </w:tcPr>
                <w:p>
                  <w:pPr>
                    <w:widowControl/>
                    <w:jc w:val="center"/>
                    <w:rPr>
                      <w:b/>
                      <w:bCs/>
                      <w:color w:val="auto"/>
                      <w:kern w:val="0"/>
                      <w:szCs w:val="21"/>
                    </w:rPr>
                  </w:pPr>
                  <w:r>
                    <w:rPr>
                      <w:b/>
                      <w:bCs/>
                      <w:color w:val="auto"/>
                      <w:kern w:val="0"/>
                      <w:szCs w:val="21"/>
                    </w:rPr>
                    <w:t>核算方法</w:t>
                  </w:r>
                </w:p>
              </w:tc>
              <w:tc>
                <w:tcPr>
                  <w:tcW w:w="860" w:type="pct"/>
                  <w:gridSpan w:val="2"/>
                  <w:vAlign w:val="center"/>
                </w:tcPr>
                <w:p>
                  <w:pPr>
                    <w:widowControl/>
                    <w:jc w:val="center"/>
                    <w:rPr>
                      <w:b/>
                      <w:bCs/>
                      <w:color w:val="auto"/>
                      <w:kern w:val="0"/>
                      <w:szCs w:val="21"/>
                    </w:rPr>
                  </w:pPr>
                  <w:r>
                    <w:rPr>
                      <w:b/>
                      <w:bCs/>
                      <w:color w:val="auto"/>
                      <w:kern w:val="0"/>
                      <w:szCs w:val="21"/>
                    </w:rPr>
                    <w:t>排放源强</w:t>
                  </w:r>
                </w:p>
              </w:tc>
              <w:tc>
                <w:tcPr>
                  <w:tcW w:w="508" w:type="pct"/>
                  <w:vAlign w:val="center"/>
                </w:tcPr>
                <w:p>
                  <w:pPr>
                    <w:widowControl/>
                    <w:jc w:val="center"/>
                    <w:rPr>
                      <w:b/>
                      <w:bCs/>
                      <w:color w:val="auto"/>
                      <w:kern w:val="0"/>
                      <w:szCs w:val="21"/>
                    </w:rPr>
                  </w:pPr>
                  <w:r>
                    <w:rPr>
                      <w:b/>
                      <w:bCs/>
                      <w:color w:val="auto"/>
                      <w:kern w:val="0"/>
                      <w:szCs w:val="21"/>
                    </w:rPr>
                    <w:t>面源长度</w:t>
                  </w:r>
                </w:p>
              </w:tc>
              <w:tc>
                <w:tcPr>
                  <w:tcW w:w="386" w:type="pct"/>
                  <w:vAlign w:val="center"/>
                </w:tcPr>
                <w:p>
                  <w:pPr>
                    <w:widowControl/>
                    <w:jc w:val="center"/>
                    <w:rPr>
                      <w:b/>
                      <w:bCs/>
                      <w:color w:val="auto"/>
                      <w:kern w:val="0"/>
                      <w:szCs w:val="21"/>
                    </w:rPr>
                  </w:pPr>
                  <w:r>
                    <w:rPr>
                      <w:b/>
                      <w:bCs/>
                      <w:color w:val="auto"/>
                      <w:kern w:val="0"/>
                      <w:szCs w:val="21"/>
                    </w:rPr>
                    <w:t>面源宽度</w:t>
                  </w:r>
                </w:p>
              </w:tc>
              <w:tc>
                <w:tcPr>
                  <w:tcW w:w="400" w:type="pct"/>
                  <w:vAlign w:val="center"/>
                </w:tcPr>
                <w:p>
                  <w:pPr>
                    <w:widowControl/>
                    <w:jc w:val="center"/>
                    <w:rPr>
                      <w:b/>
                      <w:bCs/>
                      <w:color w:val="auto"/>
                      <w:kern w:val="0"/>
                      <w:szCs w:val="21"/>
                    </w:rPr>
                  </w:pPr>
                  <w:r>
                    <w:rPr>
                      <w:b/>
                      <w:bCs/>
                      <w:color w:val="auto"/>
                      <w:kern w:val="0"/>
                      <w:szCs w:val="21"/>
                    </w:rPr>
                    <w:t>面源高度</w:t>
                  </w:r>
                </w:p>
              </w:tc>
              <w:tc>
                <w:tcPr>
                  <w:tcW w:w="438" w:type="pct"/>
                  <w:vAlign w:val="center"/>
                </w:tcPr>
                <w:p>
                  <w:pPr>
                    <w:widowControl/>
                    <w:jc w:val="center"/>
                    <w:rPr>
                      <w:b/>
                      <w:bCs/>
                      <w:color w:val="auto"/>
                      <w:kern w:val="0"/>
                      <w:szCs w:val="21"/>
                    </w:rPr>
                  </w:pPr>
                  <w:r>
                    <w:rPr>
                      <w:b/>
                      <w:bCs/>
                      <w:color w:val="auto"/>
                      <w:kern w:val="0"/>
                      <w:szCs w:val="21"/>
                    </w:rPr>
                    <w:t>排放时间</w:t>
                  </w:r>
                </w:p>
              </w:tc>
              <w:tc>
                <w:tcPr>
                  <w:tcW w:w="966" w:type="pct"/>
                  <w:vMerge w:val="restart"/>
                  <w:vAlign w:val="center"/>
                </w:tcPr>
                <w:p>
                  <w:pPr>
                    <w:widowControl/>
                    <w:jc w:val="center"/>
                    <w:rPr>
                      <w:b/>
                      <w:bCs/>
                      <w:color w:val="auto"/>
                      <w:kern w:val="0"/>
                      <w:szCs w:val="21"/>
                    </w:rPr>
                  </w:pPr>
                  <w:r>
                    <w:rPr>
                      <w:b/>
                      <w:bCs/>
                      <w:color w:val="auto"/>
                      <w:kern w:val="0"/>
                      <w:szCs w:val="21"/>
                    </w:rPr>
                    <w:t>执行标准</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07" w:type="pct"/>
                  <w:vMerge w:val="continue"/>
                  <w:vAlign w:val="center"/>
                </w:tcPr>
                <w:p>
                  <w:pPr>
                    <w:widowControl/>
                    <w:jc w:val="left"/>
                    <w:rPr>
                      <w:b/>
                      <w:bCs/>
                      <w:color w:val="auto"/>
                      <w:kern w:val="0"/>
                      <w:szCs w:val="21"/>
                    </w:rPr>
                  </w:pPr>
                </w:p>
              </w:tc>
              <w:tc>
                <w:tcPr>
                  <w:tcW w:w="361" w:type="pct"/>
                  <w:vMerge w:val="continue"/>
                  <w:vAlign w:val="center"/>
                </w:tcPr>
                <w:p>
                  <w:pPr>
                    <w:widowControl/>
                    <w:jc w:val="left"/>
                    <w:rPr>
                      <w:b/>
                      <w:bCs/>
                      <w:color w:val="auto"/>
                      <w:kern w:val="0"/>
                      <w:szCs w:val="21"/>
                    </w:rPr>
                  </w:pPr>
                </w:p>
              </w:tc>
              <w:tc>
                <w:tcPr>
                  <w:tcW w:w="471" w:type="pct"/>
                  <w:vMerge w:val="continue"/>
                  <w:vAlign w:val="center"/>
                </w:tcPr>
                <w:p>
                  <w:pPr>
                    <w:widowControl/>
                    <w:jc w:val="left"/>
                    <w:rPr>
                      <w:b/>
                      <w:bCs/>
                      <w:color w:val="auto"/>
                      <w:kern w:val="0"/>
                      <w:szCs w:val="21"/>
                    </w:rPr>
                  </w:pPr>
                </w:p>
              </w:tc>
              <w:tc>
                <w:tcPr>
                  <w:tcW w:w="362" w:type="pct"/>
                  <w:vAlign w:val="center"/>
                </w:tcPr>
                <w:p>
                  <w:pPr>
                    <w:widowControl/>
                    <w:jc w:val="center"/>
                    <w:rPr>
                      <w:b/>
                      <w:bCs/>
                      <w:color w:val="auto"/>
                      <w:kern w:val="0"/>
                      <w:szCs w:val="21"/>
                    </w:rPr>
                  </w:pPr>
                  <w:r>
                    <w:rPr>
                      <w:b/>
                      <w:bCs/>
                      <w:color w:val="auto"/>
                      <w:kern w:val="0"/>
                      <w:szCs w:val="21"/>
                    </w:rPr>
                    <w:t>（kg/h）</w:t>
                  </w:r>
                </w:p>
              </w:tc>
              <w:tc>
                <w:tcPr>
                  <w:tcW w:w="497" w:type="pct"/>
                  <w:vAlign w:val="center"/>
                </w:tcPr>
                <w:p>
                  <w:pPr>
                    <w:widowControl/>
                    <w:jc w:val="center"/>
                    <w:rPr>
                      <w:b/>
                      <w:bCs/>
                      <w:color w:val="auto"/>
                      <w:kern w:val="0"/>
                      <w:szCs w:val="21"/>
                    </w:rPr>
                  </w:pPr>
                  <w:r>
                    <w:rPr>
                      <w:b/>
                      <w:bCs/>
                      <w:color w:val="auto"/>
                      <w:kern w:val="0"/>
                      <w:szCs w:val="21"/>
                    </w:rPr>
                    <w:t>（t/a）</w:t>
                  </w:r>
                </w:p>
              </w:tc>
              <w:tc>
                <w:tcPr>
                  <w:tcW w:w="508" w:type="pct"/>
                  <w:vAlign w:val="center"/>
                </w:tcPr>
                <w:p>
                  <w:pPr>
                    <w:widowControl/>
                    <w:jc w:val="center"/>
                    <w:rPr>
                      <w:b/>
                      <w:bCs/>
                      <w:color w:val="auto"/>
                      <w:kern w:val="0"/>
                      <w:szCs w:val="21"/>
                    </w:rPr>
                  </w:pPr>
                  <w:r>
                    <w:rPr>
                      <w:b/>
                      <w:bCs/>
                      <w:color w:val="auto"/>
                      <w:kern w:val="0"/>
                      <w:szCs w:val="21"/>
                    </w:rPr>
                    <w:t>（m）</w:t>
                  </w:r>
                </w:p>
              </w:tc>
              <w:tc>
                <w:tcPr>
                  <w:tcW w:w="386" w:type="pct"/>
                  <w:vAlign w:val="center"/>
                </w:tcPr>
                <w:p>
                  <w:pPr>
                    <w:widowControl/>
                    <w:jc w:val="center"/>
                    <w:rPr>
                      <w:b/>
                      <w:bCs/>
                      <w:color w:val="auto"/>
                      <w:kern w:val="0"/>
                      <w:szCs w:val="21"/>
                    </w:rPr>
                  </w:pPr>
                  <w:r>
                    <w:rPr>
                      <w:b/>
                      <w:bCs/>
                      <w:color w:val="auto"/>
                      <w:kern w:val="0"/>
                      <w:szCs w:val="21"/>
                    </w:rPr>
                    <w:t>（m）</w:t>
                  </w:r>
                </w:p>
              </w:tc>
              <w:tc>
                <w:tcPr>
                  <w:tcW w:w="400" w:type="pct"/>
                  <w:vAlign w:val="center"/>
                </w:tcPr>
                <w:p>
                  <w:pPr>
                    <w:widowControl/>
                    <w:jc w:val="center"/>
                    <w:rPr>
                      <w:b/>
                      <w:bCs/>
                      <w:color w:val="auto"/>
                      <w:kern w:val="0"/>
                      <w:szCs w:val="21"/>
                    </w:rPr>
                  </w:pPr>
                  <w:r>
                    <w:rPr>
                      <w:b/>
                      <w:bCs/>
                      <w:color w:val="auto"/>
                      <w:kern w:val="0"/>
                      <w:szCs w:val="21"/>
                    </w:rPr>
                    <w:t>（m）</w:t>
                  </w:r>
                </w:p>
              </w:tc>
              <w:tc>
                <w:tcPr>
                  <w:tcW w:w="438" w:type="pct"/>
                  <w:vAlign w:val="center"/>
                </w:tcPr>
                <w:p>
                  <w:pPr>
                    <w:widowControl/>
                    <w:jc w:val="center"/>
                    <w:rPr>
                      <w:b/>
                      <w:bCs/>
                      <w:color w:val="auto"/>
                      <w:kern w:val="0"/>
                      <w:szCs w:val="21"/>
                    </w:rPr>
                  </w:pPr>
                  <w:r>
                    <w:rPr>
                      <w:b/>
                      <w:bCs/>
                      <w:color w:val="auto"/>
                      <w:kern w:val="0"/>
                      <w:szCs w:val="21"/>
                    </w:rPr>
                    <w:t>（h）</w:t>
                  </w:r>
                </w:p>
              </w:tc>
              <w:tc>
                <w:tcPr>
                  <w:tcW w:w="966" w:type="pct"/>
                  <w:vMerge w:val="continue"/>
                  <w:vAlign w:val="center"/>
                </w:tcPr>
                <w:p>
                  <w:pPr>
                    <w:widowControl/>
                    <w:jc w:val="left"/>
                    <w:rPr>
                      <w:b/>
                      <w:bCs/>
                      <w:color w:val="auto"/>
                      <w:kern w:val="0"/>
                      <w:szCs w:val="21"/>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031" w:hRule="atLeast"/>
              </w:trPr>
              <w:tc>
                <w:tcPr>
                  <w:tcW w:w="607" w:type="pct"/>
                  <w:vAlign w:val="center"/>
                </w:tcPr>
                <w:p>
                  <w:pPr>
                    <w:widowControl/>
                    <w:jc w:val="center"/>
                    <w:rPr>
                      <w:color w:val="auto"/>
                      <w:kern w:val="0"/>
                      <w:szCs w:val="21"/>
                    </w:rPr>
                  </w:pPr>
                  <w:r>
                    <w:rPr>
                      <w:rFonts w:hint="eastAsia"/>
                      <w:color w:val="auto"/>
                      <w:kern w:val="0"/>
                      <w:szCs w:val="21"/>
                    </w:rPr>
                    <w:t>车间一</w:t>
                  </w:r>
                </w:p>
                <w:p>
                  <w:pPr>
                    <w:widowControl/>
                    <w:jc w:val="center"/>
                    <w:rPr>
                      <w:color w:val="auto"/>
                      <w:kern w:val="0"/>
                      <w:szCs w:val="21"/>
                    </w:rPr>
                  </w:pPr>
                  <w:r>
                    <w:rPr>
                      <w:color w:val="auto"/>
                      <w:kern w:val="0"/>
                      <w:szCs w:val="21"/>
                    </w:rPr>
                    <w:t>（切割、打磨、抛丸、焊接）</w:t>
                  </w:r>
                </w:p>
              </w:tc>
              <w:tc>
                <w:tcPr>
                  <w:tcW w:w="361" w:type="pct"/>
                  <w:vAlign w:val="center"/>
                </w:tcPr>
                <w:p>
                  <w:pPr>
                    <w:widowControl/>
                    <w:jc w:val="center"/>
                    <w:rPr>
                      <w:color w:val="auto"/>
                      <w:kern w:val="0"/>
                      <w:szCs w:val="21"/>
                    </w:rPr>
                  </w:pPr>
                  <w:r>
                    <w:rPr>
                      <w:color w:val="auto"/>
                      <w:kern w:val="0"/>
                      <w:szCs w:val="21"/>
                    </w:rPr>
                    <w:t>颗粒物</w:t>
                  </w:r>
                </w:p>
              </w:tc>
              <w:tc>
                <w:tcPr>
                  <w:tcW w:w="471" w:type="pct"/>
                  <w:vAlign w:val="center"/>
                </w:tcPr>
                <w:p>
                  <w:pPr>
                    <w:widowControl/>
                    <w:jc w:val="center"/>
                    <w:rPr>
                      <w:color w:val="auto"/>
                      <w:kern w:val="0"/>
                      <w:szCs w:val="21"/>
                    </w:rPr>
                  </w:pPr>
                  <w:r>
                    <w:rPr>
                      <w:color w:val="auto"/>
                      <w:kern w:val="0"/>
                      <w:szCs w:val="21"/>
                    </w:rPr>
                    <w:t>产污系数法</w:t>
                  </w:r>
                </w:p>
              </w:tc>
              <w:tc>
                <w:tcPr>
                  <w:tcW w:w="362" w:type="pct"/>
                  <w:vAlign w:val="center"/>
                </w:tcPr>
                <w:p>
                  <w:pPr>
                    <w:widowControl/>
                    <w:ind w:right="210"/>
                    <w:jc w:val="center"/>
                    <w:rPr>
                      <w:rFonts w:hint="default" w:eastAsia="宋体"/>
                      <w:color w:val="auto"/>
                      <w:kern w:val="0"/>
                      <w:szCs w:val="21"/>
                      <w:lang w:val="en-US" w:eastAsia="zh-CN"/>
                    </w:rPr>
                  </w:pPr>
                  <w:r>
                    <w:rPr>
                      <w:rFonts w:hint="eastAsia"/>
                      <w:color w:val="auto"/>
                      <w:kern w:val="0"/>
                      <w:szCs w:val="21"/>
                      <w:lang w:val="en-US" w:eastAsia="zh-CN"/>
                    </w:rPr>
                    <w:t>0.291</w:t>
                  </w:r>
                </w:p>
              </w:tc>
              <w:tc>
                <w:tcPr>
                  <w:tcW w:w="497" w:type="pct"/>
                  <w:vAlign w:val="center"/>
                </w:tcPr>
                <w:p>
                  <w:pPr>
                    <w:widowControl/>
                    <w:jc w:val="center"/>
                    <w:rPr>
                      <w:rFonts w:hint="default" w:eastAsia="宋体"/>
                      <w:color w:val="auto"/>
                      <w:kern w:val="0"/>
                      <w:szCs w:val="21"/>
                      <w:lang w:val="en-US" w:eastAsia="zh-CN"/>
                    </w:rPr>
                  </w:pPr>
                  <w:r>
                    <w:rPr>
                      <w:rFonts w:hint="eastAsia"/>
                      <w:color w:val="auto"/>
                      <w:kern w:val="0"/>
                      <w:szCs w:val="21"/>
                      <w:lang w:val="en-US" w:eastAsia="zh-CN"/>
                    </w:rPr>
                    <w:t>0.6978</w:t>
                  </w:r>
                </w:p>
              </w:tc>
              <w:tc>
                <w:tcPr>
                  <w:tcW w:w="508" w:type="pct"/>
                  <w:vAlign w:val="center"/>
                </w:tcPr>
                <w:p>
                  <w:pPr>
                    <w:widowControl/>
                    <w:jc w:val="center"/>
                    <w:rPr>
                      <w:rFonts w:hint="default" w:eastAsia="宋体"/>
                      <w:color w:val="auto"/>
                      <w:kern w:val="0"/>
                      <w:szCs w:val="21"/>
                      <w:lang w:val="en-US" w:eastAsia="zh-CN"/>
                    </w:rPr>
                  </w:pPr>
                  <w:r>
                    <w:rPr>
                      <w:rFonts w:hint="eastAsia"/>
                      <w:color w:val="auto"/>
                      <w:kern w:val="0"/>
                      <w:szCs w:val="21"/>
                      <w:lang w:val="en-US" w:eastAsia="zh-CN"/>
                    </w:rPr>
                    <w:t>187</w:t>
                  </w:r>
                </w:p>
              </w:tc>
              <w:tc>
                <w:tcPr>
                  <w:tcW w:w="386" w:type="pct"/>
                  <w:vAlign w:val="center"/>
                </w:tcPr>
                <w:p>
                  <w:pPr>
                    <w:widowControl/>
                    <w:jc w:val="center"/>
                    <w:rPr>
                      <w:rFonts w:hint="default" w:eastAsia="宋体"/>
                      <w:color w:val="auto"/>
                      <w:kern w:val="0"/>
                      <w:szCs w:val="21"/>
                      <w:lang w:val="en-US" w:eastAsia="zh-CN"/>
                    </w:rPr>
                  </w:pPr>
                  <w:r>
                    <w:rPr>
                      <w:rFonts w:hint="eastAsia"/>
                      <w:color w:val="auto"/>
                      <w:kern w:val="0"/>
                      <w:szCs w:val="21"/>
                      <w:lang w:val="en-US" w:eastAsia="zh-CN"/>
                    </w:rPr>
                    <w:t>77.5</w:t>
                  </w:r>
                </w:p>
              </w:tc>
              <w:tc>
                <w:tcPr>
                  <w:tcW w:w="400" w:type="pct"/>
                  <w:vAlign w:val="center"/>
                </w:tcPr>
                <w:p>
                  <w:pPr>
                    <w:widowControl/>
                    <w:jc w:val="center"/>
                    <w:rPr>
                      <w:color w:val="auto"/>
                      <w:kern w:val="0"/>
                      <w:szCs w:val="21"/>
                    </w:rPr>
                  </w:pPr>
                  <w:r>
                    <w:rPr>
                      <w:color w:val="auto"/>
                      <w:kern w:val="0"/>
                      <w:szCs w:val="21"/>
                    </w:rPr>
                    <w:t>6</w:t>
                  </w:r>
                </w:p>
              </w:tc>
              <w:tc>
                <w:tcPr>
                  <w:tcW w:w="438" w:type="pct"/>
                  <w:vMerge w:val="restart"/>
                  <w:vAlign w:val="center"/>
                </w:tcPr>
                <w:p>
                  <w:pPr>
                    <w:widowControl/>
                    <w:jc w:val="center"/>
                    <w:rPr>
                      <w:color w:val="auto"/>
                      <w:kern w:val="0"/>
                      <w:szCs w:val="21"/>
                    </w:rPr>
                  </w:pPr>
                  <w:r>
                    <w:rPr>
                      <w:color w:val="auto"/>
                      <w:kern w:val="0"/>
                      <w:szCs w:val="21"/>
                    </w:rPr>
                    <w:t>2400</w:t>
                  </w:r>
                </w:p>
              </w:tc>
              <w:tc>
                <w:tcPr>
                  <w:tcW w:w="966" w:type="pct"/>
                  <w:vMerge w:val="restart"/>
                  <w:vAlign w:val="center"/>
                </w:tcPr>
                <w:p>
                  <w:pPr>
                    <w:widowControl/>
                    <w:jc w:val="center"/>
                    <w:rPr>
                      <w:color w:val="auto"/>
                      <w:kern w:val="0"/>
                      <w:szCs w:val="21"/>
                    </w:rPr>
                  </w:pPr>
                  <w:r>
                    <w:rPr>
                      <w:color w:val="auto"/>
                      <w:kern w:val="0"/>
                      <w:szCs w:val="21"/>
                    </w:rPr>
                    <w:t>厂界无组织颗粒物及无组织非甲烷总烃执行江苏省地方标准《大气污染物综合排放标准》（DB32/4041-2021）表3，厂区内无组织非甲烷总烃执行《表面涂装（工程机械和钢结构行业）大气污染物排放标准》（DB32/4147-2021）表3</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607" w:type="pct"/>
                  <w:vMerge w:val="restart"/>
                  <w:vAlign w:val="center"/>
                </w:tcPr>
                <w:p>
                  <w:pPr>
                    <w:widowControl/>
                    <w:jc w:val="center"/>
                    <w:rPr>
                      <w:color w:val="auto"/>
                      <w:kern w:val="0"/>
                      <w:szCs w:val="21"/>
                    </w:rPr>
                  </w:pPr>
                  <w:r>
                    <w:rPr>
                      <w:rFonts w:hint="eastAsia"/>
                      <w:color w:val="auto"/>
                      <w:kern w:val="0"/>
                      <w:szCs w:val="21"/>
                    </w:rPr>
                    <w:t>车间二</w:t>
                  </w:r>
                  <w:r>
                    <w:rPr>
                      <w:color w:val="auto"/>
                      <w:kern w:val="0"/>
                      <w:szCs w:val="21"/>
                    </w:rPr>
                    <w:t>（</w:t>
                  </w:r>
                  <w:r>
                    <w:rPr>
                      <w:rFonts w:hint="eastAsia"/>
                      <w:color w:val="auto"/>
                      <w:kern w:val="0"/>
                      <w:szCs w:val="21"/>
                    </w:rPr>
                    <w:t>调漆、</w:t>
                  </w:r>
                  <w:r>
                    <w:rPr>
                      <w:color w:val="auto"/>
                      <w:kern w:val="0"/>
                      <w:szCs w:val="21"/>
                    </w:rPr>
                    <w:t>喷漆、晾干）</w:t>
                  </w:r>
                </w:p>
              </w:tc>
              <w:tc>
                <w:tcPr>
                  <w:tcW w:w="361" w:type="pct"/>
                  <w:vAlign w:val="center"/>
                </w:tcPr>
                <w:p>
                  <w:pPr>
                    <w:widowControl/>
                    <w:jc w:val="center"/>
                    <w:rPr>
                      <w:color w:val="auto"/>
                      <w:kern w:val="0"/>
                      <w:szCs w:val="21"/>
                    </w:rPr>
                  </w:pPr>
                  <w:r>
                    <w:rPr>
                      <w:color w:val="auto"/>
                      <w:kern w:val="0"/>
                      <w:szCs w:val="21"/>
                    </w:rPr>
                    <w:t>颗粒物</w:t>
                  </w:r>
                </w:p>
              </w:tc>
              <w:tc>
                <w:tcPr>
                  <w:tcW w:w="471" w:type="pct"/>
                  <w:vAlign w:val="center"/>
                </w:tcPr>
                <w:p>
                  <w:pPr>
                    <w:widowControl/>
                    <w:jc w:val="center"/>
                    <w:rPr>
                      <w:color w:val="auto"/>
                      <w:kern w:val="0"/>
                      <w:szCs w:val="21"/>
                    </w:rPr>
                  </w:pPr>
                  <w:r>
                    <w:rPr>
                      <w:color w:val="auto"/>
                      <w:kern w:val="0"/>
                      <w:szCs w:val="21"/>
                    </w:rPr>
                    <w:t>物料平衡法</w:t>
                  </w:r>
                </w:p>
              </w:tc>
              <w:tc>
                <w:tcPr>
                  <w:tcW w:w="362" w:type="pct"/>
                  <w:vAlign w:val="center"/>
                </w:tcPr>
                <w:p>
                  <w:pPr>
                    <w:widowControl/>
                    <w:jc w:val="center"/>
                    <w:rPr>
                      <w:rFonts w:hint="default" w:eastAsia="宋体"/>
                      <w:color w:val="auto"/>
                      <w:kern w:val="0"/>
                      <w:szCs w:val="21"/>
                      <w:lang w:val="en-US" w:eastAsia="zh-CN"/>
                    </w:rPr>
                  </w:pPr>
                  <w:r>
                    <w:rPr>
                      <w:rFonts w:hint="eastAsia"/>
                      <w:color w:val="auto"/>
                      <w:kern w:val="0"/>
                      <w:szCs w:val="21"/>
                      <w:lang w:val="en-US" w:eastAsia="zh-CN"/>
                    </w:rPr>
                    <w:t>0.112</w:t>
                  </w:r>
                </w:p>
              </w:tc>
              <w:tc>
                <w:tcPr>
                  <w:tcW w:w="497" w:type="pct"/>
                  <w:vAlign w:val="center"/>
                </w:tcPr>
                <w:p>
                  <w:pPr>
                    <w:widowControl/>
                    <w:jc w:val="center"/>
                    <w:rPr>
                      <w:rFonts w:hint="default" w:eastAsia="宋体"/>
                      <w:color w:val="auto"/>
                      <w:kern w:val="0"/>
                      <w:szCs w:val="21"/>
                      <w:lang w:val="en-US" w:eastAsia="zh-CN"/>
                    </w:rPr>
                  </w:pPr>
                  <w:r>
                    <w:rPr>
                      <w:rFonts w:hint="eastAsia"/>
                      <w:color w:val="auto"/>
                      <w:kern w:val="0"/>
                      <w:szCs w:val="21"/>
                      <w:lang w:val="en-US" w:eastAsia="zh-CN"/>
                    </w:rPr>
                    <w:t>0.269</w:t>
                  </w:r>
                </w:p>
              </w:tc>
              <w:tc>
                <w:tcPr>
                  <w:tcW w:w="508" w:type="pct"/>
                  <w:vMerge w:val="restart"/>
                  <w:vAlign w:val="center"/>
                </w:tcPr>
                <w:p>
                  <w:pPr>
                    <w:widowControl/>
                    <w:jc w:val="center"/>
                    <w:rPr>
                      <w:rFonts w:hint="default" w:eastAsia="宋体"/>
                      <w:color w:val="auto"/>
                      <w:kern w:val="0"/>
                      <w:szCs w:val="21"/>
                      <w:lang w:val="en-US" w:eastAsia="zh-CN"/>
                    </w:rPr>
                  </w:pPr>
                  <w:r>
                    <w:rPr>
                      <w:rFonts w:hint="eastAsia"/>
                      <w:color w:val="auto"/>
                      <w:kern w:val="0"/>
                      <w:szCs w:val="21"/>
                      <w:lang w:val="en-US" w:eastAsia="zh-CN"/>
                    </w:rPr>
                    <w:t>187</w:t>
                  </w:r>
                </w:p>
              </w:tc>
              <w:tc>
                <w:tcPr>
                  <w:tcW w:w="386" w:type="pct"/>
                  <w:vMerge w:val="restart"/>
                  <w:vAlign w:val="center"/>
                </w:tcPr>
                <w:p>
                  <w:pPr>
                    <w:widowControl/>
                    <w:jc w:val="center"/>
                    <w:rPr>
                      <w:rFonts w:hint="default" w:eastAsia="宋体"/>
                      <w:color w:val="auto"/>
                      <w:kern w:val="0"/>
                      <w:szCs w:val="21"/>
                      <w:lang w:val="en-US" w:eastAsia="zh-CN"/>
                    </w:rPr>
                  </w:pPr>
                  <w:r>
                    <w:rPr>
                      <w:rFonts w:hint="eastAsia"/>
                      <w:color w:val="auto"/>
                      <w:kern w:val="0"/>
                      <w:szCs w:val="21"/>
                      <w:lang w:val="en-US" w:eastAsia="zh-CN"/>
                    </w:rPr>
                    <w:t>37.9</w:t>
                  </w:r>
                </w:p>
              </w:tc>
              <w:tc>
                <w:tcPr>
                  <w:tcW w:w="400" w:type="pct"/>
                  <w:vMerge w:val="restart"/>
                  <w:vAlign w:val="center"/>
                </w:tcPr>
                <w:p>
                  <w:pPr>
                    <w:widowControl/>
                    <w:jc w:val="center"/>
                    <w:rPr>
                      <w:color w:val="auto"/>
                      <w:kern w:val="0"/>
                      <w:szCs w:val="21"/>
                    </w:rPr>
                  </w:pPr>
                  <w:r>
                    <w:rPr>
                      <w:color w:val="auto"/>
                      <w:kern w:val="0"/>
                      <w:szCs w:val="21"/>
                    </w:rPr>
                    <w:t>6</w:t>
                  </w:r>
                </w:p>
              </w:tc>
              <w:tc>
                <w:tcPr>
                  <w:tcW w:w="438" w:type="pct"/>
                  <w:vMerge w:val="continue"/>
                  <w:vAlign w:val="center"/>
                </w:tcPr>
                <w:p>
                  <w:pPr>
                    <w:widowControl/>
                    <w:jc w:val="center"/>
                    <w:rPr>
                      <w:color w:val="auto"/>
                      <w:kern w:val="0"/>
                      <w:szCs w:val="21"/>
                    </w:rPr>
                  </w:pPr>
                </w:p>
              </w:tc>
              <w:tc>
                <w:tcPr>
                  <w:tcW w:w="966" w:type="pct"/>
                  <w:vMerge w:val="continue"/>
                  <w:vAlign w:val="center"/>
                </w:tcPr>
                <w:p>
                  <w:pPr>
                    <w:widowControl/>
                    <w:jc w:val="left"/>
                    <w:rPr>
                      <w:color w:val="auto"/>
                      <w:kern w:val="0"/>
                      <w:szCs w:val="21"/>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607" w:type="pct"/>
                  <w:vMerge w:val="continue"/>
                  <w:vAlign w:val="center"/>
                </w:tcPr>
                <w:p>
                  <w:pPr>
                    <w:widowControl/>
                    <w:jc w:val="center"/>
                    <w:rPr>
                      <w:color w:val="auto"/>
                      <w:kern w:val="0"/>
                      <w:szCs w:val="21"/>
                    </w:rPr>
                  </w:pPr>
                </w:p>
              </w:tc>
              <w:tc>
                <w:tcPr>
                  <w:tcW w:w="361" w:type="pct"/>
                  <w:vAlign w:val="center"/>
                </w:tcPr>
                <w:p>
                  <w:pPr>
                    <w:widowControl/>
                    <w:jc w:val="center"/>
                    <w:rPr>
                      <w:color w:val="auto"/>
                      <w:kern w:val="0"/>
                      <w:szCs w:val="21"/>
                    </w:rPr>
                  </w:pPr>
                  <w:r>
                    <w:rPr>
                      <w:color w:val="auto"/>
                      <w:kern w:val="0"/>
                      <w:szCs w:val="21"/>
                    </w:rPr>
                    <w:t>非甲烷总烃</w:t>
                  </w:r>
                </w:p>
              </w:tc>
              <w:tc>
                <w:tcPr>
                  <w:tcW w:w="471" w:type="pct"/>
                  <w:vAlign w:val="center"/>
                </w:tcPr>
                <w:p>
                  <w:pPr>
                    <w:widowControl/>
                    <w:jc w:val="center"/>
                    <w:rPr>
                      <w:color w:val="auto"/>
                      <w:kern w:val="0"/>
                      <w:szCs w:val="21"/>
                    </w:rPr>
                  </w:pPr>
                  <w:r>
                    <w:rPr>
                      <w:color w:val="auto"/>
                      <w:kern w:val="0"/>
                      <w:szCs w:val="21"/>
                    </w:rPr>
                    <w:t>物料平衡法</w:t>
                  </w:r>
                </w:p>
              </w:tc>
              <w:tc>
                <w:tcPr>
                  <w:tcW w:w="362" w:type="pct"/>
                  <w:vAlign w:val="center"/>
                </w:tcPr>
                <w:p>
                  <w:pPr>
                    <w:widowControl/>
                    <w:jc w:val="center"/>
                    <w:rPr>
                      <w:rFonts w:hint="default" w:eastAsia="宋体"/>
                      <w:color w:val="auto"/>
                      <w:kern w:val="0"/>
                      <w:szCs w:val="21"/>
                      <w:lang w:val="en-US" w:eastAsia="zh-CN"/>
                    </w:rPr>
                  </w:pPr>
                  <w:r>
                    <w:rPr>
                      <w:rFonts w:hint="eastAsia"/>
                      <w:color w:val="auto"/>
                      <w:kern w:val="0"/>
                      <w:szCs w:val="21"/>
                      <w:lang w:val="en-US" w:eastAsia="zh-CN"/>
                    </w:rPr>
                    <w:t>0.044</w:t>
                  </w:r>
                </w:p>
              </w:tc>
              <w:tc>
                <w:tcPr>
                  <w:tcW w:w="497" w:type="pct"/>
                  <w:vAlign w:val="center"/>
                </w:tcPr>
                <w:p>
                  <w:pPr>
                    <w:widowControl/>
                    <w:jc w:val="center"/>
                    <w:rPr>
                      <w:rFonts w:hint="default" w:eastAsia="宋体"/>
                      <w:color w:val="auto"/>
                      <w:kern w:val="0"/>
                      <w:szCs w:val="21"/>
                      <w:lang w:val="en-US" w:eastAsia="zh-CN"/>
                    </w:rPr>
                  </w:pPr>
                  <w:r>
                    <w:rPr>
                      <w:rFonts w:hint="eastAsia"/>
                      <w:color w:val="auto"/>
                      <w:kern w:val="0"/>
                      <w:szCs w:val="21"/>
                      <w:lang w:val="en-US" w:eastAsia="zh-CN"/>
                    </w:rPr>
                    <w:t>0.105</w:t>
                  </w:r>
                </w:p>
              </w:tc>
              <w:tc>
                <w:tcPr>
                  <w:tcW w:w="508" w:type="pct"/>
                  <w:vMerge w:val="continue"/>
                  <w:vAlign w:val="center"/>
                </w:tcPr>
                <w:p>
                  <w:pPr>
                    <w:widowControl/>
                    <w:jc w:val="center"/>
                    <w:rPr>
                      <w:color w:val="auto"/>
                      <w:kern w:val="0"/>
                      <w:szCs w:val="21"/>
                    </w:rPr>
                  </w:pPr>
                </w:p>
              </w:tc>
              <w:tc>
                <w:tcPr>
                  <w:tcW w:w="386" w:type="pct"/>
                  <w:vMerge w:val="continue"/>
                  <w:vAlign w:val="center"/>
                </w:tcPr>
                <w:p>
                  <w:pPr>
                    <w:widowControl/>
                    <w:jc w:val="center"/>
                    <w:rPr>
                      <w:color w:val="auto"/>
                      <w:kern w:val="0"/>
                      <w:szCs w:val="21"/>
                    </w:rPr>
                  </w:pPr>
                </w:p>
              </w:tc>
              <w:tc>
                <w:tcPr>
                  <w:tcW w:w="400" w:type="pct"/>
                  <w:vMerge w:val="continue"/>
                  <w:vAlign w:val="center"/>
                </w:tcPr>
                <w:p>
                  <w:pPr>
                    <w:widowControl/>
                    <w:jc w:val="center"/>
                    <w:rPr>
                      <w:color w:val="auto"/>
                      <w:kern w:val="0"/>
                      <w:szCs w:val="21"/>
                    </w:rPr>
                  </w:pPr>
                </w:p>
              </w:tc>
              <w:tc>
                <w:tcPr>
                  <w:tcW w:w="438" w:type="pct"/>
                  <w:vMerge w:val="continue"/>
                  <w:vAlign w:val="center"/>
                </w:tcPr>
                <w:p>
                  <w:pPr>
                    <w:widowControl/>
                    <w:jc w:val="center"/>
                    <w:rPr>
                      <w:color w:val="auto"/>
                      <w:kern w:val="0"/>
                      <w:szCs w:val="21"/>
                    </w:rPr>
                  </w:pPr>
                </w:p>
              </w:tc>
              <w:tc>
                <w:tcPr>
                  <w:tcW w:w="966" w:type="pct"/>
                  <w:vMerge w:val="continue"/>
                  <w:vAlign w:val="center"/>
                </w:tcPr>
                <w:p>
                  <w:pPr>
                    <w:widowControl/>
                    <w:jc w:val="left"/>
                    <w:rPr>
                      <w:color w:val="auto"/>
                      <w:kern w:val="0"/>
                      <w:szCs w:val="21"/>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607" w:type="pct"/>
                  <w:vAlign w:val="center"/>
                </w:tcPr>
                <w:p>
                  <w:pPr>
                    <w:widowControl/>
                    <w:jc w:val="center"/>
                    <w:rPr>
                      <w:rFonts w:hint="eastAsia" w:eastAsia="宋体"/>
                      <w:color w:val="auto"/>
                      <w:kern w:val="0"/>
                      <w:szCs w:val="21"/>
                      <w:lang w:eastAsia="zh-CN"/>
                    </w:rPr>
                  </w:pPr>
                  <w:r>
                    <w:rPr>
                      <w:rFonts w:hint="eastAsia"/>
                      <w:color w:val="auto"/>
                      <w:kern w:val="0"/>
                      <w:szCs w:val="21"/>
                      <w:lang w:eastAsia="zh-CN"/>
                    </w:rPr>
                    <w:t>危废库</w:t>
                  </w:r>
                </w:p>
              </w:tc>
              <w:tc>
                <w:tcPr>
                  <w:tcW w:w="361" w:type="pct"/>
                  <w:vAlign w:val="center"/>
                </w:tcPr>
                <w:p>
                  <w:pPr>
                    <w:widowControl/>
                    <w:jc w:val="center"/>
                    <w:rPr>
                      <w:color w:val="auto"/>
                      <w:kern w:val="0"/>
                      <w:szCs w:val="21"/>
                    </w:rPr>
                  </w:pPr>
                  <w:r>
                    <w:rPr>
                      <w:color w:val="auto"/>
                      <w:kern w:val="0"/>
                      <w:szCs w:val="21"/>
                    </w:rPr>
                    <w:t>非甲烷总烃</w:t>
                  </w:r>
                </w:p>
              </w:tc>
              <w:tc>
                <w:tcPr>
                  <w:tcW w:w="471" w:type="pct"/>
                  <w:vAlign w:val="center"/>
                </w:tcPr>
                <w:p>
                  <w:pPr>
                    <w:widowControl/>
                    <w:jc w:val="center"/>
                    <w:rPr>
                      <w:color w:val="auto"/>
                      <w:kern w:val="0"/>
                      <w:szCs w:val="21"/>
                    </w:rPr>
                  </w:pPr>
                  <w:r>
                    <w:rPr>
                      <w:color w:val="auto"/>
                      <w:kern w:val="0"/>
                      <w:szCs w:val="21"/>
                    </w:rPr>
                    <w:t>产污系数法</w:t>
                  </w:r>
                </w:p>
              </w:tc>
              <w:tc>
                <w:tcPr>
                  <w:tcW w:w="362" w:type="pct"/>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0"/>
                      <w:sz w:val="21"/>
                      <w:szCs w:val="21"/>
                      <w:lang w:val="en-US" w:eastAsia="zh-CN" w:bidi="ar-SA"/>
                    </w:rPr>
                  </w:pPr>
                  <w:r>
                    <w:rPr>
                      <w:rFonts w:hint="eastAsia"/>
                      <w:color w:val="auto"/>
                      <w:kern w:val="0"/>
                      <w:szCs w:val="21"/>
                      <w:lang w:val="en-US" w:eastAsia="zh-CN"/>
                    </w:rPr>
                    <w:t>0.005</w:t>
                  </w:r>
                </w:p>
              </w:tc>
              <w:tc>
                <w:tcPr>
                  <w:tcW w:w="497" w:type="pct"/>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0"/>
                      <w:sz w:val="21"/>
                      <w:szCs w:val="21"/>
                      <w:lang w:val="en-US" w:eastAsia="zh-CN" w:bidi="ar-SA"/>
                    </w:rPr>
                  </w:pPr>
                  <w:r>
                    <w:rPr>
                      <w:rFonts w:hint="eastAsia"/>
                      <w:color w:val="auto"/>
                      <w:kern w:val="0"/>
                      <w:szCs w:val="21"/>
                      <w:lang w:val="en-US" w:eastAsia="zh-CN"/>
                    </w:rPr>
                    <w:t>0.012</w:t>
                  </w:r>
                </w:p>
              </w:tc>
              <w:tc>
                <w:tcPr>
                  <w:tcW w:w="508" w:type="pct"/>
                  <w:vAlign w:val="center"/>
                </w:tcPr>
                <w:p>
                  <w:pPr>
                    <w:widowControl/>
                    <w:jc w:val="center"/>
                    <w:rPr>
                      <w:rFonts w:hint="eastAsia" w:eastAsia="宋体"/>
                      <w:color w:val="auto"/>
                      <w:kern w:val="0"/>
                      <w:szCs w:val="21"/>
                      <w:lang w:val="en-US" w:eastAsia="zh-CN"/>
                    </w:rPr>
                  </w:pPr>
                  <w:r>
                    <w:rPr>
                      <w:rFonts w:hint="eastAsia"/>
                      <w:color w:val="auto"/>
                      <w:kern w:val="0"/>
                      <w:szCs w:val="21"/>
                      <w:lang w:val="en-US" w:eastAsia="zh-CN"/>
                    </w:rPr>
                    <w:t>5</w:t>
                  </w:r>
                </w:p>
              </w:tc>
              <w:tc>
                <w:tcPr>
                  <w:tcW w:w="386" w:type="pct"/>
                  <w:vAlign w:val="center"/>
                </w:tcPr>
                <w:p>
                  <w:pPr>
                    <w:widowControl/>
                    <w:jc w:val="center"/>
                    <w:rPr>
                      <w:rFonts w:hint="eastAsia" w:eastAsia="宋体"/>
                      <w:color w:val="auto"/>
                      <w:kern w:val="0"/>
                      <w:szCs w:val="21"/>
                      <w:lang w:val="en-US" w:eastAsia="zh-CN"/>
                    </w:rPr>
                  </w:pPr>
                  <w:r>
                    <w:rPr>
                      <w:rFonts w:hint="eastAsia"/>
                      <w:color w:val="auto"/>
                      <w:kern w:val="0"/>
                      <w:szCs w:val="21"/>
                      <w:lang w:val="en-US" w:eastAsia="zh-CN"/>
                    </w:rPr>
                    <w:t>3</w:t>
                  </w:r>
                </w:p>
              </w:tc>
              <w:tc>
                <w:tcPr>
                  <w:tcW w:w="400" w:type="pct"/>
                  <w:vAlign w:val="center"/>
                </w:tcPr>
                <w:p>
                  <w:pPr>
                    <w:widowControl/>
                    <w:jc w:val="center"/>
                    <w:rPr>
                      <w:rFonts w:hint="eastAsia" w:eastAsia="宋体"/>
                      <w:color w:val="auto"/>
                      <w:kern w:val="0"/>
                      <w:szCs w:val="21"/>
                      <w:lang w:val="en-US" w:eastAsia="zh-CN"/>
                    </w:rPr>
                  </w:pPr>
                  <w:r>
                    <w:rPr>
                      <w:rFonts w:hint="eastAsia"/>
                      <w:color w:val="auto"/>
                      <w:kern w:val="0"/>
                      <w:szCs w:val="21"/>
                      <w:lang w:val="en-US" w:eastAsia="zh-CN"/>
                    </w:rPr>
                    <w:t>6</w:t>
                  </w:r>
                </w:p>
              </w:tc>
              <w:tc>
                <w:tcPr>
                  <w:tcW w:w="438" w:type="pct"/>
                  <w:vMerge w:val="continue"/>
                  <w:vAlign w:val="center"/>
                </w:tcPr>
                <w:p>
                  <w:pPr>
                    <w:widowControl/>
                    <w:jc w:val="center"/>
                    <w:rPr>
                      <w:color w:val="auto"/>
                      <w:kern w:val="0"/>
                      <w:szCs w:val="21"/>
                    </w:rPr>
                  </w:pPr>
                </w:p>
              </w:tc>
              <w:tc>
                <w:tcPr>
                  <w:tcW w:w="966" w:type="pct"/>
                  <w:vMerge w:val="continue"/>
                  <w:vAlign w:val="center"/>
                </w:tcPr>
                <w:p>
                  <w:pPr>
                    <w:widowControl/>
                    <w:jc w:val="left"/>
                    <w:rPr>
                      <w:color w:val="auto"/>
                      <w:kern w:val="0"/>
                      <w:szCs w:val="21"/>
                    </w:rPr>
                  </w:pPr>
                </w:p>
              </w:tc>
            </w:tr>
          </w:tbl>
          <w:p>
            <w:pPr>
              <w:wordWrap w:val="0"/>
              <w:jc w:val="center"/>
              <w:rPr>
                <w:b/>
                <w:bCs/>
                <w:color w:val="auto"/>
              </w:rPr>
            </w:pPr>
            <w:r>
              <w:rPr>
                <w:b/>
                <w:bCs/>
                <w:color w:val="auto"/>
              </w:rPr>
              <w:t>表 4.2-4 建设项目废气收集、治理措施及排放情况汇总表</w:t>
            </w:r>
          </w:p>
          <w:tbl>
            <w:tblPr>
              <w:tblStyle w:val="20"/>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
            <w:tblGrid>
              <w:gridCol w:w="1553"/>
              <w:gridCol w:w="1635"/>
              <w:gridCol w:w="1095"/>
              <w:gridCol w:w="1487"/>
              <w:gridCol w:w="988"/>
              <w:gridCol w:w="985"/>
              <w:gridCol w:w="1610"/>
              <w:gridCol w:w="853"/>
              <w:gridCol w:w="1204"/>
              <w:gridCol w:w="229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90" w:hRule="atLeast"/>
              </w:trPr>
              <w:tc>
                <w:tcPr>
                  <w:tcW w:w="1162" w:type="pct"/>
                  <w:gridSpan w:val="2"/>
                  <w:vAlign w:val="center"/>
                </w:tcPr>
                <w:p>
                  <w:pPr>
                    <w:jc w:val="center"/>
                    <w:rPr>
                      <w:b/>
                      <w:color w:val="auto"/>
                      <w:szCs w:val="21"/>
                    </w:rPr>
                  </w:pPr>
                  <w:bookmarkStart w:id="39" w:name="_Hlk153314892"/>
                  <w:r>
                    <w:rPr>
                      <w:b/>
                      <w:color w:val="auto"/>
                      <w:szCs w:val="21"/>
                    </w:rPr>
                    <w:t>产污环节</w:t>
                  </w:r>
                </w:p>
              </w:tc>
              <w:tc>
                <w:tcPr>
                  <w:tcW w:w="399" w:type="pct"/>
                  <w:vMerge w:val="restart"/>
                  <w:vAlign w:val="center"/>
                </w:tcPr>
                <w:p>
                  <w:pPr>
                    <w:jc w:val="center"/>
                    <w:rPr>
                      <w:b/>
                      <w:color w:val="auto"/>
                      <w:szCs w:val="21"/>
                    </w:rPr>
                  </w:pPr>
                  <w:r>
                    <w:rPr>
                      <w:b/>
                      <w:color w:val="auto"/>
                      <w:szCs w:val="21"/>
                    </w:rPr>
                    <w:t>污染物种类</w:t>
                  </w:r>
                </w:p>
              </w:tc>
              <w:tc>
                <w:tcPr>
                  <w:tcW w:w="542" w:type="pct"/>
                  <w:vMerge w:val="restart"/>
                  <w:vAlign w:val="center"/>
                </w:tcPr>
                <w:p>
                  <w:pPr>
                    <w:jc w:val="center"/>
                    <w:rPr>
                      <w:b/>
                      <w:color w:val="auto"/>
                      <w:szCs w:val="21"/>
                    </w:rPr>
                  </w:pPr>
                  <w:r>
                    <w:rPr>
                      <w:b/>
                      <w:color w:val="auto"/>
                      <w:szCs w:val="21"/>
                    </w:rPr>
                    <w:t>收集方式</w:t>
                  </w:r>
                </w:p>
              </w:tc>
              <w:tc>
                <w:tcPr>
                  <w:tcW w:w="360" w:type="pct"/>
                  <w:vMerge w:val="restart"/>
                  <w:vAlign w:val="center"/>
                </w:tcPr>
                <w:p>
                  <w:pPr>
                    <w:jc w:val="center"/>
                    <w:rPr>
                      <w:b/>
                      <w:color w:val="auto"/>
                      <w:szCs w:val="21"/>
                    </w:rPr>
                  </w:pPr>
                  <w:r>
                    <w:rPr>
                      <w:b/>
                      <w:color w:val="auto"/>
                      <w:szCs w:val="21"/>
                    </w:rPr>
                    <w:t>收集效率</w:t>
                  </w:r>
                </w:p>
              </w:tc>
              <w:tc>
                <w:tcPr>
                  <w:tcW w:w="359" w:type="pct"/>
                  <w:vMerge w:val="restart"/>
                  <w:vAlign w:val="center"/>
                </w:tcPr>
                <w:p>
                  <w:pPr>
                    <w:jc w:val="center"/>
                    <w:rPr>
                      <w:b/>
                      <w:color w:val="auto"/>
                      <w:szCs w:val="21"/>
                    </w:rPr>
                  </w:pPr>
                  <w:r>
                    <w:rPr>
                      <w:b/>
                      <w:color w:val="auto"/>
                      <w:szCs w:val="21"/>
                    </w:rPr>
                    <w:t>设计风量</w:t>
                  </w:r>
                </w:p>
                <w:p>
                  <w:pPr>
                    <w:jc w:val="center"/>
                    <w:rPr>
                      <w:b/>
                      <w:color w:val="auto"/>
                      <w:szCs w:val="21"/>
                    </w:rPr>
                  </w:pPr>
                  <w:r>
                    <w:rPr>
                      <w:b/>
                      <w:color w:val="auto"/>
                      <w:szCs w:val="21"/>
                    </w:rPr>
                    <w:t>（m</w:t>
                  </w:r>
                  <w:r>
                    <w:rPr>
                      <w:b/>
                      <w:color w:val="auto"/>
                      <w:szCs w:val="21"/>
                      <w:vertAlign w:val="superscript"/>
                    </w:rPr>
                    <w:t>3</w:t>
                  </w:r>
                  <w:r>
                    <w:rPr>
                      <w:b/>
                      <w:color w:val="auto"/>
                      <w:szCs w:val="21"/>
                    </w:rPr>
                    <w:t>/h）</w:t>
                  </w:r>
                </w:p>
              </w:tc>
              <w:tc>
                <w:tcPr>
                  <w:tcW w:w="587" w:type="pct"/>
                  <w:vMerge w:val="restart"/>
                  <w:vAlign w:val="center"/>
                </w:tcPr>
                <w:p>
                  <w:pPr>
                    <w:jc w:val="center"/>
                    <w:rPr>
                      <w:b/>
                      <w:color w:val="auto"/>
                      <w:szCs w:val="21"/>
                    </w:rPr>
                  </w:pPr>
                  <w:r>
                    <w:rPr>
                      <w:b/>
                      <w:color w:val="auto"/>
                      <w:szCs w:val="21"/>
                    </w:rPr>
                    <w:t>治理工艺</w:t>
                  </w:r>
                </w:p>
              </w:tc>
              <w:tc>
                <w:tcPr>
                  <w:tcW w:w="311" w:type="pct"/>
                  <w:vMerge w:val="restart"/>
                  <w:vAlign w:val="center"/>
                </w:tcPr>
                <w:p>
                  <w:pPr>
                    <w:jc w:val="center"/>
                    <w:rPr>
                      <w:b/>
                      <w:color w:val="auto"/>
                      <w:szCs w:val="21"/>
                    </w:rPr>
                  </w:pPr>
                  <w:r>
                    <w:rPr>
                      <w:b/>
                      <w:color w:val="auto"/>
                      <w:szCs w:val="21"/>
                    </w:rPr>
                    <w:t>去除效率</w:t>
                  </w:r>
                </w:p>
              </w:tc>
              <w:tc>
                <w:tcPr>
                  <w:tcW w:w="439" w:type="pct"/>
                  <w:vMerge w:val="restart"/>
                  <w:vAlign w:val="center"/>
                </w:tcPr>
                <w:p>
                  <w:pPr>
                    <w:widowControl/>
                    <w:jc w:val="center"/>
                    <w:rPr>
                      <w:b/>
                      <w:color w:val="auto"/>
                      <w:szCs w:val="21"/>
                    </w:rPr>
                  </w:pPr>
                  <w:r>
                    <w:rPr>
                      <w:b/>
                      <w:bCs/>
                      <w:color w:val="auto"/>
                      <w:kern w:val="0"/>
                      <w:szCs w:val="21"/>
                      <w:lang w:bidi="ar"/>
                    </w:rPr>
                    <w:t>是否为可行技术</w:t>
                  </w:r>
                </w:p>
              </w:tc>
              <w:tc>
                <w:tcPr>
                  <w:tcW w:w="838" w:type="pct"/>
                  <w:vMerge w:val="restart"/>
                  <w:vAlign w:val="center"/>
                </w:tcPr>
                <w:p>
                  <w:pPr>
                    <w:jc w:val="center"/>
                    <w:rPr>
                      <w:b/>
                      <w:color w:val="auto"/>
                      <w:szCs w:val="21"/>
                    </w:rPr>
                  </w:pPr>
                  <w:r>
                    <w:rPr>
                      <w:b/>
                      <w:color w:val="auto"/>
                      <w:szCs w:val="21"/>
                    </w:rPr>
                    <w:t>排放形式</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566" w:type="pct"/>
                  <w:vAlign w:val="center"/>
                </w:tcPr>
                <w:p>
                  <w:pPr>
                    <w:jc w:val="center"/>
                    <w:rPr>
                      <w:b/>
                      <w:color w:val="auto"/>
                      <w:szCs w:val="21"/>
                    </w:rPr>
                  </w:pPr>
                  <w:r>
                    <w:rPr>
                      <w:b/>
                      <w:color w:val="auto"/>
                      <w:szCs w:val="21"/>
                    </w:rPr>
                    <w:t>生产装置</w:t>
                  </w:r>
                </w:p>
              </w:tc>
              <w:tc>
                <w:tcPr>
                  <w:tcW w:w="596" w:type="pct"/>
                  <w:vAlign w:val="center"/>
                </w:tcPr>
                <w:p>
                  <w:pPr>
                    <w:jc w:val="center"/>
                    <w:rPr>
                      <w:b/>
                      <w:color w:val="auto"/>
                      <w:szCs w:val="21"/>
                    </w:rPr>
                  </w:pPr>
                  <w:r>
                    <w:rPr>
                      <w:b/>
                      <w:color w:val="auto"/>
                      <w:szCs w:val="21"/>
                    </w:rPr>
                    <w:t>废气种类</w:t>
                  </w:r>
                </w:p>
              </w:tc>
              <w:tc>
                <w:tcPr>
                  <w:tcW w:w="399" w:type="pct"/>
                  <w:vMerge w:val="continue"/>
                  <w:vAlign w:val="center"/>
                </w:tcPr>
                <w:p>
                  <w:pPr>
                    <w:jc w:val="center"/>
                    <w:rPr>
                      <w:b/>
                      <w:color w:val="auto"/>
                      <w:szCs w:val="21"/>
                    </w:rPr>
                  </w:pPr>
                </w:p>
              </w:tc>
              <w:tc>
                <w:tcPr>
                  <w:tcW w:w="542" w:type="pct"/>
                  <w:vMerge w:val="continue"/>
                  <w:vAlign w:val="center"/>
                </w:tcPr>
                <w:p>
                  <w:pPr>
                    <w:jc w:val="center"/>
                    <w:rPr>
                      <w:b/>
                      <w:color w:val="auto"/>
                      <w:szCs w:val="21"/>
                    </w:rPr>
                  </w:pPr>
                </w:p>
              </w:tc>
              <w:tc>
                <w:tcPr>
                  <w:tcW w:w="360" w:type="pct"/>
                  <w:vMerge w:val="continue"/>
                  <w:vAlign w:val="center"/>
                </w:tcPr>
                <w:p>
                  <w:pPr>
                    <w:jc w:val="center"/>
                    <w:rPr>
                      <w:b/>
                      <w:color w:val="auto"/>
                      <w:szCs w:val="21"/>
                    </w:rPr>
                  </w:pPr>
                </w:p>
              </w:tc>
              <w:tc>
                <w:tcPr>
                  <w:tcW w:w="359" w:type="pct"/>
                  <w:vMerge w:val="continue"/>
                  <w:vAlign w:val="center"/>
                </w:tcPr>
                <w:p>
                  <w:pPr>
                    <w:jc w:val="center"/>
                    <w:rPr>
                      <w:b/>
                      <w:color w:val="auto"/>
                      <w:szCs w:val="21"/>
                    </w:rPr>
                  </w:pPr>
                </w:p>
              </w:tc>
              <w:tc>
                <w:tcPr>
                  <w:tcW w:w="587" w:type="pct"/>
                  <w:vMerge w:val="continue"/>
                  <w:vAlign w:val="center"/>
                </w:tcPr>
                <w:p>
                  <w:pPr>
                    <w:jc w:val="center"/>
                    <w:rPr>
                      <w:b/>
                      <w:color w:val="auto"/>
                      <w:szCs w:val="21"/>
                    </w:rPr>
                  </w:pPr>
                </w:p>
              </w:tc>
              <w:tc>
                <w:tcPr>
                  <w:tcW w:w="311" w:type="pct"/>
                  <w:vMerge w:val="continue"/>
                  <w:vAlign w:val="center"/>
                </w:tcPr>
                <w:p>
                  <w:pPr>
                    <w:jc w:val="center"/>
                    <w:rPr>
                      <w:b/>
                      <w:color w:val="auto"/>
                      <w:szCs w:val="21"/>
                    </w:rPr>
                  </w:pPr>
                </w:p>
              </w:tc>
              <w:tc>
                <w:tcPr>
                  <w:tcW w:w="439" w:type="pct"/>
                  <w:vMerge w:val="continue"/>
                  <w:vAlign w:val="center"/>
                </w:tcPr>
                <w:p>
                  <w:pPr>
                    <w:jc w:val="center"/>
                    <w:rPr>
                      <w:b/>
                      <w:color w:val="auto"/>
                      <w:szCs w:val="21"/>
                    </w:rPr>
                  </w:pPr>
                </w:p>
              </w:tc>
              <w:tc>
                <w:tcPr>
                  <w:tcW w:w="838" w:type="pct"/>
                  <w:vMerge w:val="continue"/>
                  <w:vAlign w:val="center"/>
                </w:tcPr>
                <w:p>
                  <w:pPr>
                    <w:jc w:val="center"/>
                    <w:rPr>
                      <w:b/>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566" w:type="pct"/>
                  <w:vAlign w:val="center"/>
                </w:tcPr>
                <w:p>
                  <w:pPr>
                    <w:jc w:val="center"/>
                    <w:rPr>
                      <w:color w:val="auto"/>
                      <w:szCs w:val="21"/>
                    </w:rPr>
                  </w:pPr>
                  <w:r>
                    <w:rPr>
                      <w:color w:val="auto"/>
                      <w:szCs w:val="21"/>
                    </w:rPr>
                    <w:t>等离子切割机</w:t>
                  </w:r>
                </w:p>
              </w:tc>
              <w:tc>
                <w:tcPr>
                  <w:tcW w:w="596" w:type="pct"/>
                  <w:vMerge w:val="restart"/>
                  <w:vAlign w:val="center"/>
                </w:tcPr>
                <w:p>
                  <w:pPr>
                    <w:widowControl/>
                    <w:spacing w:line="240" w:lineRule="exact"/>
                    <w:jc w:val="center"/>
                    <w:rPr>
                      <w:rFonts w:hint="eastAsia" w:eastAsia="宋体"/>
                      <w:color w:val="auto"/>
                      <w:szCs w:val="21"/>
                      <w:lang w:eastAsia="zh-CN"/>
                    </w:rPr>
                  </w:pPr>
                  <w:r>
                    <w:rPr>
                      <w:rFonts w:hint="eastAsia"/>
                      <w:color w:val="auto"/>
                      <w:szCs w:val="21"/>
                      <w:lang w:eastAsia="zh-CN"/>
                    </w:rPr>
                    <w:t>烟尘</w:t>
                  </w:r>
                </w:p>
              </w:tc>
              <w:tc>
                <w:tcPr>
                  <w:tcW w:w="399" w:type="pct"/>
                  <w:vAlign w:val="center"/>
                </w:tcPr>
                <w:p>
                  <w:pPr>
                    <w:widowControl/>
                    <w:spacing w:line="240" w:lineRule="exact"/>
                    <w:jc w:val="center"/>
                    <w:rPr>
                      <w:color w:val="auto"/>
                      <w:szCs w:val="21"/>
                    </w:rPr>
                  </w:pPr>
                  <w:r>
                    <w:rPr>
                      <w:color w:val="auto"/>
                      <w:szCs w:val="21"/>
                    </w:rPr>
                    <w:t>颗粒物</w:t>
                  </w:r>
                </w:p>
              </w:tc>
              <w:tc>
                <w:tcPr>
                  <w:tcW w:w="542" w:type="pct"/>
                  <w:vMerge w:val="restart"/>
                  <w:vAlign w:val="center"/>
                </w:tcPr>
                <w:p>
                  <w:pPr>
                    <w:widowControl/>
                    <w:spacing w:line="240" w:lineRule="exact"/>
                    <w:jc w:val="center"/>
                    <w:rPr>
                      <w:color w:val="auto"/>
                      <w:szCs w:val="21"/>
                    </w:rPr>
                  </w:pPr>
                  <w:r>
                    <w:rPr>
                      <w:color w:val="auto"/>
                      <w:szCs w:val="21"/>
                    </w:rPr>
                    <w:t>集气罩收集</w:t>
                  </w:r>
                </w:p>
              </w:tc>
              <w:tc>
                <w:tcPr>
                  <w:tcW w:w="360" w:type="pct"/>
                  <w:vMerge w:val="restart"/>
                  <w:vAlign w:val="center"/>
                </w:tcPr>
                <w:p>
                  <w:pPr>
                    <w:jc w:val="center"/>
                    <w:rPr>
                      <w:color w:val="auto"/>
                      <w:szCs w:val="21"/>
                    </w:rPr>
                  </w:pPr>
                  <w:r>
                    <w:rPr>
                      <w:rFonts w:hint="eastAsia"/>
                      <w:color w:val="auto"/>
                      <w:szCs w:val="21"/>
                      <w:lang w:val="en-US" w:eastAsia="zh-CN"/>
                    </w:rPr>
                    <w:t>90</w:t>
                  </w:r>
                  <w:r>
                    <w:rPr>
                      <w:color w:val="auto"/>
                      <w:szCs w:val="21"/>
                    </w:rPr>
                    <w:t>%</w:t>
                  </w:r>
                </w:p>
              </w:tc>
              <w:tc>
                <w:tcPr>
                  <w:tcW w:w="359" w:type="pct"/>
                  <w:vMerge w:val="restart"/>
                  <w:vAlign w:val="center"/>
                </w:tcPr>
                <w:p>
                  <w:pPr>
                    <w:jc w:val="center"/>
                    <w:rPr>
                      <w:rFonts w:hint="default" w:eastAsia="宋体"/>
                      <w:color w:val="auto"/>
                      <w:szCs w:val="21"/>
                      <w:lang w:val="en-US" w:eastAsia="zh-CN"/>
                    </w:rPr>
                  </w:pPr>
                  <w:r>
                    <w:rPr>
                      <w:rFonts w:hint="eastAsia"/>
                      <w:color w:val="auto"/>
                      <w:szCs w:val="21"/>
                      <w:lang w:val="en-US" w:eastAsia="zh-CN"/>
                    </w:rPr>
                    <w:t>10000</w:t>
                  </w:r>
                </w:p>
              </w:tc>
              <w:tc>
                <w:tcPr>
                  <w:tcW w:w="587" w:type="pct"/>
                  <w:vMerge w:val="restart"/>
                  <w:vAlign w:val="center"/>
                </w:tcPr>
                <w:p>
                  <w:pPr>
                    <w:jc w:val="center"/>
                    <w:rPr>
                      <w:color w:val="auto"/>
                      <w:szCs w:val="21"/>
                    </w:rPr>
                  </w:pPr>
                  <w:r>
                    <w:rPr>
                      <w:color w:val="auto"/>
                      <w:szCs w:val="21"/>
                    </w:rPr>
                    <w:t>布袋除尘器</w:t>
                  </w:r>
                </w:p>
              </w:tc>
              <w:tc>
                <w:tcPr>
                  <w:tcW w:w="311" w:type="pct"/>
                  <w:vMerge w:val="restart"/>
                  <w:vAlign w:val="center"/>
                </w:tcPr>
                <w:p>
                  <w:pPr>
                    <w:jc w:val="center"/>
                    <w:rPr>
                      <w:color w:val="auto"/>
                      <w:szCs w:val="21"/>
                    </w:rPr>
                  </w:pPr>
                  <w:r>
                    <w:rPr>
                      <w:color w:val="auto"/>
                      <w:szCs w:val="21"/>
                    </w:rPr>
                    <w:t>99</w:t>
                  </w:r>
                  <w:r>
                    <w:rPr>
                      <w:rFonts w:hint="eastAsia"/>
                      <w:color w:val="auto"/>
                      <w:szCs w:val="21"/>
                      <w:lang w:val="en-US" w:eastAsia="zh-CN"/>
                    </w:rPr>
                    <w:t>.5</w:t>
                  </w:r>
                  <w:r>
                    <w:rPr>
                      <w:color w:val="auto"/>
                      <w:szCs w:val="21"/>
                    </w:rPr>
                    <w:t>%</w:t>
                  </w:r>
                </w:p>
              </w:tc>
              <w:tc>
                <w:tcPr>
                  <w:tcW w:w="439" w:type="pct"/>
                  <w:vMerge w:val="restart"/>
                  <w:vAlign w:val="center"/>
                </w:tcPr>
                <w:p>
                  <w:pPr>
                    <w:pStyle w:val="17"/>
                    <w:ind w:firstLine="0" w:firstLineChars="0"/>
                    <w:jc w:val="center"/>
                    <w:rPr>
                      <w:rFonts w:ascii="Times New Roman" w:cs="Times New Roman"/>
                      <w:b w:val="0"/>
                      <w:bCs/>
                      <w:color w:val="auto"/>
                      <w:sz w:val="21"/>
                      <w:szCs w:val="21"/>
                    </w:rPr>
                  </w:pPr>
                  <w:r>
                    <w:rPr>
                      <w:rFonts w:ascii="Times New Roman" w:cs="Times New Roman"/>
                      <w:b w:val="0"/>
                      <w:bCs/>
                      <w:color w:val="auto"/>
                      <w:sz w:val="21"/>
                      <w:szCs w:val="21"/>
                    </w:rPr>
                    <w:t>是</w:t>
                  </w:r>
                </w:p>
              </w:tc>
              <w:tc>
                <w:tcPr>
                  <w:tcW w:w="838" w:type="pct"/>
                  <w:vMerge w:val="restart"/>
                  <w:vAlign w:val="center"/>
                </w:tcPr>
                <w:p>
                  <w:pPr>
                    <w:jc w:val="center"/>
                    <w:rPr>
                      <w:color w:val="auto"/>
                      <w:szCs w:val="21"/>
                    </w:rPr>
                  </w:pPr>
                  <w:r>
                    <w:rPr>
                      <w:color w:val="auto"/>
                      <w:szCs w:val="21"/>
                    </w:rPr>
                    <w:t>15m高排气筒DA001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566" w:type="pct"/>
                  <w:vAlign w:val="center"/>
                </w:tcPr>
                <w:p>
                  <w:pPr>
                    <w:jc w:val="center"/>
                    <w:rPr>
                      <w:color w:val="auto"/>
                      <w:szCs w:val="21"/>
                    </w:rPr>
                  </w:pPr>
                  <w:r>
                    <w:rPr>
                      <w:color w:val="auto"/>
                      <w:szCs w:val="21"/>
                    </w:rPr>
                    <w:t>打磨机</w:t>
                  </w:r>
                </w:p>
              </w:tc>
              <w:tc>
                <w:tcPr>
                  <w:tcW w:w="596" w:type="pct"/>
                  <w:vMerge w:val="continue"/>
                  <w:vAlign w:val="center"/>
                </w:tcPr>
                <w:p>
                  <w:pPr>
                    <w:widowControl/>
                    <w:spacing w:line="240" w:lineRule="exact"/>
                    <w:jc w:val="center"/>
                    <w:rPr>
                      <w:color w:val="auto"/>
                      <w:szCs w:val="21"/>
                    </w:rPr>
                  </w:pPr>
                </w:p>
              </w:tc>
              <w:tc>
                <w:tcPr>
                  <w:tcW w:w="399" w:type="pct"/>
                  <w:vAlign w:val="center"/>
                </w:tcPr>
                <w:p>
                  <w:pPr>
                    <w:widowControl/>
                    <w:spacing w:line="240" w:lineRule="exact"/>
                    <w:jc w:val="center"/>
                    <w:rPr>
                      <w:color w:val="auto"/>
                      <w:szCs w:val="21"/>
                    </w:rPr>
                  </w:pPr>
                  <w:r>
                    <w:rPr>
                      <w:color w:val="auto"/>
                      <w:szCs w:val="21"/>
                    </w:rPr>
                    <w:t>颗粒物</w:t>
                  </w:r>
                </w:p>
              </w:tc>
              <w:tc>
                <w:tcPr>
                  <w:tcW w:w="542" w:type="pct"/>
                  <w:vMerge w:val="continue"/>
                  <w:vAlign w:val="center"/>
                </w:tcPr>
                <w:p>
                  <w:pPr>
                    <w:widowControl/>
                    <w:spacing w:line="240" w:lineRule="exact"/>
                    <w:jc w:val="center"/>
                    <w:rPr>
                      <w:color w:val="auto"/>
                      <w:szCs w:val="21"/>
                    </w:rPr>
                  </w:pPr>
                </w:p>
              </w:tc>
              <w:tc>
                <w:tcPr>
                  <w:tcW w:w="360" w:type="pct"/>
                  <w:vMerge w:val="continue"/>
                  <w:vAlign w:val="center"/>
                </w:tcPr>
                <w:p>
                  <w:pPr>
                    <w:jc w:val="center"/>
                    <w:rPr>
                      <w:color w:val="auto"/>
                      <w:szCs w:val="21"/>
                    </w:rPr>
                  </w:pPr>
                </w:p>
              </w:tc>
              <w:tc>
                <w:tcPr>
                  <w:tcW w:w="359" w:type="pct"/>
                  <w:vMerge w:val="continue"/>
                  <w:vAlign w:val="center"/>
                </w:tcPr>
                <w:p>
                  <w:pPr>
                    <w:jc w:val="center"/>
                    <w:rPr>
                      <w:color w:val="auto"/>
                      <w:szCs w:val="21"/>
                    </w:rPr>
                  </w:pPr>
                </w:p>
              </w:tc>
              <w:tc>
                <w:tcPr>
                  <w:tcW w:w="587" w:type="pct"/>
                  <w:vMerge w:val="continue"/>
                  <w:vAlign w:val="center"/>
                </w:tcPr>
                <w:p>
                  <w:pPr>
                    <w:jc w:val="center"/>
                    <w:rPr>
                      <w:color w:val="auto"/>
                      <w:szCs w:val="21"/>
                    </w:rPr>
                  </w:pPr>
                </w:p>
              </w:tc>
              <w:tc>
                <w:tcPr>
                  <w:tcW w:w="311" w:type="pct"/>
                  <w:vMerge w:val="continue"/>
                  <w:vAlign w:val="center"/>
                </w:tcPr>
                <w:p>
                  <w:pPr>
                    <w:jc w:val="center"/>
                    <w:rPr>
                      <w:color w:val="auto"/>
                      <w:szCs w:val="21"/>
                    </w:rPr>
                  </w:pPr>
                </w:p>
              </w:tc>
              <w:tc>
                <w:tcPr>
                  <w:tcW w:w="439" w:type="pct"/>
                  <w:vMerge w:val="continue"/>
                  <w:vAlign w:val="center"/>
                </w:tcPr>
                <w:p>
                  <w:pPr>
                    <w:pStyle w:val="17"/>
                    <w:ind w:firstLine="0" w:firstLineChars="0"/>
                    <w:jc w:val="center"/>
                    <w:rPr>
                      <w:rFonts w:ascii="Times New Roman" w:cs="Times New Roman"/>
                      <w:b w:val="0"/>
                      <w:bCs/>
                      <w:color w:val="auto"/>
                      <w:sz w:val="21"/>
                      <w:szCs w:val="21"/>
                    </w:rPr>
                  </w:pPr>
                </w:p>
              </w:tc>
              <w:tc>
                <w:tcPr>
                  <w:tcW w:w="838" w:type="pct"/>
                  <w:vMerge w:val="continue"/>
                  <w:vAlign w:val="center"/>
                </w:tcPr>
                <w:p>
                  <w:pPr>
                    <w:jc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566" w:type="pct"/>
                  <w:vAlign w:val="center"/>
                </w:tcPr>
                <w:p>
                  <w:pPr>
                    <w:jc w:val="center"/>
                    <w:rPr>
                      <w:color w:val="auto"/>
                      <w:szCs w:val="21"/>
                    </w:rPr>
                  </w:pPr>
                  <w:r>
                    <w:rPr>
                      <w:color w:val="auto"/>
                      <w:szCs w:val="21"/>
                    </w:rPr>
                    <w:t>抛丸清洗机</w:t>
                  </w:r>
                </w:p>
              </w:tc>
              <w:tc>
                <w:tcPr>
                  <w:tcW w:w="596" w:type="pct"/>
                  <w:vMerge w:val="continue"/>
                  <w:vAlign w:val="center"/>
                </w:tcPr>
                <w:p>
                  <w:pPr>
                    <w:widowControl/>
                    <w:spacing w:line="240" w:lineRule="exact"/>
                    <w:jc w:val="center"/>
                    <w:rPr>
                      <w:color w:val="auto"/>
                      <w:szCs w:val="21"/>
                    </w:rPr>
                  </w:pPr>
                </w:p>
              </w:tc>
              <w:tc>
                <w:tcPr>
                  <w:tcW w:w="399" w:type="pct"/>
                  <w:vAlign w:val="center"/>
                </w:tcPr>
                <w:p>
                  <w:pPr>
                    <w:widowControl/>
                    <w:spacing w:line="240" w:lineRule="exact"/>
                    <w:jc w:val="center"/>
                    <w:rPr>
                      <w:color w:val="auto"/>
                      <w:szCs w:val="21"/>
                    </w:rPr>
                  </w:pPr>
                  <w:r>
                    <w:rPr>
                      <w:color w:val="auto"/>
                      <w:szCs w:val="21"/>
                    </w:rPr>
                    <w:t>颗粒物</w:t>
                  </w:r>
                </w:p>
              </w:tc>
              <w:tc>
                <w:tcPr>
                  <w:tcW w:w="542" w:type="pct"/>
                  <w:vMerge w:val="continue"/>
                  <w:vAlign w:val="center"/>
                </w:tcPr>
                <w:p>
                  <w:pPr>
                    <w:widowControl/>
                    <w:spacing w:line="240" w:lineRule="exact"/>
                    <w:jc w:val="center"/>
                    <w:rPr>
                      <w:color w:val="auto"/>
                      <w:szCs w:val="21"/>
                    </w:rPr>
                  </w:pPr>
                </w:p>
              </w:tc>
              <w:tc>
                <w:tcPr>
                  <w:tcW w:w="360" w:type="pct"/>
                  <w:vMerge w:val="continue"/>
                  <w:vAlign w:val="center"/>
                </w:tcPr>
                <w:p>
                  <w:pPr>
                    <w:jc w:val="center"/>
                    <w:rPr>
                      <w:color w:val="auto"/>
                      <w:szCs w:val="21"/>
                    </w:rPr>
                  </w:pPr>
                </w:p>
              </w:tc>
              <w:tc>
                <w:tcPr>
                  <w:tcW w:w="359" w:type="pct"/>
                  <w:vMerge w:val="continue"/>
                  <w:vAlign w:val="center"/>
                </w:tcPr>
                <w:p>
                  <w:pPr>
                    <w:jc w:val="center"/>
                    <w:rPr>
                      <w:color w:val="auto"/>
                      <w:szCs w:val="21"/>
                    </w:rPr>
                  </w:pPr>
                </w:p>
              </w:tc>
              <w:tc>
                <w:tcPr>
                  <w:tcW w:w="587" w:type="pct"/>
                  <w:vMerge w:val="continue"/>
                  <w:vAlign w:val="center"/>
                </w:tcPr>
                <w:p>
                  <w:pPr>
                    <w:jc w:val="center"/>
                    <w:rPr>
                      <w:color w:val="auto"/>
                      <w:szCs w:val="21"/>
                    </w:rPr>
                  </w:pPr>
                </w:p>
              </w:tc>
              <w:tc>
                <w:tcPr>
                  <w:tcW w:w="311" w:type="pct"/>
                  <w:vMerge w:val="continue"/>
                  <w:vAlign w:val="center"/>
                </w:tcPr>
                <w:p>
                  <w:pPr>
                    <w:jc w:val="center"/>
                    <w:rPr>
                      <w:color w:val="auto"/>
                      <w:szCs w:val="21"/>
                    </w:rPr>
                  </w:pPr>
                </w:p>
              </w:tc>
              <w:tc>
                <w:tcPr>
                  <w:tcW w:w="439" w:type="pct"/>
                  <w:vMerge w:val="continue"/>
                  <w:vAlign w:val="center"/>
                </w:tcPr>
                <w:p>
                  <w:pPr>
                    <w:pStyle w:val="17"/>
                    <w:ind w:firstLine="420"/>
                    <w:jc w:val="center"/>
                    <w:rPr>
                      <w:rFonts w:ascii="Times New Roman" w:cs="Times New Roman"/>
                      <w:b w:val="0"/>
                      <w:bCs/>
                      <w:color w:val="auto"/>
                      <w:sz w:val="21"/>
                      <w:szCs w:val="21"/>
                    </w:rPr>
                  </w:pPr>
                </w:p>
              </w:tc>
              <w:tc>
                <w:tcPr>
                  <w:tcW w:w="838" w:type="pct"/>
                  <w:vMerge w:val="continue"/>
                  <w:vAlign w:val="center"/>
                </w:tcPr>
                <w:p>
                  <w:pPr>
                    <w:jc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566" w:type="pct"/>
                  <w:vAlign w:val="center"/>
                </w:tcPr>
                <w:p>
                  <w:pPr>
                    <w:jc w:val="center"/>
                    <w:rPr>
                      <w:color w:val="auto"/>
                      <w:szCs w:val="21"/>
                    </w:rPr>
                  </w:pPr>
                  <w:r>
                    <w:rPr>
                      <w:rFonts w:hint="eastAsia"/>
                      <w:color w:val="auto"/>
                      <w:szCs w:val="21"/>
                    </w:rPr>
                    <w:t>手工焊机、</w:t>
                  </w:r>
                  <w:r>
                    <w:rPr>
                      <w:color w:val="auto"/>
                      <w:szCs w:val="21"/>
                    </w:rPr>
                    <w:t>埋弧焊机、气体保护焊机</w:t>
                  </w:r>
                </w:p>
              </w:tc>
              <w:tc>
                <w:tcPr>
                  <w:tcW w:w="596" w:type="pct"/>
                  <w:vMerge w:val="continue"/>
                  <w:vAlign w:val="center"/>
                </w:tcPr>
                <w:p>
                  <w:pPr>
                    <w:widowControl/>
                    <w:spacing w:line="240" w:lineRule="exact"/>
                    <w:jc w:val="center"/>
                    <w:rPr>
                      <w:color w:val="auto"/>
                      <w:szCs w:val="21"/>
                    </w:rPr>
                  </w:pPr>
                </w:p>
              </w:tc>
              <w:tc>
                <w:tcPr>
                  <w:tcW w:w="399" w:type="pct"/>
                  <w:vAlign w:val="center"/>
                </w:tcPr>
                <w:p>
                  <w:pPr>
                    <w:widowControl/>
                    <w:spacing w:line="240" w:lineRule="exact"/>
                    <w:jc w:val="center"/>
                    <w:rPr>
                      <w:color w:val="auto"/>
                      <w:szCs w:val="21"/>
                    </w:rPr>
                  </w:pPr>
                  <w:r>
                    <w:rPr>
                      <w:color w:val="auto"/>
                      <w:szCs w:val="21"/>
                    </w:rPr>
                    <w:t>颗粒物</w:t>
                  </w:r>
                </w:p>
              </w:tc>
              <w:tc>
                <w:tcPr>
                  <w:tcW w:w="542" w:type="pct"/>
                  <w:vMerge w:val="continue"/>
                  <w:vAlign w:val="center"/>
                </w:tcPr>
                <w:p>
                  <w:pPr>
                    <w:widowControl/>
                    <w:spacing w:line="240" w:lineRule="exact"/>
                    <w:jc w:val="center"/>
                    <w:rPr>
                      <w:color w:val="auto"/>
                      <w:szCs w:val="21"/>
                    </w:rPr>
                  </w:pPr>
                </w:p>
              </w:tc>
              <w:tc>
                <w:tcPr>
                  <w:tcW w:w="360" w:type="pct"/>
                  <w:vMerge w:val="continue"/>
                  <w:vAlign w:val="center"/>
                </w:tcPr>
                <w:p>
                  <w:pPr>
                    <w:jc w:val="center"/>
                    <w:rPr>
                      <w:color w:val="auto"/>
                      <w:szCs w:val="21"/>
                    </w:rPr>
                  </w:pPr>
                </w:p>
              </w:tc>
              <w:tc>
                <w:tcPr>
                  <w:tcW w:w="359" w:type="pct"/>
                  <w:vMerge w:val="continue"/>
                  <w:vAlign w:val="center"/>
                </w:tcPr>
                <w:p>
                  <w:pPr>
                    <w:jc w:val="center"/>
                    <w:rPr>
                      <w:color w:val="auto"/>
                      <w:szCs w:val="21"/>
                    </w:rPr>
                  </w:pPr>
                </w:p>
              </w:tc>
              <w:tc>
                <w:tcPr>
                  <w:tcW w:w="587" w:type="pct"/>
                  <w:vMerge w:val="continue"/>
                  <w:vAlign w:val="center"/>
                </w:tcPr>
                <w:p>
                  <w:pPr>
                    <w:jc w:val="center"/>
                    <w:rPr>
                      <w:color w:val="auto"/>
                      <w:szCs w:val="21"/>
                    </w:rPr>
                  </w:pPr>
                </w:p>
              </w:tc>
              <w:tc>
                <w:tcPr>
                  <w:tcW w:w="311" w:type="pct"/>
                  <w:vMerge w:val="continue"/>
                  <w:vAlign w:val="center"/>
                </w:tcPr>
                <w:p>
                  <w:pPr>
                    <w:jc w:val="center"/>
                    <w:rPr>
                      <w:color w:val="auto"/>
                      <w:szCs w:val="21"/>
                    </w:rPr>
                  </w:pPr>
                </w:p>
              </w:tc>
              <w:tc>
                <w:tcPr>
                  <w:tcW w:w="439" w:type="pct"/>
                  <w:vMerge w:val="continue"/>
                  <w:vAlign w:val="center"/>
                </w:tcPr>
                <w:p>
                  <w:pPr>
                    <w:pStyle w:val="17"/>
                    <w:ind w:firstLine="0" w:firstLineChars="0"/>
                    <w:jc w:val="center"/>
                    <w:rPr>
                      <w:rFonts w:ascii="Times New Roman" w:cs="Times New Roman"/>
                      <w:b w:val="0"/>
                      <w:bCs/>
                      <w:color w:val="auto"/>
                      <w:sz w:val="21"/>
                      <w:szCs w:val="21"/>
                    </w:rPr>
                  </w:pPr>
                </w:p>
              </w:tc>
              <w:tc>
                <w:tcPr>
                  <w:tcW w:w="838" w:type="pct"/>
                  <w:vMerge w:val="continue"/>
                  <w:vAlign w:val="center"/>
                </w:tcPr>
                <w:p>
                  <w:pPr>
                    <w:jc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566" w:type="pct"/>
                  <w:vAlign w:val="center"/>
                </w:tcPr>
                <w:p>
                  <w:pPr>
                    <w:jc w:val="center"/>
                    <w:rPr>
                      <w:color w:val="auto"/>
                      <w:szCs w:val="21"/>
                    </w:rPr>
                  </w:pPr>
                  <w:r>
                    <w:rPr>
                      <w:color w:val="auto"/>
                      <w:szCs w:val="21"/>
                    </w:rPr>
                    <w:t>调漆、喷漆房</w:t>
                  </w:r>
                </w:p>
              </w:tc>
              <w:tc>
                <w:tcPr>
                  <w:tcW w:w="596" w:type="pct"/>
                  <w:vMerge w:val="continue"/>
                  <w:vAlign w:val="center"/>
                </w:tcPr>
                <w:p>
                  <w:pPr>
                    <w:widowControl/>
                    <w:spacing w:line="240" w:lineRule="exact"/>
                    <w:jc w:val="center"/>
                    <w:rPr>
                      <w:color w:val="auto"/>
                      <w:szCs w:val="21"/>
                    </w:rPr>
                  </w:pPr>
                </w:p>
              </w:tc>
              <w:tc>
                <w:tcPr>
                  <w:tcW w:w="399" w:type="pct"/>
                  <w:vAlign w:val="center"/>
                </w:tcPr>
                <w:p>
                  <w:pPr>
                    <w:widowControl/>
                    <w:spacing w:line="240" w:lineRule="exact"/>
                    <w:jc w:val="center"/>
                    <w:rPr>
                      <w:color w:val="auto"/>
                      <w:szCs w:val="21"/>
                    </w:rPr>
                  </w:pPr>
                  <w:r>
                    <w:rPr>
                      <w:color w:val="auto"/>
                      <w:szCs w:val="21"/>
                    </w:rPr>
                    <w:t>颗粒物</w:t>
                  </w:r>
                </w:p>
              </w:tc>
              <w:tc>
                <w:tcPr>
                  <w:tcW w:w="542" w:type="pct"/>
                  <w:vMerge w:val="restart"/>
                  <w:vAlign w:val="center"/>
                </w:tcPr>
                <w:p>
                  <w:pPr>
                    <w:widowControl/>
                    <w:spacing w:line="240" w:lineRule="exact"/>
                    <w:jc w:val="center"/>
                    <w:rPr>
                      <w:rFonts w:hint="eastAsia"/>
                      <w:color w:val="auto"/>
                      <w:szCs w:val="21"/>
                      <w:lang w:eastAsia="zh-CN"/>
                    </w:rPr>
                  </w:pPr>
                  <w:r>
                    <w:rPr>
                      <w:rFonts w:hint="eastAsia"/>
                      <w:color w:val="auto"/>
                      <w:szCs w:val="21"/>
                      <w:lang w:eastAsia="zh-CN"/>
                    </w:rPr>
                    <w:t>车间密闭</w:t>
                  </w:r>
                </w:p>
                <w:p>
                  <w:pPr>
                    <w:widowControl/>
                    <w:spacing w:line="240" w:lineRule="exact"/>
                    <w:jc w:val="center"/>
                    <w:rPr>
                      <w:color w:val="auto"/>
                      <w:szCs w:val="21"/>
                    </w:rPr>
                  </w:pPr>
                  <w:r>
                    <w:rPr>
                      <w:rFonts w:hint="eastAsia"/>
                      <w:color w:val="auto"/>
                      <w:szCs w:val="21"/>
                    </w:rPr>
                    <w:t>负压收集</w:t>
                  </w:r>
                </w:p>
              </w:tc>
              <w:tc>
                <w:tcPr>
                  <w:tcW w:w="360" w:type="pct"/>
                  <w:vMerge w:val="restart"/>
                  <w:vAlign w:val="center"/>
                </w:tcPr>
                <w:p>
                  <w:pPr>
                    <w:jc w:val="center"/>
                    <w:rPr>
                      <w:color w:val="auto"/>
                      <w:szCs w:val="21"/>
                    </w:rPr>
                  </w:pPr>
                  <w:r>
                    <w:rPr>
                      <w:color w:val="auto"/>
                      <w:szCs w:val="21"/>
                    </w:rPr>
                    <w:t>9</w:t>
                  </w:r>
                  <w:r>
                    <w:rPr>
                      <w:rFonts w:hint="eastAsia"/>
                      <w:color w:val="auto"/>
                      <w:szCs w:val="21"/>
                      <w:lang w:val="en-US" w:eastAsia="zh-CN"/>
                    </w:rPr>
                    <w:t>5</w:t>
                  </w:r>
                  <w:r>
                    <w:rPr>
                      <w:color w:val="auto"/>
                      <w:szCs w:val="21"/>
                    </w:rPr>
                    <w:t>%</w:t>
                  </w:r>
                </w:p>
              </w:tc>
              <w:tc>
                <w:tcPr>
                  <w:tcW w:w="359" w:type="pct"/>
                  <w:vMerge w:val="restart"/>
                  <w:vAlign w:val="center"/>
                </w:tcPr>
                <w:p>
                  <w:pPr>
                    <w:jc w:val="center"/>
                    <w:rPr>
                      <w:rFonts w:hint="default" w:eastAsia="宋体"/>
                      <w:color w:val="auto"/>
                      <w:szCs w:val="21"/>
                      <w:lang w:val="en-US" w:eastAsia="zh-CN"/>
                    </w:rPr>
                  </w:pPr>
                  <w:r>
                    <w:rPr>
                      <w:rFonts w:hint="eastAsia"/>
                      <w:color w:val="auto"/>
                      <w:szCs w:val="21"/>
                      <w:lang w:val="en-US" w:eastAsia="zh-CN"/>
                    </w:rPr>
                    <w:t>22000</w:t>
                  </w:r>
                </w:p>
              </w:tc>
              <w:tc>
                <w:tcPr>
                  <w:tcW w:w="587" w:type="pct"/>
                  <w:vMerge w:val="restart"/>
                  <w:vAlign w:val="center"/>
                </w:tcPr>
                <w:p>
                  <w:pPr>
                    <w:jc w:val="center"/>
                    <w:rPr>
                      <w:color w:val="auto"/>
                      <w:szCs w:val="21"/>
                    </w:rPr>
                  </w:pPr>
                  <w:r>
                    <w:rPr>
                      <w:color w:val="auto"/>
                      <w:szCs w:val="21"/>
                    </w:rPr>
                    <w:t>干式过滤棉+二级活性炭吸附</w:t>
                  </w:r>
                </w:p>
              </w:tc>
              <w:tc>
                <w:tcPr>
                  <w:tcW w:w="311" w:type="pct"/>
                  <w:vMerge w:val="restart"/>
                  <w:vAlign w:val="center"/>
                </w:tcPr>
                <w:p>
                  <w:pPr>
                    <w:jc w:val="center"/>
                    <w:rPr>
                      <w:color w:val="auto"/>
                      <w:szCs w:val="21"/>
                    </w:rPr>
                  </w:pPr>
                  <w:r>
                    <w:rPr>
                      <w:color w:val="auto"/>
                      <w:szCs w:val="21"/>
                    </w:rPr>
                    <w:t>90%</w:t>
                  </w:r>
                </w:p>
              </w:tc>
              <w:tc>
                <w:tcPr>
                  <w:tcW w:w="439" w:type="pct"/>
                  <w:vMerge w:val="restart"/>
                  <w:vAlign w:val="center"/>
                </w:tcPr>
                <w:p>
                  <w:pPr>
                    <w:pStyle w:val="17"/>
                    <w:ind w:firstLine="0" w:firstLineChars="0"/>
                    <w:jc w:val="center"/>
                    <w:rPr>
                      <w:rFonts w:ascii="Times New Roman" w:cs="Times New Roman"/>
                      <w:b w:val="0"/>
                      <w:bCs/>
                      <w:color w:val="auto"/>
                      <w:sz w:val="21"/>
                      <w:szCs w:val="21"/>
                    </w:rPr>
                  </w:pPr>
                  <w:r>
                    <w:rPr>
                      <w:rFonts w:ascii="Times New Roman" w:cs="Times New Roman"/>
                      <w:b w:val="0"/>
                      <w:bCs/>
                      <w:color w:val="auto"/>
                      <w:sz w:val="21"/>
                      <w:szCs w:val="21"/>
                    </w:rPr>
                    <w:t>是</w:t>
                  </w:r>
                </w:p>
              </w:tc>
              <w:tc>
                <w:tcPr>
                  <w:tcW w:w="838" w:type="pct"/>
                  <w:vMerge w:val="restart"/>
                  <w:vAlign w:val="center"/>
                </w:tcPr>
                <w:p>
                  <w:pPr>
                    <w:jc w:val="center"/>
                    <w:rPr>
                      <w:color w:val="auto"/>
                      <w:szCs w:val="21"/>
                    </w:rPr>
                  </w:pPr>
                  <w:r>
                    <w:rPr>
                      <w:color w:val="auto"/>
                      <w:szCs w:val="21"/>
                    </w:rPr>
                    <w:t>15m高排气筒DA002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566" w:type="pct"/>
                  <w:vAlign w:val="center"/>
                </w:tcPr>
                <w:p>
                  <w:pPr>
                    <w:jc w:val="center"/>
                    <w:rPr>
                      <w:color w:val="auto"/>
                      <w:szCs w:val="21"/>
                    </w:rPr>
                  </w:pPr>
                  <w:r>
                    <w:rPr>
                      <w:color w:val="auto"/>
                      <w:szCs w:val="21"/>
                    </w:rPr>
                    <w:t>调漆、喷漆房</w:t>
                  </w:r>
                </w:p>
              </w:tc>
              <w:tc>
                <w:tcPr>
                  <w:tcW w:w="596" w:type="pct"/>
                  <w:vMerge w:val="restart"/>
                  <w:vAlign w:val="center"/>
                </w:tcPr>
                <w:p>
                  <w:pPr>
                    <w:widowControl/>
                    <w:spacing w:line="240" w:lineRule="exact"/>
                    <w:jc w:val="center"/>
                    <w:rPr>
                      <w:color w:val="auto"/>
                      <w:szCs w:val="21"/>
                    </w:rPr>
                  </w:pPr>
                  <w:r>
                    <w:rPr>
                      <w:color w:val="auto"/>
                      <w:szCs w:val="21"/>
                    </w:rPr>
                    <w:t>有机废气</w:t>
                  </w:r>
                </w:p>
              </w:tc>
              <w:tc>
                <w:tcPr>
                  <w:tcW w:w="399" w:type="pct"/>
                  <w:vMerge w:val="restart"/>
                  <w:vAlign w:val="center"/>
                </w:tcPr>
                <w:p>
                  <w:pPr>
                    <w:widowControl/>
                    <w:spacing w:line="240" w:lineRule="exact"/>
                    <w:jc w:val="center"/>
                    <w:rPr>
                      <w:color w:val="auto"/>
                      <w:szCs w:val="21"/>
                    </w:rPr>
                  </w:pPr>
                  <w:r>
                    <w:rPr>
                      <w:color w:val="auto"/>
                      <w:szCs w:val="21"/>
                    </w:rPr>
                    <w:t>非甲烷总烃</w:t>
                  </w:r>
                </w:p>
              </w:tc>
              <w:tc>
                <w:tcPr>
                  <w:tcW w:w="542" w:type="pct"/>
                  <w:vMerge w:val="continue"/>
                  <w:vAlign w:val="center"/>
                </w:tcPr>
                <w:p>
                  <w:pPr>
                    <w:widowControl/>
                    <w:spacing w:line="240" w:lineRule="exact"/>
                    <w:jc w:val="center"/>
                    <w:rPr>
                      <w:color w:val="auto"/>
                      <w:szCs w:val="21"/>
                    </w:rPr>
                  </w:pPr>
                </w:p>
              </w:tc>
              <w:tc>
                <w:tcPr>
                  <w:tcW w:w="360" w:type="pct"/>
                  <w:vMerge w:val="continue"/>
                  <w:vAlign w:val="center"/>
                </w:tcPr>
                <w:p>
                  <w:pPr>
                    <w:jc w:val="center"/>
                    <w:rPr>
                      <w:color w:val="auto"/>
                      <w:szCs w:val="21"/>
                    </w:rPr>
                  </w:pPr>
                </w:p>
              </w:tc>
              <w:tc>
                <w:tcPr>
                  <w:tcW w:w="359" w:type="pct"/>
                  <w:vMerge w:val="continue"/>
                  <w:vAlign w:val="center"/>
                </w:tcPr>
                <w:p>
                  <w:pPr>
                    <w:jc w:val="center"/>
                    <w:rPr>
                      <w:color w:val="auto"/>
                      <w:szCs w:val="21"/>
                    </w:rPr>
                  </w:pPr>
                </w:p>
              </w:tc>
              <w:tc>
                <w:tcPr>
                  <w:tcW w:w="587" w:type="pct"/>
                  <w:vMerge w:val="continue"/>
                  <w:vAlign w:val="center"/>
                </w:tcPr>
                <w:p>
                  <w:pPr>
                    <w:jc w:val="center"/>
                    <w:rPr>
                      <w:color w:val="auto"/>
                      <w:szCs w:val="21"/>
                    </w:rPr>
                  </w:pPr>
                </w:p>
              </w:tc>
              <w:tc>
                <w:tcPr>
                  <w:tcW w:w="311" w:type="pct"/>
                  <w:vMerge w:val="continue"/>
                  <w:vAlign w:val="center"/>
                </w:tcPr>
                <w:p>
                  <w:pPr>
                    <w:jc w:val="center"/>
                    <w:rPr>
                      <w:color w:val="auto"/>
                      <w:szCs w:val="21"/>
                    </w:rPr>
                  </w:pPr>
                </w:p>
              </w:tc>
              <w:tc>
                <w:tcPr>
                  <w:tcW w:w="439" w:type="pct"/>
                  <w:vMerge w:val="continue"/>
                  <w:vAlign w:val="center"/>
                </w:tcPr>
                <w:p>
                  <w:pPr>
                    <w:pStyle w:val="17"/>
                    <w:ind w:firstLine="0" w:firstLineChars="0"/>
                    <w:jc w:val="center"/>
                    <w:rPr>
                      <w:rFonts w:ascii="Times New Roman" w:cs="Times New Roman"/>
                      <w:b w:val="0"/>
                      <w:bCs/>
                      <w:color w:val="auto"/>
                      <w:sz w:val="21"/>
                      <w:szCs w:val="21"/>
                    </w:rPr>
                  </w:pPr>
                </w:p>
              </w:tc>
              <w:tc>
                <w:tcPr>
                  <w:tcW w:w="838" w:type="pct"/>
                  <w:vMerge w:val="continue"/>
                  <w:vAlign w:val="center"/>
                </w:tcPr>
                <w:p>
                  <w:pPr>
                    <w:jc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566" w:type="pct"/>
                  <w:vAlign w:val="center"/>
                </w:tcPr>
                <w:p>
                  <w:pPr>
                    <w:jc w:val="center"/>
                    <w:rPr>
                      <w:rFonts w:hint="eastAsia" w:eastAsia="宋体"/>
                      <w:color w:val="auto"/>
                      <w:szCs w:val="21"/>
                      <w:lang w:eastAsia="zh-CN"/>
                    </w:rPr>
                  </w:pPr>
                  <w:r>
                    <w:rPr>
                      <w:rFonts w:hint="eastAsia"/>
                      <w:color w:val="auto"/>
                      <w:szCs w:val="21"/>
                    </w:rPr>
                    <w:t>晾干房</w:t>
                  </w:r>
                  <w:r>
                    <w:rPr>
                      <w:rFonts w:hint="eastAsia"/>
                      <w:color w:val="auto"/>
                      <w:szCs w:val="21"/>
                      <w:lang w:eastAsia="zh-CN"/>
                    </w:rPr>
                    <w:t>、危废库</w:t>
                  </w:r>
                </w:p>
              </w:tc>
              <w:tc>
                <w:tcPr>
                  <w:tcW w:w="596" w:type="pct"/>
                  <w:vMerge w:val="continue"/>
                  <w:vAlign w:val="center"/>
                </w:tcPr>
                <w:p>
                  <w:pPr>
                    <w:widowControl/>
                    <w:spacing w:line="240" w:lineRule="exact"/>
                    <w:jc w:val="center"/>
                    <w:rPr>
                      <w:color w:val="auto"/>
                      <w:szCs w:val="21"/>
                    </w:rPr>
                  </w:pPr>
                </w:p>
              </w:tc>
              <w:tc>
                <w:tcPr>
                  <w:tcW w:w="399" w:type="pct"/>
                  <w:vMerge w:val="continue"/>
                  <w:vAlign w:val="center"/>
                </w:tcPr>
                <w:p>
                  <w:pPr>
                    <w:widowControl/>
                    <w:spacing w:line="240" w:lineRule="exact"/>
                    <w:jc w:val="center"/>
                    <w:rPr>
                      <w:color w:val="auto"/>
                      <w:szCs w:val="21"/>
                    </w:rPr>
                  </w:pPr>
                </w:p>
              </w:tc>
              <w:tc>
                <w:tcPr>
                  <w:tcW w:w="542" w:type="pct"/>
                  <w:vMerge w:val="continue"/>
                  <w:vAlign w:val="center"/>
                </w:tcPr>
                <w:p>
                  <w:pPr>
                    <w:widowControl/>
                    <w:spacing w:line="240" w:lineRule="exact"/>
                    <w:jc w:val="center"/>
                    <w:rPr>
                      <w:color w:val="auto"/>
                      <w:szCs w:val="21"/>
                    </w:rPr>
                  </w:pPr>
                </w:p>
              </w:tc>
              <w:tc>
                <w:tcPr>
                  <w:tcW w:w="360" w:type="pct"/>
                  <w:vMerge w:val="continue"/>
                  <w:vAlign w:val="center"/>
                </w:tcPr>
                <w:p>
                  <w:pPr>
                    <w:jc w:val="center"/>
                    <w:rPr>
                      <w:color w:val="auto"/>
                      <w:szCs w:val="21"/>
                    </w:rPr>
                  </w:pPr>
                </w:p>
              </w:tc>
              <w:tc>
                <w:tcPr>
                  <w:tcW w:w="359" w:type="pct"/>
                  <w:vMerge w:val="continue"/>
                  <w:vAlign w:val="center"/>
                </w:tcPr>
                <w:p>
                  <w:pPr>
                    <w:jc w:val="center"/>
                    <w:rPr>
                      <w:color w:val="auto"/>
                      <w:szCs w:val="21"/>
                    </w:rPr>
                  </w:pPr>
                </w:p>
              </w:tc>
              <w:tc>
                <w:tcPr>
                  <w:tcW w:w="587" w:type="pct"/>
                  <w:vMerge w:val="continue"/>
                  <w:vAlign w:val="center"/>
                </w:tcPr>
                <w:p>
                  <w:pPr>
                    <w:jc w:val="center"/>
                    <w:rPr>
                      <w:color w:val="auto"/>
                      <w:szCs w:val="21"/>
                    </w:rPr>
                  </w:pPr>
                </w:p>
              </w:tc>
              <w:tc>
                <w:tcPr>
                  <w:tcW w:w="311" w:type="pct"/>
                  <w:vMerge w:val="continue"/>
                  <w:vAlign w:val="center"/>
                </w:tcPr>
                <w:p>
                  <w:pPr>
                    <w:jc w:val="center"/>
                    <w:rPr>
                      <w:color w:val="auto"/>
                      <w:szCs w:val="21"/>
                    </w:rPr>
                  </w:pPr>
                </w:p>
              </w:tc>
              <w:tc>
                <w:tcPr>
                  <w:tcW w:w="439" w:type="pct"/>
                  <w:vMerge w:val="continue"/>
                  <w:vAlign w:val="center"/>
                </w:tcPr>
                <w:p>
                  <w:pPr>
                    <w:pStyle w:val="17"/>
                    <w:ind w:firstLine="0" w:firstLineChars="0"/>
                    <w:jc w:val="center"/>
                    <w:rPr>
                      <w:rFonts w:ascii="Times New Roman" w:cs="Times New Roman"/>
                      <w:b w:val="0"/>
                      <w:bCs/>
                      <w:color w:val="auto"/>
                      <w:sz w:val="21"/>
                      <w:szCs w:val="21"/>
                    </w:rPr>
                  </w:pPr>
                </w:p>
              </w:tc>
              <w:tc>
                <w:tcPr>
                  <w:tcW w:w="838" w:type="pct"/>
                  <w:vMerge w:val="continue"/>
                  <w:vAlign w:val="center"/>
                </w:tcPr>
                <w:p>
                  <w:pPr>
                    <w:jc w:val="center"/>
                    <w:rPr>
                      <w:color w:val="auto"/>
                      <w:szCs w:val="21"/>
                    </w:rPr>
                  </w:pPr>
                </w:p>
              </w:tc>
            </w:tr>
            <w:bookmarkEnd w:id="39"/>
          </w:tbl>
          <w:p>
            <w:pPr>
              <w:wordWrap w:val="0"/>
              <w:adjustRightInd w:val="0"/>
              <w:snapToGrid w:val="0"/>
              <w:spacing w:before="120" w:beforeLines="50" w:line="360" w:lineRule="auto"/>
              <w:jc w:val="center"/>
              <w:rPr>
                <w:b/>
                <w:color w:val="auto"/>
              </w:rPr>
            </w:pPr>
            <w:r>
              <w:rPr>
                <w:b/>
                <w:color w:val="auto"/>
              </w:rPr>
              <w:t>表4.2-5 项目有组织废气排放口一览表</w:t>
            </w:r>
          </w:p>
          <w:tbl>
            <w:tblPr>
              <w:tblStyle w:val="20"/>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084"/>
              <w:gridCol w:w="1245"/>
              <w:gridCol w:w="1785"/>
              <w:gridCol w:w="1857"/>
              <w:gridCol w:w="1215"/>
              <w:gridCol w:w="1215"/>
              <w:gridCol w:w="1215"/>
              <w:gridCol w:w="1382"/>
              <w:gridCol w:w="170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60" w:type="pct"/>
                  <w:vMerge w:val="restart"/>
                  <w:vAlign w:val="center"/>
                </w:tcPr>
                <w:p>
                  <w:pPr>
                    <w:widowControl/>
                    <w:wordWrap w:val="0"/>
                    <w:jc w:val="center"/>
                    <w:textAlignment w:val="center"/>
                    <w:rPr>
                      <w:b/>
                      <w:color w:val="auto"/>
                      <w:kern w:val="0"/>
                      <w:szCs w:val="21"/>
                      <w:lang w:bidi="ar"/>
                    </w:rPr>
                  </w:pPr>
                  <w:r>
                    <w:rPr>
                      <w:b/>
                      <w:color w:val="auto"/>
                      <w:kern w:val="0"/>
                      <w:szCs w:val="21"/>
                      <w:lang w:bidi="ar"/>
                    </w:rPr>
                    <w:t>排放口名称</w:t>
                  </w:r>
                </w:p>
              </w:tc>
              <w:tc>
                <w:tcPr>
                  <w:tcW w:w="454" w:type="pct"/>
                  <w:vMerge w:val="restart"/>
                  <w:vAlign w:val="center"/>
                </w:tcPr>
                <w:p>
                  <w:pPr>
                    <w:widowControl/>
                    <w:wordWrap w:val="0"/>
                    <w:jc w:val="center"/>
                    <w:textAlignment w:val="center"/>
                    <w:rPr>
                      <w:b/>
                      <w:color w:val="auto"/>
                      <w:szCs w:val="21"/>
                    </w:rPr>
                  </w:pPr>
                  <w:r>
                    <w:rPr>
                      <w:b/>
                      <w:color w:val="auto"/>
                      <w:kern w:val="0"/>
                      <w:szCs w:val="21"/>
                      <w:lang w:bidi="ar"/>
                    </w:rPr>
                    <w:t>排放口编号</w:t>
                  </w:r>
                </w:p>
              </w:tc>
              <w:tc>
                <w:tcPr>
                  <w:tcW w:w="1328" w:type="pct"/>
                  <w:gridSpan w:val="2"/>
                  <w:vAlign w:val="center"/>
                </w:tcPr>
                <w:p>
                  <w:pPr>
                    <w:widowControl/>
                    <w:wordWrap w:val="0"/>
                    <w:jc w:val="center"/>
                    <w:textAlignment w:val="center"/>
                    <w:rPr>
                      <w:b/>
                      <w:color w:val="auto"/>
                      <w:szCs w:val="21"/>
                    </w:rPr>
                  </w:pPr>
                  <w:r>
                    <w:rPr>
                      <w:b/>
                      <w:color w:val="auto"/>
                      <w:kern w:val="0"/>
                      <w:szCs w:val="21"/>
                      <w:lang w:bidi="ar"/>
                    </w:rPr>
                    <w:t>地理坐标</w:t>
                  </w:r>
                </w:p>
              </w:tc>
              <w:tc>
                <w:tcPr>
                  <w:tcW w:w="443" w:type="pct"/>
                  <w:vMerge w:val="restart"/>
                  <w:vAlign w:val="center"/>
                </w:tcPr>
                <w:p>
                  <w:pPr>
                    <w:widowControl/>
                    <w:wordWrap w:val="0"/>
                    <w:jc w:val="center"/>
                    <w:textAlignment w:val="center"/>
                    <w:rPr>
                      <w:b/>
                      <w:color w:val="auto"/>
                      <w:kern w:val="0"/>
                      <w:szCs w:val="21"/>
                      <w:lang w:bidi="ar"/>
                    </w:rPr>
                  </w:pPr>
                  <w:r>
                    <w:rPr>
                      <w:b/>
                      <w:color w:val="auto"/>
                      <w:kern w:val="0"/>
                      <w:szCs w:val="21"/>
                      <w:lang w:bidi="ar"/>
                    </w:rPr>
                    <w:t>排气筒数量（个）</w:t>
                  </w:r>
                </w:p>
              </w:tc>
              <w:tc>
                <w:tcPr>
                  <w:tcW w:w="1390" w:type="pct"/>
                  <w:gridSpan w:val="3"/>
                  <w:vAlign w:val="center"/>
                </w:tcPr>
                <w:p>
                  <w:pPr>
                    <w:widowControl/>
                    <w:wordWrap w:val="0"/>
                    <w:jc w:val="center"/>
                    <w:textAlignment w:val="center"/>
                    <w:rPr>
                      <w:b/>
                      <w:color w:val="auto"/>
                      <w:szCs w:val="21"/>
                    </w:rPr>
                  </w:pPr>
                  <w:r>
                    <w:rPr>
                      <w:b/>
                      <w:color w:val="auto"/>
                      <w:kern w:val="0"/>
                      <w:szCs w:val="21"/>
                      <w:lang w:bidi="ar"/>
                    </w:rPr>
                    <w:t>排气筒参数</w:t>
                  </w:r>
                </w:p>
              </w:tc>
              <w:tc>
                <w:tcPr>
                  <w:tcW w:w="622" w:type="pct"/>
                  <w:vMerge w:val="restart"/>
                  <w:vAlign w:val="center"/>
                </w:tcPr>
                <w:p>
                  <w:pPr>
                    <w:widowControl/>
                    <w:wordWrap w:val="0"/>
                    <w:jc w:val="center"/>
                    <w:textAlignment w:val="center"/>
                    <w:rPr>
                      <w:b/>
                      <w:color w:val="auto"/>
                      <w:szCs w:val="21"/>
                    </w:rPr>
                  </w:pPr>
                  <w:r>
                    <w:rPr>
                      <w:b/>
                      <w:color w:val="auto"/>
                      <w:kern w:val="0"/>
                      <w:szCs w:val="21"/>
                      <w:lang w:bidi="ar"/>
                    </w:rPr>
                    <w:t>排放口类型</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60" w:type="pct"/>
                  <w:vMerge w:val="continue"/>
                  <w:vAlign w:val="center"/>
                </w:tcPr>
                <w:p>
                  <w:pPr>
                    <w:wordWrap w:val="0"/>
                    <w:jc w:val="center"/>
                    <w:rPr>
                      <w:b/>
                      <w:color w:val="auto"/>
                      <w:szCs w:val="21"/>
                    </w:rPr>
                  </w:pPr>
                </w:p>
              </w:tc>
              <w:tc>
                <w:tcPr>
                  <w:tcW w:w="454" w:type="pct"/>
                  <w:vMerge w:val="continue"/>
                  <w:vAlign w:val="center"/>
                </w:tcPr>
                <w:p>
                  <w:pPr>
                    <w:wordWrap w:val="0"/>
                    <w:jc w:val="center"/>
                    <w:rPr>
                      <w:b/>
                      <w:color w:val="auto"/>
                      <w:szCs w:val="21"/>
                    </w:rPr>
                  </w:pPr>
                </w:p>
              </w:tc>
              <w:tc>
                <w:tcPr>
                  <w:tcW w:w="651" w:type="pct"/>
                  <w:vAlign w:val="center"/>
                </w:tcPr>
                <w:p>
                  <w:pPr>
                    <w:widowControl/>
                    <w:wordWrap w:val="0"/>
                    <w:jc w:val="center"/>
                    <w:textAlignment w:val="center"/>
                    <w:rPr>
                      <w:b/>
                      <w:color w:val="auto"/>
                      <w:szCs w:val="21"/>
                    </w:rPr>
                  </w:pPr>
                  <w:r>
                    <w:rPr>
                      <w:b/>
                      <w:color w:val="auto"/>
                      <w:kern w:val="0"/>
                      <w:szCs w:val="21"/>
                      <w:lang w:bidi="ar"/>
                    </w:rPr>
                    <w:t>经度E</w:t>
                  </w:r>
                </w:p>
              </w:tc>
              <w:tc>
                <w:tcPr>
                  <w:tcW w:w="677" w:type="pct"/>
                  <w:vAlign w:val="center"/>
                </w:tcPr>
                <w:p>
                  <w:pPr>
                    <w:widowControl/>
                    <w:wordWrap w:val="0"/>
                    <w:jc w:val="center"/>
                    <w:textAlignment w:val="center"/>
                    <w:rPr>
                      <w:b/>
                      <w:color w:val="auto"/>
                      <w:szCs w:val="21"/>
                    </w:rPr>
                  </w:pPr>
                  <w:r>
                    <w:rPr>
                      <w:b/>
                      <w:color w:val="auto"/>
                      <w:kern w:val="0"/>
                      <w:szCs w:val="21"/>
                      <w:lang w:bidi="ar"/>
                    </w:rPr>
                    <w:t>纬度N</w:t>
                  </w:r>
                </w:p>
              </w:tc>
              <w:tc>
                <w:tcPr>
                  <w:tcW w:w="443" w:type="pct"/>
                  <w:vMerge w:val="continue"/>
                  <w:vAlign w:val="center"/>
                </w:tcPr>
                <w:p>
                  <w:pPr>
                    <w:widowControl/>
                    <w:wordWrap w:val="0"/>
                    <w:jc w:val="center"/>
                    <w:textAlignment w:val="center"/>
                    <w:rPr>
                      <w:b/>
                      <w:color w:val="auto"/>
                      <w:kern w:val="0"/>
                      <w:szCs w:val="21"/>
                      <w:lang w:bidi="ar"/>
                    </w:rPr>
                  </w:pPr>
                </w:p>
              </w:tc>
              <w:tc>
                <w:tcPr>
                  <w:tcW w:w="443" w:type="pct"/>
                  <w:vAlign w:val="center"/>
                </w:tcPr>
                <w:p>
                  <w:pPr>
                    <w:widowControl/>
                    <w:wordWrap w:val="0"/>
                    <w:jc w:val="center"/>
                    <w:textAlignment w:val="center"/>
                    <w:rPr>
                      <w:b/>
                      <w:color w:val="auto"/>
                      <w:szCs w:val="21"/>
                    </w:rPr>
                  </w:pPr>
                  <w:r>
                    <w:rPr>
                      <w:b/>
                      <w:color w:val="auto"/>
                      <w:kern w:val="0"/>
                      <w:szCs w:val="21"/>
                      <w:lang w:bidi="ar"/>
                    </w:rPr>
                    <w:t>高度（m）</w:t>
                  </w:r>
                </w:p>
              </w:tc>
              <w:tc>
                <w:tcPr>
                  <w:tcW w:w="443" w:type="pct"/>
                  <w:vAlign w:val="center"/>
                </w:tcPr>
                <w:p>
                  <w:pPr>
                    <w:widowControl/>
                    <w:wordWrap w:val="0"/>
                    <w:jc w:val="center"/>
                    <w:textAlignment w:val="center"/>
                    <w:rPr>
                      <w:b/>
                      <w:color w:val="auto"/>
                      <w:szCs w:val="21"/>
                    </w:rPr>
                  </w:pPr>
                  <w:r>
                    <w:rPr>
                      <w:b/>
                      <w:color w:val="auto"/>
                      <w:kern w:val="0"/>
                      <w:szCs w:val="21"/>
                      <w:lang w:bidi="ar"/>
                    </w:rPr>
                    <w:t>内径（m）</w:t>
                  </w:r>
                </w:p>
              </w:tc>
              <w:tc>
                <w:tcPr>
                  <w:tcW w:w="504" w:type="pct"/>
                  <w:vAlign w:val="center"/>
                </w:tcPr>
                <w:p>
                  <w:pPr>
                    <w:widowControl/>
                    <w:wordWrap w:val="0"/>
                    <w:jc w:val="center"/>
                    <w:textAlignment w:val="center"/>
                    <w:rPr>
                      <w:b/>
                      <w:color w:val="auto"/>
                      <w:szCs w:val="21"/>
                    </w:rPr>
                  </w:pPr>
                  <w:r>
                    <w:rPr>
                      <w:b/>
                      <w:color w:val="auto"/>
                      <w:kern w:val="0"/>
                      <w:szCs w:val="21"/>
                      <w:lang w:bidi="ar"/>
                    </w:rPr>
                    <w:t>温度（℃）</w:t>
                  </w:r>
                </w:p>
              </w:tc>
              <w:tc>
                <w:tcPr>
                  <w:tcW w:w="622" w:type="pct"/>
                  <w:vMerge w:val="continue"/>
                  <w:vAlign w:val="center"/>
                </w:tcPr>
                <w:p>
                  <w:pPr>
                    <w:wordWrap w:val="0"/>
                    <w:jc w:val="center"/>
                    <w:rPr>
                      <w:b/>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60" w:type="pct"/>
                  <w:vAlign w:val="center"/>
                </w:tcPr>
                <w:p>
                  <w:pPr>
                    <w:pStyle w:val="32"/>
                    <w:wordWrap w:val="0"/>
                    <w:spacing w:beforeLines="0" w:afterLines="0" w:line="240" w:lineRule="auto"/>
                    <w:jc w:val="both"/>
                    <w:rPr>
                      <w:rFonts w:ascii="Times New Roman"/>
                      <w:color w:val="auto"/>
                      <w:kern w:val="2"/>
                      <w:szCs w:val="24"/>
                    </w:rPr>
                  </w:pPr>
                  <w:r>
                    <w:rPr>
                      <w:rFonts w:hint="eastAsia" w:ascii="Times New Roman"/>
                      <w:color w:val="auto"/>
                      <w:kern w:val="2"/>
                      <w:szCs w:val="24"/>
                    </w:rPr>
                    <w:t>切割、</w:t>
                  </w:r>
                  <w:r>
                    <w:rPr>
                      <w:rFonts w:ascii="Times New Roman"/>
                      <w:color w:val="auto"/>
                      <w:kern w:val="2"/>
                      <w:szCs w:val="24"/>
                    </w:rPr>
                    <w:t>打磨废气、抛丸</w:t>
                  </w:r>
                  <w:r>
                    <w:rPr>
                      <w:rFonts w:hint="eastAsia" w:ascii="Times New Roman"/>
                      <w:color w:val="auto"/>
                      <w:kern w:val="2"/>
                      <w:szCs w:val="24"/>
                      <w:lang w:eastAsia="zh-CN"/>
                    </w:rPr>
                    <w:t>、焊接</w:t>
                  </w:r>
                  <w:r>
                    <w:rPr>
                      <w:rFonts w:ascii="Times New Roman"/>
                      <w:color w:val="auto"/>
                      <w:kern w:val="2"/>
                      <w:szCs w:val="24"/>
                    </w:rPr>
                    <w:t>废气排放口</w:t>
                  </w:r>
                </w:p>
              </w:tc>
              <w:tc>
                <w:tcPr>
                  <w:tcW w:w="454" w:type="pct"/>
                  <w:vAlign w:val="center"/>
                </w:tcPr>
                <w:p>
                  <w:pPr>
                    <w:pStyle w:val="32"/>
                    <w:wordWrap w:val="0"/>
                    <w:spacing w:beforeLines="0" w:afterLines="0" w:line="240" w:lineRule="auto"/>
                    <w:rPr>
                      <w:rFonts w:ascii="Times New Roman"/>
                      <w:color w:val="auto"/>
                      <w:kern w:val="2"/>
                      <w:szCs w:val="24"/>
                    </w:rPr>
                  </w:pPr>
                  <w:r>
                    <w:rPr>
                      <w:rFonts w:ascii="Times New Roman"/>
                      <w:color w:val="auto"/>
                      <w:kern w:val="2"/>
                      <w:szCs w:val="24"/>
                    </w:rPr>
                    <w:t>DA001</w:t>
                  </w:r>
                </w:p>
              </w:tc>
              <w:tc>
                <w:tcPr>
                  <w:tcW w:w="651" w:type="pct"/>
                  <w:vAlign w:val="center"/>
                </w:tcPr>
                <w:p>
                  <w:pPr>
                    <w:pStyle w:val="32"/>
                    <w:wordWrap w:val="0"/>
                    <w:spacing w:beforeLines="0" w:afterLines="0" w:line="240" w:lineRule="auto"/>
                    <w:rPr>
                      <w:rFonts w:ascii="Times New Roman"/>
                      <w:color w:val="auto"/>
                      <w:kern w:val="2"/>
                      <w:szCs w:val="24"/>
                    </w:rPr>
                  </w:pPr>
                  <w:r>
                    <w:rPr>
                      <w:rFonts w:ascii="Times New Roman"/>
                      <w:color w:val="auto"/>
                      <w:kern w:val="2"/>
                      <w:szCs w:val="24"/>
                    </w:rPr>
                    <w:t>118.939233</w:t>
                  </w:r>
                </w:p>
              </w:tc>
              <w:tc>
                <w:tcPr>
                  <w:tcW w:w="677" w:type="pct"/>
                  <w:vAlign w:val="center"/>
                </w:tcPr>
                <w:p>
                  <w:pPr>
                    <w:pStyle w:val="32"/>
                    <w:wordWrap w:val="0"/>
                    <w:spacing w:beforeLines="0" w:afterLines="0" w:line="240" w:lineRule="auto"/>
                    <w:rPr>
                      <w:rFonts w:ascii="Times New Roman"/>
                      <w:color w:val="auto"/>
                      <w:kern w:val="2"/>
                      <w:szCs w:val="24"/>
                    </w:rPr>
                  </w:pPr>
                  <w:r>
                    <w:rPr>
                      <w:rFonts w:ascii="Times New Roman"/>
                      <w:color w:val="auto"/>
                      <w:kern w:val="2"/>
                      <w:szCs w:val="24"/>
                    </w:rPr>
                    <w:t>33.644496</w:t>
                  </w:r>
                </w:p>
              </w:tc>
              <w:tc>
                <w:tcPr>
                  <w:tcW w:w="443" w:type="pct"/>
                  <w:vAlign w:val="center"/>
                </w:tcPr>
                <w:p>
                  <w:pPr>
                    <w:pStyle w:val="32"/>
                    <w:wordWrap w:val="0"/>
                    <w:spacing w:beforeLines="0" w:afterLines="0" w:line="240" w:lineRule="auto"/>
                    <w:rPr>
                      <w:rFonts w:ascii="Times New Roman"/>
                      <w:color w:val="auto"/>
                      <w:kern w:val="2"/>
                      <w:szCs w:val="24"/>
                    </w:rPr>
                  </w:pPr>
                  <w:r>
                    <w:rPr>
                      <w:rFonts w:ascii="Times New Roman"/>
                      <w:color w:val="auto"/>
                      <w:kern w:val="2"/>
                      <w:szCs w:val="24"/>
                    </w:rPr>
                    <w:t>1</w:t>
                  </w:r>
                </w:p>
              </w:tc>
              <w:tc>
                <w:tcPr>
                  <w:tcW w:w="443" w:type="pct"/>
                  <w:vAlign w:val="center"/>
                </w:tcPr>
                <w:p>
                  <w:pPr>
                    <w:pStyle w:val="32"/>
                    <w:wordWrap w:val="0"/>
                    <w:spacing w:beforeLines="0" w:afterLines="0" w:line="240" w:lineRule="auto"/>
                    <w:rPr>
                      <w:rFonts w:ascii="Times New Roman"/>
                      <w:color w:val="auto"/>
                      <w:kern w:val="2"/>
                      <w:szCs w:val="24"/>
                    </w:rPr>
                  </w:pPr>
                  <w:r>
                    <w:rPr>
                      <w:rFonts w:ascii="Times New Roman"/>
                      <w:color w:val="auto"/>
                      <w:kern w:val="2"/>
                      <w:szCs w:val="24"/>
                    </w:rPr>
                    <w:t>15</w:t>
                  </w:r>
                </w:p>
              </w:tc>
              <w:tc>
                <w:tcPr>
                  <w:tcW w:w="443" w:type="pct"/>
                  <w:vAlign w:val="center"/>
                </w:tcPr>
                <w:p>
                  <w:pPr>
                    <w:pStyle w:val="32"/>
                    <w:wordWrap w:val="0"/>
                    <w:spacing w:beforeLines="0" w:afterLines="0" w:line="240" w:lineRule="auto"/>
                    <w:rPr>
                      <w:rFonts w:ascii="Times New Roman"/>
                      <w:color w:val="auto"/>
                      <w:kern w:val="2"/>
                      <w:szCs w:val="24"/>
                    </w:rPr>
                  </w:pPr>
                  <w:r>
                    <w:rPr>
                      <w:rFonts w:ascii="Times New Roman"/>
                      <w:color w:val="auto"/>
                      <w:szCs w:val="21"/>
                    </w:rPr>
                    <w:t>0.35</w:t>
                  </w:r>
                </w:p>
              </w:tc>
              <w:tc>
                <w:tcPr>
                  <w:tcW w:w="504" w:type="pct"/>
                  <w:vAlign w:val="center"/>
                </w:tcPr>
                <w:p>
                  <w:pPr>
                    <w:pStyle w:val="32"/>
                    <w:wordWrap w:val="0"/>
                    <w:spacing w:beforeLines="0" w:afterLines="0" w:line="240" w:lineRule="auto"/>
                    <w:rPr>
                      <w:rFonts w:ascii="Times New Roman"/>
                      <w:color w:val="auto"/>
                      <w:kern w:val="2"/>
                      <w:szCs w:val="24"/>
                    </w:rPr>
                  </w:pPr>
                  <w:r>
                    <w:rPr>
                      <w:rFonts w:ascii="Times New Roman"/>
                      <w:color w:val="auto"/>
                      <w:kern w:val="2"/>
                      <w:szCs w:val="24"/>
                    </w:rPr>
                    <w:t>25</w:t>
                  </w:r>
                </w:p>
              </w:tc>
              <w:tc>
                <w:tcPr>
                  <w:tcW w:w="622" w:type="pct"/>
                  <w:vAlign w:val="center"/>
                </w:tcPr>
                <w:p>
                  <w:pPr>
                    <w:pStyle w:val="32"/>
                    <w:wordWrap w:val="0"/>
                    <w:spacing w:beforeLines="0" w:afterLines="0" w:line="240" w:lineRule="auto"/>
                    <w:rPr>
                      <w:rFonts w:ascii="Times New Roman"/>
                      <w:color w:val="auto"/>
                      <w:kern w:val="2"/>
                      <w:szCs w:val="24"/>
                    </w:rPr>
                  </w:pPr>
                  <w:r>
                    <w:rPr>
                      <w:rFonts w:ascii="Times New Roman"/>
                      <w:color w:val="auto"/>
                      <w:kern w:val="2"/>
                      <w:szCs w:val="24"/>
                    </w:rPr>
                    <w:t>一般排放口</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60" w:type="pct"/>
                  <w:vAlign w:val="center"/>
                </w:tcPr>
                <w:p>
                  <w:pPr>
                    <w:pStyle w:val="32"/>
                    <w:wordWrap w:val="0"/>
                    <w:spacing w:beforeLines="0" w:afterLines="0" w:line="240" w:lineRule="auto"/>
                    <w:jc w:val="both"/>
                    <w:rPr>
                      <w:rFonts w:ascii="Times New Roman"/>
                      <w:color w:val="auto"/>
                      <w:kern w:val="2"/>
                      <w:szCs w:val="24"/>
                    </w:rPr>
                  </w:pPr>
                  <w:r>
                    <w:rPr>
                      <w:rFonts w:ascii="Times New Roman"/>
                      <w:color w:val="auto"/>
                      <w:kern w:val="2"/>
                      <w:szCs w:val="24"/>
                    </w:rPr>
                    <w:t>调漆废气、喷漆废气、晾干废气</w:t>
                  </w:r>
                  <w:r>
                    <w:rPr>
                      <w:rFonts w:hint="eastAsia" w:ascii="Times New Roman"/>
                      <w:color w:val="auto"/>
                      <w:kern w:val="2"/>
                      <w:szCs w:val="24"/>
                      <w:lang w:eastAsia="zh-CN"/>
                    </w:rPr>
                    <w:t>、危废库</w:t>
                  </w:r>
                  <w:r>
                    <w:rPr>
                      <w:rFonts w:ascii="Times New Roman"/>
                      <w:color w:val="auto"/>
                      <w:kern w:val="2"/>
                      <w:szCs w:val="24"/>
                    </w:rPr>
                    <w:t>排放口</w:t>
                  </w:r>
                </w:p>
              </w:tc>
              <w:tc>
                <w:tcPr>
                  <w:tcW w:w="454" w:type="pct"/>
                  <w:vAlign w:val="center"/>
                </w:tcPr>
                <w:p>
                  <w:pPr>
                    <w:pStyle w:val="32"/>
                    <w:wordWrap w:val="0"/>
                    <w:spacing w:beforeLines="0" w:afterLines="0" w:line="240" w:lineRule="auto"/>
                    <w:rPr>
                      <w:rFonts w:ascii="Times New Roman"/>
                      <w:color w:val="auto"/>
                      <w:kern w:val="2"/>
                      <w:szCs w:val="24"/>
                    </w:rPr>
                  </w:pPr>
                  <w:r>
                    <w:rPr>
                      <w:rFonts w:ascii="Times New Roman"/>
                      <w:color w:val="auto"/>
                      <w:kern w:val="2"/>
                      <w:szCs w:val="24"/>
                    </w:rPr>
                    <w:t>DA002</w:t>
                  </w:r>
                </w:p>
              </w:tc>
              <w:tc>
                <w:tcPr>
                  <w:tcW w:w="651" w:type="pct"/>
                  <w:vAlign w:val="center"/>
                </w:tcPr>
                <w:p>
                  <w:pPr>
                    <w:pStyle w:val="32"/>
                    <w:wordWrap w:val="0"/>
                    <w:spacing w:beforeLines="0" w:afterLines="0" w:line="240" w:lineRule="auto"/>
                    <w:rPr>
                      <w:rFonts w:ascii="Times New Roman"/>
                      <w:color w:val="auto"/>
                      <w:kern w:val="2"/>
                      <w:szCs w:val="24"/>
                    </w:rPr>
                  </w:pPr>
                  <w:r>
                    <w:rPr>
                      <w:rFonts w:ascii="Times New Roman"/>
                      <w:color w:val="auto"/>
                      <w:kern w:val="2"/>
                      <w:szCs w:val="24"/>
                    </w:rPr>
                    <w:t>118.939582</w:t>
                  </w:r>
                </w:p>
              </w:tc>
              <w:tc>
                <w:tcPr>
                  <w:tcW w:w="677" w:type="pct"/>
                  <w:vAlign w:val="center"/>
                </w:tcPr>
                <w:p>
                  <w:pPr>
                    <w:pStyle w:val="32"/>
                    <w:wordWrap w:val="0"/>
                    <w:spacing w:beforeLines="0" w:afterLines="0" w:line="240" w:lineRule="auto"/>
                    <w:rPr>
                      <w:rFonts w:ascii="Times New Roman"/>
                      <w:color w:val="auto"/>
                      <w:kern w:val="2"/>
                      <w:szCs w:val="24"/>
                    </w:rPr>
                  </w:pPr>
                  <w:r>
                    <w:rPr>
                      <w:rFonts w:ascii="Times New Roman"/>
                      <w:color w:val="auto"/>
                      <w:kern w:val="2"/>
                      <w:szCs w:val="24"/>
                    </w:rPr>
                    <w:t>33.644166</w:t>
                  </w:r>
                </w:p>
              </w:tc>
              <w:tc>
                <w:tcPr>
                  <w:tcW w:w="443" w:type="pct"/>
                  <w:vAlign w:val="center"/>
                </w:tcPr>
                <w:p>
                  <w:pPr>
                    <w:pStyle w:val="32"/>
                    <w:wordWrap w:val="0"/>
                    <w:spacing w:beforeLines="0" w:afterLines="0" w:line="240" w:lineRule="auto"/>
                    <w:rPr>
                      <w:rFonts w:ascii="Times New Roman"/>
                      <w:color w:val="auto"/>
                      <w:kern w:val="2"/>
                      <w:szCs w:val="24"/>
                    </w:rPr>
                  </w:pPr>
                  <w:r>
                    <w:rPr>
                      <w:rFonts w:ascii="Times New Roman"/>
                      <w:color w:val="auto"/>
                      <w:kern w:val="2"/>
                      <w:szCs w:val="24"/>
                    </w:rPr>
                    <w:t>1</w:t>
                  </w:r>
                </w:p>
              </w:tc>
              <w:tc>
                <w:tcPr>
                  <w:tcW w:w="443" w:type="pct"/>
                  <w:vAlign w:val="center"/>
                </w:tcPr>
                <w:p>
                  <w:pPr>
                    <w:pStyle w:val="32"/>
                    <w:wordWrap w:val="0"/>
                    <w:spacing w:beforeLines="0" w:afterLines="0" w:line="240" w:lineRule="auto"/>
                    <w:rPr>
                      <w:rFonts w:ascii="Times New Roman"/>
                      <w:color w:val="auto"/>
                      <w:kern w:val="2"/>
                      <w:szCs w:val="24"/>
                    </w:rPr>
                  </w:pPr>
                  <w:r>
                    <w:rPr>
                      <w:rFonts w:ascii="Times New Roman"/>
                      <w:color w:val="auto"/>
                      <w:kern w:val="2"/>
                      <w:szCs w:val="24"/>
                    </w:rPr>
                    <w:t>15</w:t>
                  </w:r>
                </w:p>
              </w:tc>
              <w:tc>
                <w:tcPr>
                  <w:tcW w:w="443" w:type="pct"/>
                  <w:vAlign w:val="center"/>
                </w:tcPr>
                <w:p>
                  <w:pPr>
                    <w:wordWrap w:val="0"/>
                    <w:jc w:val="center"/>
                    <w:rPr>
                      <w:color w:val="auto"/>
                    </w:rPr>
                  </w:pPr>
                  <w:r>
                    <w:rPr>
                      <w:color w:val="auto"/>
                      <w:szCs w:val="21"/>
                    </w:rPr>
                    <w:t>0.5</w:t>
                  </w:r>
                </w:p>
              </w:tc>
              <w:tc>
                <w:tcPr>
                  <w:tcW w:w="504" w:type="pct"/>
                  <w:vAlign w:val="center"/>
                </w:tcPr>
                <w:p>
                  <w:pPr>
                    <w:pStyle w:val="32"/>
                    <w:wordWrap w:val="0"/>
                    <w:spacing w:beforeLines="0" w:afterLines="0" w:line="240" w:lineRule="auto"/>
                    <w:rPr>
                      <w:rFonts w:ascii="Times New Roman"/>
                      <w:color w:val="auto"/>
                      <w:kern w:val="2"/>
                      <w:szCs w:val="24"/>
                    </w:rPr>
                  </w:pPr>
                  <w:r>
                    <w:rPr>
                      <w:rFonts w:ascii="Times New Roman"/>
                      <w:color w:val="auto"/>
                      <w:kern w:val="2"/>
                      <w:szCs w:val="24"/>
                    </w:rPr>
                    <w:t>25</w:t>
                  </w:r>
                </w:p>
              </w:tc>
              <w:tc>
                <w:tcPr>
                  <w:tcW w:w="622" w:type="pct"/>
                  <w:vAlign w:val="center"/>
                </w:tcPr>
                <w:p>
                  <w:pPr>
                    <w:pStyle w:val="32"/>
                    <w:wordWrap w:val="0"/>
                    <w:spacing w:beforeLines="0" w:afterLines="0" w:line="240" w:lineRule="auto"/>
                    <w:rPr>
                      <w:rFonts w:ascii="Times New Roman"/>
                      <w:color w:val="auto"/>
                      <w:kern w:val="2"/>
                      <w:szCs w:val="24"/>
                    </w:rPr>
                  </w:pPr>
                  <w:r>
                    <w:rPr>
                      <w:rFonts w:ascii="Times New Roman"/>
                      <w:color w:val="auto"/>
                      <w:kern w:val="2"/>
                      <w:szCs w:val="24"/>
                    </w:rPr>
                    <w:t>一般排放口</w:t>
                  </w:r>
                </w:p>
              </w:tc>
            </w:tr>
          </w:tbl>
          <w:p>
            <w:pPr>
              <w:pStyle w:val="2"/>
              <w:wordWrap w:val="0"/>
              <w:spacing w:line="360" w:lineRule="auto"/>
              <w:rPr>
                <w:color w:val="auto"/>
              </w:rPr>
            </w:pPr>
          </w:p>
        </w:tc>
      </w:tr>
      <w:bookmarkEnd w:id="37"/>
    </w:tbl>
    <w:p>
      <w:pPr>
        <w:pStyle w:val="17"/>
        <w:ind w:firstLine="482"/>
        <w:rPr>
          <w:rFonts w:ascii="Times New Roman" w:cs="Times New Roman"/>
          <w:color w:val="auto"/>
        </w:rPr>
        <w:sectPr>
          <w:pgSz w:w="16838" w:h="11905" w:orient="landscape"/>
          <w:pgMar w:top="1797" w:right="1383" w:bottom="1797" w:left="1327" w:header="851" w:footer="850" w:gutter="0"/>
          <w:pgBorders>
            <w:top w:val="none" w:sz="0" w:space="0"/>
            <w:left w:val="none" w:sz="0" w:space="0"/>
            <w:bottom w:val="none" w:sz="0" w:space="0"/>
            <w:right w:val="none" w:sz="0" w:space="0"/>
          </w:pgBorders>
          <w:cols w:space="720" w:num="1"/>
          <w:docGrid w:linePitch="312" w:charSpace="0"/>
        </w:sectPr>
      </w:pPr>
    </w:p>
    <w:tbl>
      <w:tblPr>
        <w:tblStyle w:val="20"/>
        <w:tblW w:w="92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297"/>
        <w:gridCol w:w="918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229" w:hRule="atLeast"/>
          <w:jc w:val="center"/>
        </w:trPr>
        <w:tc>
          <w:tcPr>
            <w:tcW w:w="506" w:type="dxa"/>
            <w:tcMar>
              <w:left w:w="28" w:type="dxa"/>
              <w:right w:w="28" w:type="dxa"/>
            </w:tcMar>
            <w:vAlign w:val="center"/>
          </w:tcPr>
          <w:p>
            <w:pPr>
              <w:wordWrap w:val="0"/>
              <w:adjustRightInd w:val="0"/>
              <w:snapToGrid w:val="0"/>
              <w:jc w:val="center"/>
              <w:rPr>
                <w:b/>
                <w:color w:val="auto"/>
                <w:sz w:val="24"/>
              </w:rPr>
            </w:pPr>
            <w:r>
              <w:rPr>
                <w:b/>
                <w:color w:val="auto"/>
                <w:sz w:val="24"/>
              </w:rPr>
              <w:t>运营</w:t>
            </w:r>
          </w:p>
          <w:p>
            <w:pPr>
              <w:wordWrap w:val="0"/>
              <w:adjustRightInd w:val="0"/>
              <w:snapToGrid w:val="0"/>
              <w:jc w:val="center"/>
              <w:rPr>
                <w:b/>
                <w:color w:val="auto"/>
                <w:sz w:val="24"/>
              </w:rPr>
            </w:pPr>
            <w:r>
              <w:rPr>
                <w:b/>
                <w:color w:val="auto"/>
                <w:sz w:val="24"/>
              </w:rPr>
              <w:t>期环</w:t>
            </w:r>
          </w:p>
          <w:p>
            <w:pPr>
              <w:wordWrap w:val="0"/>
              <w:adjustRightInd w:val="0"/>
              <w:snapToGrid w:val="0"/>
              <w:jc w:val="center"/>
              <w:rPr>
                <w:b/>
                <w:color w:val="auto"/>
                <w:sz w:val="24"/>
              </w:rPr>
            </w:pPr>
            <w:r>
              <w:rPr>
                <w:b/>
                <w:color w:val="auto"/>
                <w:sz w:val="24"/>
              </w:rPr>
              <w:t>境影</w:t>
            </w:r>
          </w:p>
          <w:p>
            <w:pPr>
              <w:wordWrap w:val="0"/>
              <w:adjustRightInd w:val="0"/>
              <w:snapToGrid w:val="0"/>
              <w:jc w:val="center"/>
              <w:rPr>
                <w:b/>
                <w:color w:val="auto"/>
                <w:sz w:val="24"/>
              </w:rPr>
            </w:pPr>
            <w:r>
              <w:rPr>
                <w:b/>
                <w:color w:val="auto"/>
                <w:sz w:val="24"/>
              </w:rPr>
              <w:t>响和</w:t>
            </w:r>
          </w:p>
          <w:p>
            <w:pPr>
              <w:wordWrap w:val="0"/>
              <w:adjustRightInd w:val="0"/>
              <w:snapToGrid w:val="0"/>
              <w:jc w:val="center"/>
              <w:rPr>
                <w:b/>
                <w:color w:val="auto"/>
                <w:sz w:val="24"/>
              </w:rPr>
            </w:pPr>
            <w:r>
              <w:rPr>
                <w:b/>
                <w:color w:val="auto"/>
                <w:sz w:val="24"/>
              </w:rPr>
              <w:t>保护</w:t>
            </w:r>
          </w:p>
          <w:p>
            <w:pPr>
              <w:wordWrap w:val="0"/>
              <w:adjustRightInd w:val="0"/>
              <w:snapToGrid w:val="0"/>
              <w:jc w:val="center"/>
              <w:rPr>
                <w:bCs/>
                <w:color w:val="auto"/>
                <w:szCs w:val="21"/>
              </w:rPr>
            </w:pPr>
            <w:r>
              <w:rPr>
                <w:b/>
                <w:color w:val="auto"/>
                <w:sz w:val="24"/>
              </w:rPr>
              <w:t>措施</w:t>
            </w:r>
          </w:p>
        </w:tc>
        <w:tc>
          <w:tcPr>
            <w:tcW w:w="8783" w:type="dxa"/>
            <w:vAlign w:val="center"/>
          </w:tcPr>
          <w:p>
            <w:pPr>
              <w:widowControl/>
              <w:autoSpaceDE w:val="0"/>
              <w:autoSpaceDN w:val="0"/>
              <w:adjustRightInd w:val="0"/>
              <w:snapToGrid w:val="0"/>
              <w:spacing w:before="120" w:beforeLines="50" w:line="360" w:lineRule="auto"/>
              <w:ind w:firstLine="482" w:firstLineChars="200"/>
              <w:jc w:val="left"/>
              <w:rPr>
                <w:b/>
                <w:color w:val="auto"/>
                <w:kern w:val="0"/>
                <w:sz w:val="24"/>
              </w:rPr>
            </w:pPr>
            <w:r>
              <w:rPr>
                <w:b/>
                <w:color w:val="auto"/>
                <w:kern w:val="0"/>
                <w:sz w:val="24"/>
              </w:rPr>
              <w:t>1.2污染源强核算过程简述</w:t>
            </w:r>
          </w:p>
          <w:p>
            <w:pPr>
              <w:pStyle w:val="42"/>
              <w:wordWrap w:val="0"/>
              <w:adjustRightInd w:val="0"/>
              <w:snapToGrid w:val="0"/>
              <w:spacing w:line="360" w:lineRule="auto"/>
              <w:ind w:firstLine="480"/>
              <w:rPr>
                <w:color w:val="auto"/>
                <w:sz w:val="24"/>
              </w:rPr>
            </w:pPr>
            <w:r>
              <w:rPr>
                <w:color w:val="auto"/>
                <w:sz w:val="24"/>
              </w:rPr>
              <w:t>建设项目生产过程的废气主要为切割废气G1、焊接废气（G2、G3）、打磨废气G4、抛丸废气G5、调漆废气G6、喷漆废气G7、晾干废气G8</w:t>
            </w:r>
            <w:r>
              <w:rPr>
                <w:rFonts w:hint="eastAsia"/>
                <w:color w:val="auto"/>
                <w:sz w:val="24"/>
                <w:lang w:eastAsia="zh-CN"/>
              </w:rPr>
              <w:t>、危废库废气</w:t>
            </w:r>
            <w:r>
              <w:rPr>
                <w:rFonts w:hint="eastAsia"/>
                <w:color w:val="auto"/>
                <w:sz w:val="24"/>
                <w:lang w:val="en-US" w:eastAsia="zh-CN"/>
              </w:rPr>
              <w:t>G9</w:t>
            </w:r>
            <w:r>
              <w:rPr>
                <w:color w:val="auto"/>
                <w:sz w:val="24"/>
              </w:rPr>
              <w:t>。</w:t>
            </w:r>
          </w:p>
          <w:p>
            <w:pPr>
              <w:autoSpaceDE w:val="0"/>
              <w:autoSpaceDN w:val="0"/>
              <w:adjustRightInd w:val="0"/>
              <w:spacing w:line="360" w:lineRule="auto"/>
              <w:ind w:firstLine="482" w:firstLineChars="200"/>
              <w:rPr>
                <w:b/>
                <w:bCs/>
                <w:color w:val="auto"/>
                <w:sz w:val="24"/>
              </w:rPr>
            </w:pPr>
            <w:r>
              <w:rPr>
                <w:b/>
                <w:bCs/>
                <w:color w:val="auto"/>
                <w:sz w:val="24"/>
              </w:rPr>
              <w:t>①等离子切割机切割废气（G1）</w:t>
            </w:r>
          </w:p>
          <w:p>
            <w:pPr>
              <w:autoSpaceDE w:val="0"/>
              <w:autoSpaceDN w:val="0"/>
              <w:adjustRightInd w:val="0"/>
              <w:spacing w:line="360" w:lineRule="auto"/>
              <w:ind w:firstLine="480" w:firstLineChars="200"/>
              <w:rPr>
                <w:rFonts w:hint="default"/>
                <w:color w:val="auto"/>
                <w:sz w:val="24"/>
                <w:szCs w:val="24"/>
                <w:lang w:val="en-US" w:eastAsia="zh-CN"/>
              </w:rPr>
            </w:pPr>
            <w:r>
              <w:rPr>
                <w:color w:val="auto"/>
                <w:sz w:val="24"/>
              </w:rPr>
              <w:t>本项目下料过程中使用等离子切割机会产生切割粉尘，等离子切割机粉尘采用袋式除尘处理，风量为</w:t>
            </w:r>
            <w:r>
              <w:rPr>
                <w:rFonts w:hint="eastAsia"/>
                <w:color w:val="auto"/>
                <w:sz w:val="24"/>
                <w:lang w:val="en-US" w:eastAsia="zh-CN"/>
              </w:rPr>
              <w:t>10000</w:t>
            </w:r>
            <w:r>
              <w:rPr>
                <w:color w:val="auto"/>
                <w:sz w:val="24"/>
              </w:rPr>
              <w:t>m³</w:t>
            </w:r>
            <w:r>
              <w:rPr>
                <w:rFonts w:hint="eastAsia"/>
                <w:color w:val="auto"/>
              </w:rPr>
              <w:t>/h</w:t>
            </w:r>
            <w:r>
              <w:rPr>
                <w:color w:val="auto"/>
                <w:sz w:val="24"/>
              </w:rPr>
              <w:t>，处理后至DA001排气筒排放。依据</w:t>
            </w:r>
            <w:r>
              <w:rPr>
                <w:color w:val="auto"/>
                <w:sz w:val="24"/>
                <w:lang w:val="en"/>
              </w:rPr>
              <w:t>《排放源统计调查产排污核算方法和系数手册》</w:t>
            </w:r>
            <w:r>
              <w:rPr>
                <w:color w:val="auto"/>
                <w:sz w:val="24"/>
              </w:rPr>
              <w:t>中33-37，431-434机械行业系数手册中04等离子切割工序产污系数，每吨原料会产生1.10kg的颗粒物，本项目原料用量为20300t/a，则等离子切割机的颗粒物产生量为22.33t/a，采用集气罩收集，收集效率以90%计</w:t>
            </w:r>
            <w:r>
              <w:rPr>
                <w:rFonts w:hint="eastAsia"/>
                <w:color w:val="auto"/>
                <w:sz w:val="24"/>
                <w:lang w:eastAsia="zh-CN"/>
              </w:rPr>
              <w:t>，根据</w:t>
            </w:r>
            <w:r>
              <w:rPr>
                <w:rFonts w:hint="eastAsia"/>
                <w:color w:val="auto"/>
                <w:kern w:val="0"/>
                <w:sz w:val="24"/>
                <w:lang w:eastAsia="zh-CN"/>
              </w:rPr>
              <w:t>《工业除尘设备设计手册》，</w:t>
            </w:r>
            <w:r>
              <w:rPr>
                <w:color w:val="auto"/>
                <w:kern w:val="0"/>
                <w:sz w:val="24"/>
              </w:rPr>
              <w:t>去除效率以</w:t>
            </w:r>
            <w:r>
              <w:rPr>
                <w:rFonts w:hint="eastAsia"/>
                <w:color w:val="auto"/>
                <w:sz w:val="24"/>
                <w:lang w:val="en-US" w:eastAsia="zh-CN"/>
              </w:rPr>
              <w:t>99.5</w:t>
            </w:r>
            <w:r>
              <w:rPr>
                <w:color w:val="auto"/>
                <w:sz w:val="24"/>
              </w:rPr>
              <w:t>%</w:t>
            </w:r>
            <w:r>
              <w:rPr>
                <w:color w:val="auto"/>
                <w:kern w:val="0"/>
                <w:sz w:val="24"/>
              </w:rPr>
              <w:t>计</w:t>
            </w:r>
            <w:r>
              <w:rPr>
                <w:color w:val="auto"/>
                <w:sz w:val="24"/>
              </w:rPr>
              <w:t>，则有组织产生量为20</w:t>
            </w:r>
            <w:r>
              <w:rPr>
                <w:rFonts w:hint="eastAsia"/>
                <w:color w:val="auto"/>
                <w:sz w:val="24"/>
                <w:lang w:val="en-US" w:eastAsia="zh-CN"/>
              </w:rPr>
              <w:t>.097</w:t>
            </w:r>
            <w:r>
              <w:rPr>
                <w:color w:val="auto"/>
                <w:sz w:val="24"/>
              </w:rPr>
              <w:t>t/a</w:t>
            </w:r>
            <w:r>
              <w:rPr>
                <w:rFonts w:hint="eastAsia"/>
                <w:color w:val="auto"/>
                <w:sz w:val="24"/>
                <w:lang w:eastAsia="zh-CN"/>
              </w:rPr>
              <w:t>，有组织</w:t>
            </w:r>
            <w:r>
              <w:rPr>
                <w:rFonts w:hint="eastAsia"/>
                <w:color w:val="auto"/>
                <w:sz w:val="24"/>
                <w:u w:val="none"/>
                <w:lang w:eastAsia="zh-CN"/>
              </w:rPr>
              <w:t>排放量为</w:t>
            </w:r>
            <w:r>
              <w:rPr>
                <w:rFonts w:hint="eastAsia"/>
                <w:color w:val="auto"/>
                <w:sz w:val="24"/>
                <w:u w:val="none"/>
                <w:lang w:val="en-US" w:eastAsia="zh-CN"/>
              </w:rPr>
              <w:t>0.1005</w:t>
            </w:r>
            <w:r>
              <w:rPr>
                <w:color w:val="auto"/>
                <w:sz w:val="24"/>
                <w:u w:val="none"/>
              </w:rPr>
              <w:t>t/a</w:t>
            </w:r>
            <w:r>
              <w:rPr>
                <w:rFonts w:hint="eastAsia"/>
                <w:color w:val="auto"/>
                <w:sz w:val="24"/>
                <w:u w:val="none"/>
                <w:lang w:eastAsia="zh-CN"/>
              </w:rPr>
              <w:t>（</w:t>
            </w:r>
            <w:r>
              <w:rPr>
                <w:rFonts w:hint="eastAsia"/>
                <w:color w:val="auto"/>
                <w:sz w:val="24"/>
                <w:u w:val="none"/>
                <w:lang w:val="en-US" w:eastAsia="zh-CN"/>
              </w:rPr>
              <w:t>0.0419kg/h，4.19mg/m</w:t>
            </w:r>
            <w:r>
              <w:rPr>
                <w:rFonts w:hint="eastAsia"/>
                <w:color w:val="auto"/>
                <w:sz w:val="24"/>
                <w:u w:val="none"/>
                <w:vertAlign w:val="superscript"/>
                <w:lang w:val="en-US" w:eastAsia="zh-CN"/>
              </w:rPr>
              <w:t>3</w:t>
            </w:r>
            <w:r>
              <w:rPr>
                <w:rFonts w:hint="eastAsia"/>
                <w:color w:val="auto"/>
                <w:sz w:val="24"/>
                <w:u w:val="none"/>
                <w:lang w:eastAsia="zh-CN"/>
              </w:rPr>
              <w:t>）。</w:t>
            </w:r>
            <w:r>
              <w:rPr>
                <w:color w:val="auto"/>
                <w:sz w:val="24"/>
              </w:rPr>
              <w:t>无组织</w:t>
            </w:r>
            <w:r>
              <w:rPr>
                <w:rFonts w:hint="eastAsia"/>
                <w:color w:val="auto"/>
                <w:kern w:val="0"/>
                <w:sz w:val="24"/>
                <w:lang w:eastAsia="zh-CN"/>
              </w:rPr>
              <w:t>总</w:t>
            </w:r>
            <w:r>
              <w:rPr>
                <w:color w:val="auto"/>
                <w:kern w:val="0"/>
                <w:sz w:val="24"/>
              </w:rPr>
              <w:t>量</w:t>
            </w:r>
            <w:r>
              <w:rPr>
                <w:color w:val="auto"/>
                <w:sz w:val="24"/>
              </w:rPr>
              <w:t>为</w:t>
            </w:r>
            <w:r>
              <w:rPr>
                <w:rFonts w:hint="eastAsia"/>
                <w:color w:val="auto"/>
                <w:sz w:val="24"/>
              </w:rPr>
              <w:t>2.233</w:t>
            </w:r>
            <w:r>
              <w:rPr>
                <w:color w:val="auto"/>
                <w:sz w:val="24"/>
              </w:rPr>
              <w:t>t/a，</w:t>
            </w:r>
            <w:r>
              <w:rPr>
                <w:rFonts w:hint="eastAsia"/>
                <w:color w:val="auto"/>
                <w:sz w:val="24"/>
                <w:szCs w:val="24"/>
              </w:rPr>
              <w:t>由于金属粉尘自身比重较大，产生后在短时间内即在操作设备区域附件自然沉降</w:t>
            </w:r>
            <w:r>
              <w:rPr>
                <w:rFonts w:hint="eastAsia"/>
                <w:color w:val="auto"/>
                <w:sz w:val="24"/>
                <w:szCs w:val="24"/>
                <w:lang w:eastAsia="zh-CN"/>
              </w:rPr>
              <w:t>，因此未被集气罩收集的约</w:t>
            </w:r>
            <w:r>
              <w:rPr>
                <w:rFonts w:hint="eastAsia"/>
                <w:color w:val="auto"/>
                <w:sz w:val="24"/>
                <w:szCs w:val="24"/>
                <w:lang w:val="en-US" w:eastAsia="zh-CN"/>
              </w:rPr>
              <w:t>90%发生自然沉降，10%无组织挥发。</w:t>
            </w:r>
            <w:r>
              <w:rPr>
                <w:color w:val="auto"/>
                <w:sz w:val="24"/>
                <w:u w:val="none"/>
              </w:rPr>
              <w:t>，无组织</w:t>
            </w:r>
            <w:r>
              <w:rPr>
                <w:rFonts w:hint="eastAsia"/>
                <w:color w:val="auto"/>
                <w:sz w:val="24"/>
                <w:u w:val="none"/>
                <w:lang w:eastAsia="zh-CN"/>
              </w:rPr>
              <w:t>排放</w:t>
            </w:r>
            <w:r>
              <w:rPr>
                <w:color w:val="auto"/>
                <w:sz w:val="24"/>
                <w:u w:val="none"/>
              </w:rPr>
              <w:t>量为</w:t>
            </w:r>
            <w:r>
              <w:rPr>
                <w:rFonts w:hint="eastAsia"/>
                <w:color w:val="auto"/>
                <w:sz w:val="24"/>
                <w:u w:val="none"/>
                <w:lang w:val="en-US" w:eastAsia="zh-CN"/>
              </w:rPr>
              <w:t>0.2233</w:t>
            </w:r>
            <w:r>
              <w:rPr>
                <w:color w:val="auto"/>
                <w:sz w:val="24"/>
                <w:u w:val="none"/>
              </w:rPr>
              <w:t>t/a</w:t>
            </w:r>
            <w:r>
              <w:rPr>
                <w:rFonts w:hint="eastAsia"/>
                <w:color w:val="auto"/>
                <w:sz w:val="24"/>
                <w:u w:val="none"/>
                <w:lang w:eastAsia="zh-CN"/>
              </w:rPr>
              <w:t>（</w:t>
            </w:r>
            <w:r>
              <w:rPr>
                <w:rFonts w:hint="eastAsia"/>
                <w:color w:val="auto"/>
                <w:sz w:val="24"/>
                <w:u w:val="none"/>
                <w:lang w:val="en-US" w:eastAsia="zh-CN"/>
              </w:rPr>
              <w:t>0.093kg/h</w:t>
            </w:r>
            <w:r>
              <w:rPr>
                <w:rFonts w:hint="eastAsia"/>
                <w:color w:val="auto"/>
                <w:sz w:val="24"/>
                <w:u w:val="none"/>
                <w:lang w:eastAsia="zh-CN"/>
              </w:rPr>
              <w:t>）。</w:t>
            </w:r>
            <w:r>
              <w:rPr>
                <w:rFonts w:hint="eastAsia"/>
                <w:color w:val="auto"/>
                <w:sz w:val="24"/>
                <w:szCs w:val="24"/>
                <w:lang w:eastAsia="zh-CN"/>
              </w:rPr>
              <w:t>自然沉降产生的废金属屑</w:t>
            </w:r>
            <w:r>
              <w:rPr>
                <w:rFonts w:hint="eastAsia"/>
                <w:color w:val="auto"/>
                <w:sz w:val="24"/>
                <w:szCs w:val="24"/>
                <w:lang w:val="en-US" w:eastAsia="zh-CN"/>
              </w:rPr>
              <w:t>2.0097t/a。</w:t>
            </w:r>
          </w:p>
          <w:p>
            <w:pPr>
              <w:autoSpaceDE w:val="0"/>
              <w:autoSpaceDN w:val="0"/>
              <w:adjustRightInd w:val="0"/>
              <w:spacing w:line="360" w:lineRule="auto"/>
              <w:ind w:firstLine="482" w:firstLineChars="200"/>
              <w:rPr>
                <w:b/>
                <w:bCs/>
                <w:color w:val="auto"/>
                <w:sz w:val="24"/>
              </w:rPr>
            </w:pPr>
            <w:r>
              <w:rPr>
                <w:rFonts w:hint="eastAsia"/>
                <w:b/>
                <w:bCs/>
                <w:color w:val="auto"/>
                <w:sz w:val="24"/>
              </w:rPr>
              <w:t>②</w:t>
            </w:r>
            <w:r>
              <w:rPr>
                <w:b/>
                <w:bCs/>
                <w:color w:val="auto"/>
                <w:sz w:val="24"/>
              </w:rPr>
              <w:t>焊接废气（G2、G3）</w:t>
            </w:r>
          </w:p>
          <w:p>
            <w:pPr>
              <w:autoSpaceDE w:val="0"/>
              <w:autoSpaceDN w:val="0"/>
              <w:adjustRightInd w:val="0"/>
              <w:spacing w:line="360" w:lineRule="auto"/>
              <w:ind w:firstLine="480" w:firstLineChars="200"/>
              <w:rPr>
                <w:color w:val="auto"/>
                <w:sz w:val="24"/>
              </w:rPr>
            </w:pPr>
            <w:r>
              <w:rPr>
                <w:color w:val="auto"/>
                <w:sz w:val="24"/>
              </w:rPr>
              <w:t>本项目焊接过程会产生焊接烟尘，使用的</w:t>
            </w:r>
            <w:r>
              <w:rPr>
                <w:rFonts w:hint="eastAsia"/>
                <w:color w:val="auto"/>
                <w:sz w:val="24"/>
              </w:rPr>
              <w:t>三</w:t>
            </w:r>
            <w:r>
              <w:rPr>
                <w:color w:val="auto"/>
                <w:sz w:val="24"/>
              </w:rPr>
              <w:t>种焊接方式，依据</w:t>
            </w:r>
            <w:r>
              <w:rPr>
                <w:color w:val="auto"/>
                <w:sz w:val="24"/>
                <w:lang w:val="en"/>
              </w:rPr>
              <w:t>《排放源统计调查产排污核算方法和系数手册》</w:t>
            </w:r>
            <w:r>
              <w:rPr>
                <w:color w:val="auto"/>
                <w:sz w:val="24"/>
              </w:rPr>
              <w:t>中33-37，431-434机械行业系数手册中09焊接工序产排污系数，采用手工焊，每吨钛钙型焊条原料会产生20.2kg的颗粒物；采用二氧化碳气体保护焊，每吨药芯焊丝原料会产生20.5kg的颗粒物；采用埋弧焊，每吨实心焊丝原料会产生9.19kg的颗粒物。</w:t>
            </w:r>
          </w:p>
          <w:p>
            <w:pPr>
              <w:autoSpaceDE w:val="0"/>
              <w:autoSpaceDN w:val="0"/>
              <w:adjustRightInd w:val="0"/>
              <w:spacing w:line="360" w:lineRule="auto"/>
              <w:ind w:firstLine="480" w:firstLineChars="200"/>
              <w:jc w:val="left"/>
              <w:rPr>
                <w:color w:val="auto"/>
                <w:sz w:val="24"/>
              </w:rPr>
            </w:pPr>
            <w:r>
              <w:rPr>
                <w:color w:val="auto"/>
                <w:sz w:val="24"/>
              </w:rPr>
              <w:t>本项目钛钙型焊条原料年用量为0.5t/a，则手弧焊焊接烟尘的产生量为0.01t/a；药芯焊丝原料年用量为2t/a，则气体保护焊焊接烟尘的产生量为0.041t/a；埋弧焊丝原料年用量约为2.5t，则埋弧焊焊接烟尘的产生量为0.023t/a。</w:t>
            </w:r>
            <w:r>
              <w:rPr>
                <w:rFonts w:hint="eastAsia"/>
                <w:color w:val="auto"/>
                <w:sz w:val="24"/>
                <w:lang w:eastAsia="zh-CN"/>
              </w:rPr>
              <w:t>合计焊接烟尘产生量为</w:t>
            </w:r>
            <w:r>
              <w:rPr>
                <w:rFonts w:hint="eastAsia"/>
                <w:color w:val="auto"/>
                <w:sz w:val="24"/>
                <w:lang w:val="en-US" w:eastAsia="zh-CN"/>
              </w:rPr>
              <w:t>0.074</w:t>
            </w:r>
            <w:r>
              <w:rPr>
                <w:color w:val="auto"/>
                <w:sz w:val="24"/>
              </w:rPr>
              <w:t>t/a</w:t>
            </w:r>
            <w:r>
              <w:rPr>
                <w:rFonts w:hint="eastAsia"/>
                <w:color w:val="auto"/>
                <w:sz w:val="24"/>
                <w:lang w:eastAsia="zh-CN"/>
              </w:rPr>
              <w:t>。</w:t>
            </w:r>
            <w:r>
              <w:rPr>
                <w:color w:val="auto"/>
                <w:kern w:val="0"/>
                <w:sz w:val="24"/>
              </w:rPr>
              <w:t>采用集气罩进行收集，配套风量</w:t>
            </w:r>
            <w:r>
              <w:rPr>
                <w:rFonts w:hint="eastAsia"/>
                <w:color w:val="auto"/>
                <w:kern w:val="0"/>
                <w:sz w:val="24"/>
                <w:lang w:val="en-US" w:eastAsia="zh-CN"/>
              </w:rPr>
              <w:t>10</w:t>
            </w:r>
            <w:r>
              <w:rPr>
                <w:color w:val="auto"/>
                <w:kern w:val="0"/>
                <w:sz w:val="24"/>
              </w:rPr>
              <w:t>000m</w:t>
            </w:r>
            <w:r>
              <w:rPr>
                <w:color w:val="auto"/>
                <w:kern w:val="0"/>
                <w:sz w:val="24"/>
                <w:vertAlign w:val="superscript"/>
              </w:rPr>
              <w:t>3</w:t>
            </w:r>
            <w:r>
              <w:rPr>
                <w:color w:val="auto"/>
                <w:kern w:val="0"/>
                <w:sz w:val="24"/>
              </w:rPr>
              <w:t>/h，收集效率以90%计，则颗粒物有组织产生量为</w:t>
            </w:r>
            <w:r>
              <w:rPr>
                <w:rFonts w:hint="eastAsia"/>
                <w:color w:val="auto"/>
                <w:kern w:val="0"/>
                <w:sz w:val="24"/>
                <w:lang w:val="en-US" w:eastAsia="zh-CN"/>
              </w:rPr>
              <w:t>0.067</w:t>
            </w:r>
            <w:r>
              <w:rPr>
                <w:color w:val="auto"/>
                <w:kern w:val="0"/>
                <w:sz w:val="24"/>
              </w:rPr>
              <w:t>t/a（产生速率为</w:t>
            </w:r>
            <w:r>
              <w:rPr>
                <w:rFonts w:hint="eastAsia"/>
                <w:color w:val="auto"/>
                <w:kern w:val="0"/>
                <w:sz w:val="24"/>
                <w:lang w:val="en-US" w:eastAsia="zh-CN"/>
              </w:rPr>
              <w:t>0.028</w:t>
            </w:r>
            <w:r>
              <w:rPr>
                <w:color w:val="auto"/>
                <w:kern w:val="0"/>
                <w:sz w:val="24"/>
              </w:rPr>
              <w:t>kg/h，产生浓度为</w:t>
            </w:r>
            <w:r>
              <w:rPr>
                <w:rFonts w:hint="eastAsia"/>
                <w:color w:val="auto"/>
                <w:kern w:val="0"/>
                <w:sz w:val="24"/>
                <w:lang w:val="en-US" w:eastAsia="zh-CN"/>
              </w:rPr>
              <w:t>2.79</w:t>
            </w:r>
            <w:r>
              <w:rPr>
                <w:color w:val="auto"/>
                <w:kern w:val="0"/>
                <w:sz w:val="24"/>
              </w:rPr>
              <w:t>mg/m</w:t>
            </w:r>
            <w:r>
              <w:rPr>
                <w:color w:val="auto"/>
                <w:kern w:val="0"/>
                <w:sz w:val="24"/>
                <w:vertAlign w:val="superscript"/>
              </w:rPr>
              <w:t>3</w:t>
            </w:r>
            <w:r>
              <w:rPr>
                <w:color w:val="auto"/>
                <w:kern w:val="0"/>
                <w:sz w:val="24"/>
              </w:rPr>
              <w:t>），通过集气罩+布袋除尘器进行</w:t>
            </w:r>
            <w:r>
              <w:rPr>
                <w:rFonts w:hint="eastAsia"/>
                <w:color w:val="auto"/>
                <w:kern w:val="0"/>
                <w:sz w:val="24"/>
                <w:lang w:eastAsia="zh-CN"/>
              </w:rPr>
              <w:t>处理</w:t>
            </w:r>
            <w:r>
              <w:rPr>
                <w:color w:val="auto"/>
                <w:sz w:val="24"/>
              </w:rPr>
              <w:t>，处理</w:t>
            </w:r>
            <w:r>
              <w:rPr>
                <w:color w:val="auto"/>
                <w:kern w:val="0"/>
                <w:sz w:val="24"/>
              </w:rPr>
              <w:t>经DA001排气筒排放，</w:t>
            </w:r>
            <w:r>
              <w:rPr>
                <w:rFonts w:hint="eastAsia"/>
                <w:color w:val="auto"/>
                <w:sz w:val="24"/>
                <w:lang w:eastAsia="zh-CN"/>
              </w:rPr>
              <w:t>根据</w:t>
            </w:r>
            <w:r>
              <w:rPr>
                <w:rFonts w:hint="eastAsia"/>
                <w:color w:val="auto"/>
                <w:kern w:val="0"/>
                <w:sz w:val="24"/>
                <w:lang w:eastAsia="zh-CN"/>
              </w:rPr>
              <w:t>《工业除尘设备设计手册》，</w:t>
            </w:r>
            <w:r>
              <w:rPr>
                <w:color w:val="auto"/>
                <w:kern w:val="0"/>
                <w:sz w:val="24"/>
              </w:rPr>
              <w:t>去除效率以99</w:t>
            </w:r>
            <w:r>
              <w:rPr>
                <w:rFonts w:hint="eastAsia"/>
                <w:color w:val="auto"/>
                <w:kern w:val="0"/>
                <w:sz w:val="24"/>
                <w:lang w:val="en-US" w:eastAsia="zh-CN"/>
              </w:rPr>
              <w:t>.5</w:t>
            </w:r>
            <w:r>
              <w:rPr>
                <w:color w:val="auto"/>
                <w:kern w:val="0"/>
                <w:sz w:val="24"/>
              </w:rPr>
              <w:t>%计，则颗粒物有组织排放量为0.</w:t>
            </w:r>
            <w:r>
              <w:rPr>
                <w:rFonts w:hint="eastAsia"/>
                <w:color w:val="auto"/>
                <w:kern w:val="0"/>
                <w:sz w:val="24"/>
                <w:lang w:val="en-US" w:eastAsia="zh-CN"/>
              </w:rPr>
              <w:t>0003</w:t>
            </w:r>
            <w:r>
              <w:rPr>
                <w:color w:val="auto"/>
                <w:kern w:val="0"/>
                <w:sz w:val="24"/>
              </w:rPr>
              <w:t>t/a（排放速率为0.00</w:t>
            </w:r>
            <w:r>
              <w:rPr>
                <w:rFonts w:hint="eastAsia"/>
                <w:color w:val="auto"/>
                <w:kern w:val="0"/>
                <w:sz w:val="24"/>
                <w:lang w:val="en-US" w:eastAsia="zh-CN"/>
              </w:rPr>
              <w:t>01</w:t>
            </w:r>
            <w:r>
              <w:rPr>
                <w:color w:val="auto"/>
                <w:kern w:val="0"/>
                <w:sz w:val="24"/>
              </w:rPr>
              <w:t>kg/h，排放浓度为</w:t>
            </w:r>
            <w:r>
              <w:rPr>
                <w:rFonts w:hint="eastAsia"/>
                <w:color w:val="auto"/>
                <w:kern w:val="0"/>
                <w:sz w:val="24"/>
                <w:lang w:val="en-US" w:eastAsia="zh-CN"/>
              </w:rPr>
              <w:t>0.0125</w:t>
            </w:r>
            <w:r>
              <w:rPr>
                <w:color w:val="auto"/>
                <w:kern w:val="0"/>
                <w:sz w:val="24"/>
              </w:rPr>
              <w:t>mg/m</w:t>
            </w:r>
            <w:r>
              <w:rPr>
                <w:color w:val="auto"/>
                <w:kern w:val="0"/>
                <w:sz w:val="24"/>
                <w:vertAlign w:val="superscript"/>
              </w:rPr>
              <w:t>3</w:t>
            </w:r>
            <w:r>
              <w:rPr>
                <w:color w:val="auto"/>
                <w:kern w:val="0"/>
                <w:sz w:val="24"/>
              </w:rPr>
              <w:t>）。颗粒物无组织</w:t>
            </w:r>
            <w:r>
              <w:rPr>
                <w:rFonts w:hint="eastAsia"/>
                <w:color w:val="auto"/>
                <w:kern w:val="0"/>
                <w:sz w:val="24"/>
                <w:lang w:eastAsia="zh-CN"/>
              </w:rPr>
              <w:t>总</w:t>
            </w:r>
            <w:r>
              <w:rPr>
                <w:color w:val="auto"/>
                <w:kern w:val="0"/>
                <w:sz w:val="24"/>
              </w:rPr>
              <w:t>量为0.</w:t>
            </w:r>
            <w:r>
              <w:rPr>
                <w:rFonts w:hint="eastAsia"/>
                <w:color w:val="auto"/>
                <w:kern w:val="0"/>
                <w:sz w:val="24"/>
                <w:lang w:val="en-US" w:eastAsia="zh-CN"/>
              </w:rPr>
              <w:t>007</w:t>
            </w:r>
            <w:r>
              <w:rPr>
                <w:color w:val="auto"/>
                <w:kern w:val="0"/>
                <w:sz w:val="24"/>
              </w:rPr>
              <w:t>t/a</w:t>
            </w:r>
            <w:r>
              <w:rPr>
                <w:rFonts w:hint="eastAsia"/>
                <w:color w:val="auto"/>
                <w:kern w:val="0"/>
                <w:sz w:val="24"/>
                <w:lang w:eastAsia="zh-CN"/>
              </w:rPr>
              <w:t>（</w:t>
            </w:r>
            <w:r>
              <w:rPr>
                <w:color w:val="auto"/>
                <w:kern w:val="0"/>
                <w:sz w:val="24"/>
              </w:rPr>
              <w:t>排放速率为0.00</w:t>
            </w:r>
            <w:r>
              <w:rPr>
                <w:rFonts w:hint="eastAsia"/>
                <w:color w:val="auto"/>
                <w:kern w:val="0"/>
                <w:sz w:val="24"/>
                <w:lang w:val="en-US" w:eastAsia="zh-CN"/>
              </w:rPr>
              <w:t>29</w:t>
            </w:r>
            <w:r>
              <w:rPr>
                <w:color w:val="auto"/>
                <w:kern w:val="0"/>
                <w:sz w:val="24"/>
              </w:rPr>
              <w:t>kg/h</w:t>
            </w:r>
            <w:r>
              <w:rPr>
                <w:rFonts w:hint="eastAsia"/>
                <w:color w:val="auto"/>
                <w:kern w:val="0"/>
                <w:sz w:val="24"/>
                <w:lang w:eastAsia="zh-CN"/>
              </w:rPr>
              <w:t>）</w:t>
            </w:r>
            <w:r>
              <w:rPr>
                <w:color w:val="auto"/>
                <w:sz w:val="24"/>
              </w:rPr>
              <w:t>。</w:t>
            </w:r>
          </w:p>
          <w:p>
            <w:pPr>
              <w:autoSpaceDE w:val="0"/>
              <w:autoSpaceDN w:val="0"/>
              <w:adjustRightInd w:val="0"/>
              <w:spacing w:line="360" w:lineRule="auto"/>
              <w:ind w:firstLine="482" w:firstLineChars="200"/>
              <w:jc w:val="left"/>
              <w:rPr>
                <w:rFonts w:hint="eastAsia"/>
                <w:b/>
                <w:bCs/>
                <w:color w:val="auto"/>
                <w:sz w:val="24"/>
              </w:rPr>
            </w:pPr>
          </w:p>
          <w:p>
            <w:pPr>
              <w:autoSpaceDE w:val="0"/>
              <w:autoSpaceDN w:val="0"/>
              <w:adjustRightInd w:val="0"/>
              <w:spacing w:line="360" w:lineRule="auto"/>
              <w:ind w:firstLine="482" w:firstLineChars="200"/>
              <w:jc w:val="left"/>
              <w:rPr>
                <w:rFonts w:hint="eastAsia"/>
                <w:b/>
                <w:bCs/>
                <w:color w:val="auto"/>
                <w:sz w:val="24"/>
              </w:rPr>
            </w:pPr>
          </w:p>
          <w:p>
            <w:pPr>
              <w:autoSpaceDE w:val="0"/>
              <w:autoSpaceDN w:val="0"/>
              <w:adjustRightInd w:val="0"/>
              <w:spacing w:line="360" w:lineRule="auto"/>
              <w:ind w:firstLine="482" w:firstLineChars="200"/>
              <w:jc w:val="left"/>
              <w:rPr>
                <w:b/>
                <w:bCs/>
                <w:color w:val="auto"/>
                <w:sz w:val="24"/>
              </w:rPr>
            </w:pPr>
            <w:r>
              <w:rPr>
                <w:rFonts w:hint="eastAsia"/>
                <w:b/>
                <w:bCs/>
                <w:color w:val="auto"/>
                <w:sz w:val="24"/>
              </w:rPr>
              <w:t>③</w:t>
            </w:r>
            <w:r>
              <w:rPr>
                <w:b/>
                <w:bCs/>
                <w:color w:val="auto"/>
                <w:sz w:val="24"/>
              </w:rPr>
              <w:t>打磨粉尘（G4）</w:t>
            </w:r>
          </w:p>
          <w:p>
            <w:pPr>
              <w:autoSpaceDE w:val="0"/>
              <w:autoSpaceDN w:val="0"/>
              <w:adjustRightInd w:val="0"/>
              <w:snapToGrid w:val="0"/>
              <w:spacing w:line="360" w:lineRule="auto"/>
              <w:ind w:firstLine="480" w:firstLineChars="200"/>
              <w:rPr>
                <w:rFonts w:hint="eastAsia" w:eastAsia="宋体"/>
                <w:color w:val="auto"/>
                <w:kern w:val="0"/>
                <w:sz w:val="24"/>
                <w:lang w:eastAsia="zh-CN"/>
              </w:rPr>
            </w:pPr>
            <w:r>
              <w:rPr>
                <w:color w:val="auto"/>
                <w:kern w:val="0"/>
                <w:sz w:val="24"/>
              </w:rPr>
              <w:t>钢结构焊接后需要进行打磨使其表面平整光滑，该工序会产生少量打磨粉尘，主要污染物为颗粒物。参考《排放源统计调查产排污核算方法和系数手册》-33-37，431-434机械行业系数手册，06干式预处理，抛丸、喷砂、打磨、滚筒的颗粒物排放系数为2.19千克/吨-产品，根据企业提供的资料可知，打磨区域约占原材料20300t的5%</w:t>
            </w:r>
            <w:r>
              <w:rPr>
                <w:color w:val="auto"/>
              </w:rPr>
              <w:t>，</w:t>
            </w:r>
            <w:r>
              <w:rPr>
                <w:color w:val="auto"/>
                <w:kern w:val="0"/>
                <w:sz w:val="24"/>
              </w:rPr>
              <w:t>约1015t/a，年运行时间2400h，则打磨过程中颗粒物产生量为2.22t/a，采用集气罩进行收集，配套风量</w:t>
            </w:r>
            <w:r>
              <w:rPr>
                <w:rFonts w:hint="eastAsia"/>
                <w:color w:val="auto"/>
                <w:kern w:val="0"/>
                <w:sz w:val="24"/>
                <w:lang w:val="en-US" w:eastAsia="zh-CN"/>
              </w:rPr>
              <w:t>10</w:t>
            </w:r>
            <w:r>
              <w:rPr>
                <w:color w:val="auto"/>
                <w:kern w:val="0"/>
                <w:sz w:val="24"/>
              </w:rPr>
              <w:t>000m</w:t>
            </w:r>
            <w:r>
              <w:rPr>
                <w:color w:val="auto"/>
                <w:kern w:val="0"/>
                <w:sz w:val="24"/>
                <w:vertAlign w:val="superscript"/>
              </w:rPr>
              <w:t>3</w:t>
            </w:r>
            <w:r>
              <w:rPr>
                <w:color w:val="auto"/>
                <w:kern w:val="0"/>
                <w:sz w:val="24"/>
              </w:rPr>
              <w:t>/h，收集效率以90%计，则颗粒物有组织产生量为</w:t>
            </w:r>
            <w:r>
              <w:rPr>
                <w:rFonts w:hint="eastAsia"/>
                <w:color w:val="auto"/>
                <w:kern w:val="0"/>
                <w:sz w:val="24"/>
                <w:lang w:val="en-US" w:eastAsia="zh-CN"/>
              </w:rPr>
              <w:t>1.998</w:t>
            </w:r>
            <w:r>
              <w:rPr>
                <w:color w:val="auto"/>
                <w:kern w:val="0"/>
                <w:sz w:val="24"/>
              </w:rPr>
              <w:t>t/a（产生速率为0.83kg/h，产生浓度为</w:t>
            </w:r>
            <w:r>
              <w:rPr>
                <w:rFonts w:hint="eastAsia"/>
                <w:color w:val="auto"/>
                <w:kern w:val="0"/>
                <w:sz w:val="24"/>
                <w:lang w:val="en-US" w:eastAsia="zh-CN"/>
              </w:rPr>
              <w:t>83.25</w:t>
            </w:r>
            <w:r>
              <w:rPr>
                <w:color w:val="auto"/>
                <w:kern w:val="0"/>
                <w:sz w:val="24"/>
              </w:rPr>
              <w:t>mg/m</w:t>
            </w:r>
            <w:r>
              <w:rPr>
                <w:color w:val="auto"/>
                <w:kern w:val="0"/>
                <w:sz w:val="24"/>
                <w:vertAlign w:val="superscript"/>
              </w:rPr>
              <w:t xml:space="preserve">3 </w:t>
            </w:r>
            <w:r>
              <w:rPr>
                <w:color w:val="auto"/>
                <w:kern w:val="0"/>
                <w:sz w:val="24"/>
              </w:rPr>
              <w:t>），通过集气罩+布袋除尘器进行</w:t>
            </w:r>
            <w:r>
              <w:rPr>
                <w:rFonts w:hint="eastAsia"/>
                <w:color w:val="auto"/>
                <w:kern w:val="0"/>
                <w:sz w:val="24"/>
                <w:lang w:eastAsia="zh-CN"/>
              </w:rPr>
              <w:t>处理</w:t>
            </w:r>
            <w:r>
              <w:rPr>
                <w:color w:val="auto"/>
                <w:sz w:val="24"/>
              </w:rPr>
              <w:t>，处理</w:t>
            </w:r>
            <w:r>
              <w:rPr>
                <w:color w:val="auto"/>
                <w:kern w:val="0"/>
                <w:sz w:val="24"/>
              </w:rPr>
              <w:t>经DA001排气筒排放，</w:t>
            </w:r>
            <w:r>
              <w:rPr>
                <w:rFonts w:hint="eastAsia"/>
                <w:color w:val="auto"/>
                <w:sz w:val="24"/>
                <w:lang w:eastAsia="zh-CN"/>
              </w:rPr>
              <w:t>根据</w:t>
            </w:r>
            <w:r>
              <w:rPr>
                <w:rFonts w:hint="eastAsia"/>
                <w:color w:val="auto"/>
                <w:kern w:val="0"/>
                <w:sz w:val="24"/>
                <w:lang w:eastAsia="zh-CN"/>
              </w:rPr>
              <w:t>《工业除尘设备设计手册》，</w:t>
            </w:r>
            <w:r>
              <w:rPr>
                <w:color w:val="auto"/>
                <w:kern w:val="0"/>
                <w:sz w:val="24"/>
              </w:rPr>
              <w:t>去除效率以99</w:t>
            </w:r>
            <w:r>
              <w:rPr>
                <w:rFonts w:hint="eastAsia"/>
                <w:color w:val="auto"/>
                <w:kern w:val="0"/>
                <w:sz w:val="24"/>
                <w:lang w:val="en-US" w:eastAsia="zh-CN"/>
              </w:rPr>
              <w:t>.5</w:t>
            </w:r>
            <w:r>
              <w:rPr>
                <w:color w:val="auto"/>
                <w:kern w:val="0"/>
                <w:sz w:val="24"/>
              </w:rPr>
              <w:t>%计，则颗粒物有组织排放量为0.0</w:t>
            </w:r>
            <w:r>
              <w:rPr>
                <w:rFonts w:hint="eastAsia"/>
                <w:color w:val="auto"/>
                <w:kern w:val="0"/>
                <w:sz w:val="24"/>
                <w:lang w:val="en-US" w:eastAsia="zh-CN"/>
              </w:rPr>
              <w:t>09</w:t>
            </w:r>
            <w:r>
              <w:rPr>
                <w:color w:val="auto"/>
                <w:kern w:val="0"/>
                <w:sz w:val="24"/>
              </w:rPr>
              <w:t>t/a（排放速率为0.00</w:t>
            </w:r>
            <w:r>
              <w:rPr>
                <w:rFonts w:hint="eastAsia"/>
                <w:color w:val="auto"/>
                <w:kern w:val="0"/>
                <w:sz w:val="24"/>
                <w:lang w:val="en-US" w:eastAsia="zh-CN"/>
              </w:rPr>
              <w:t>38</w:t>
            </w:r>
            <w:r>
              <w:rPr>
                <w:color w:val="auto"/>
                <w:kern w:val="0"/>
                <w:sz w:val="24"/>
              </w:rPr>
              <w:t>kg/h，排放浓度为</w:t>
            </w:r>
            <w:r>
              <w:rPr>
                <w:rFonts w:hint="eastAsia"/>
                <w:color w:val="auto"/>
                <w:kern w:val="0"/>
                <w:sz w:val="24"/>
                <w:lang w:val="en-US" w:eastAsia="zh-CN"/>
              </w:rPr>
              <w:t>0.375</w:t>
            </w:r>
            <w:r>
              <w:rPr>
                <w:color w:val="auto"/>
                <w:kern w:val="0"/>
                <w:sz w:val="24"/>
              </w:rPr>
              <w:t>mg/m</w:t>
            </w:r>
            <w:r>
              <w:rPr>
                <w:color w:val="auto"/>
                <w:kern w:val="0"/>
                <w:sz w:val="24"/>
                <w:vertAlign w:val="superscript"/>
              </w:rPr>
              <w:t>3</w:t>
            </w:r>
            <w:r>
              <w:rPr>
                <w:color w:val="auto"/>
                <w:kern w:val="0"/>
                <w:sz w:val="24"/>
              </w:rPr>
              <w:t>）。颗粒物无组织</w:t>
            </w:r>
            <w:r>
              <w:rPr>
                <w:rFonts w:hint="eastAsia"/>
                <w:color w:val="auto"/>
                <w:kern w:val="0"/>
                <w:sz w:val="24"/>
                <w:lang w:eastAsia="zh-CN"/>
              </w:rPr>
              <w:t>总</w:t>
            </w:r>
            <w:r>
              <w:rPr>
                <w:color w:val="auto"/>
                <w:kern w:val="0"/>
                <w:sz w:val="24"/>
              </w:rPr>
              <w:t>量为0.22</w:t>
            </w:r>
            <w:r>
              <w:rPr>
                <w:rFonts w:hint="eastAsia"/>
                <w:color w:val="auto"/>
                <w:kern w:val="0"/>
                <w:sz w:val="24"/>
                <w:lang w:val="en-US" w:eastAsia="zh-CN"/>
              </w:rPr>
              <w:t>2</w:t>
            </w:r>
            <w:r>
              <w:rPr>
                <w:color w:val="auto"/>
                <w:kern w:val="0"/>
                <w:sz w:val="24"/>
              </w:rPr>
              <w:t>t/a</w:t>
            </w:r>
            <w:r>
              <w:rPr>
                <w:rFonts w:hint="eastAsia"/>
                <w:color w:val="auto"/>
                <w:kern w:val="0"/>
                <w:sz w:val="24"/>
                <w:lang w:eastAsia="zh-CN"/>
              </w:rPr>
              <w:t>，</w:t>
            </w:r>
            <w:r>
              <w:rPr>
                <w:rFonts w:hint="eastAsia"/>
                <w:color w:val="auto"/>
                <w:sz w:val="24"/>
                <w:szCs w:val="24"/>
              </w:rPr>
              <w:t>由于金属粉尘自身比重较大，产生后在短时间内即在操作设备区域附件自然沉降</w:t>
            </w:r>
            <w:r>
              <w:rPr>
                <w:rFonts w:hint="eastAsia"/>
                <w:color w:val="auto"/>
                <w:sz w:val="24"/>
                <w:szCs w:val="24"/>
                <w:lang w:eastAsia="zh-CN"/>
              </w:rPr>
              <w:t>，因此未被集气罩收集的约</w:t>
            </w:r>
            <w:r>
              <w:rPr>
                <w:rFonts w:hint="eastAsia"/>
                <w:color w:val="auto"/>
                <w:sz w:val="24"/>
                <w:szCs w:val="24"/>
                <w:lang w:val="en-US" w:eastAsia="zh-CN"/>
              </w:rPr>
              <w:t>90%发生自然沉降，10%无组织挥发，则</w:t>
            </w:r>
            <w:r>
              <w:rPr>
                <w:b w:val="0"/>
                <w:bCs w:val="0"/>
                <w:color w:val="auto"/>
                <w:kern w:val="0"/>
                <w:sz w:val="24"/>
              </w:rPr>
              <w:t>颗粒物无组织产生量为0.</w:t>
            </w:r>
            <w:r>
              <w:rPr>
                <w:rFonts w:hint="eastAsia"/>
                <w:b w:val="0"/>
                <w:bCs w:val="0"/>
                <w:color w:val="auto"/>
                <w:kern w:val="0"/>
                <w:sz w:val="24"/>
                <w:lang w:val="en-US" w:eastAsia="zh-CN"/>
              </w:rPr>
              <w:t>023</w:t>
            </w:r>
            <w:r>
              <w:rPr>
                <w:b w:val="0"/>
                <w:bCs w:val="0"/>
                <w:color w:val="auto"/>
                <w:kern w:val="0"/>
                <w:sz w:val="24"/>
              </w:rPr>
              <w:t>t/a</w:t>
            </w:r>
            <w:r>
              <w:rPr>
                <w:rFonts w:hint="eastAsia"/>
                <w:b w:val="0"/>
                <w:bCs w:val="0"/>
                <w:color w:val="auto"/>
                <w:kern w:val="0"/>
                <w:sz w:val="24"/>
                <w:lang w:eastAsia="zh-CN"/>
              </w:rPr>
              <w:t>（</w:t>
            </w:r>
            <w:r>
              <w:rPr>
                <w:rFonts w:hint="eastAsia"/>
                <w:b w:val="0"/>
                <w:bCs w:val="0"/>
                <w:color w:val="auto"/>
                <w:kern w:val="0"/>
                <w:sz w:val="24"/>
                <w:lang w:val="en-US" w:eastAsia="zh-CN"/>
              </w:rPr>
              <w:t>0.009kg/h</w:t>
            </w:r>
            <w:r>
              <w:rPr>
                <w:rFonts w:hint="eastAsia"/>
                <w:b w:val="0"/>
                <w:bCs w:val="0"/>
                <w:color w:val="auto"/>
                <w:kern w:val="0"/>
                <w:sz w:val="24"/>
                <w:lang w:eastAsia="zh-CN"/>
              </w:rPr>
              <w:t>）</w:t>
            </w:r>
            <w:r>
              <w:rPr>
                <w:rFonts w:hint="eastAsia"/>
                <w:color w:val="auto"/>
                <w:kern w:val="0"/>
                <w:sz w:val="24"/>
                <w:lang w:eastAsia="zh-CN"/>
              </w:rPr>
              <w:t>、</w:t>
            </w:r>
            <w:r>
              <w:rPr>
                <w:rFonts w:hint="eastAsia"/>
                <w:color w:val="auto"/>
                <w:sz w:val="24"/>
                <w:szCs w:val="24"/>
                <w:lang w:eastAsia="zh-CN"/>
              </w:rPr>
              <w:t>自然沉降产生的废金属屑</w:t>
            </w:r>
            <w:r>
              <w:rPr>
                <w:rFonts w:hint="eastAsia"/>
                <w:color w:val="auto"/>
                <w:sz w:val="24"/>
                <w:szCs w:val="24"/>
                <w:lang w:val="en-US" w:eastAsia="zh-CN"/>
              </w:rPr>
              <w:t>0.199t/a。</w:t>
            </w:r>
          </w:p>
          <w:p>
            <w:pPr>
              <w:autoSpaceDE w:val="0"/>
              <w:autoSpaceDN w:val="0"/>
              <w:adjustRightInd w:val="0"/>
              <w:spacing w:line="360" w:lineRule="auto"/>
              <w:ind w:firstLine="482" w:firstLineChars="200"/>
              <w:rPr>
                <w:b/>
                <w:bCs/>
                <w:color w:val="auto"/>
                <w:sz w:val="24"/>
              </w:rPr>
            </w:pPr>
            <w:r>
              <w:rPr>
                <w:rFonts w:hint="eastAsia"/>
                <w:b/>
                <w:bCs/>
                <w:color w:val="auto"/>
                <w:sz w:val="24"/>
              </w:rPr>
              <w:t>④</w:t>
            </w:r>
            <w:r>
              <w:rPr>
                <w:b/>
                <w:bCs/>
                <w:color w:val="auto"/>
                <w:sz w:val="24"/>
              </w:rPr>
              <w:t>抛丸粉尘（G5）</w:t>
            </w:r>
          </w:p>
          <w:p>
            <w:pPr>
              <w:autoSpaceDE w:val="0"/>
              <w:autoSpaceDN w:val="0"/>
              <w:adjustRightInd w:val="0"/>
              <w:snapToGrid w:val="0"/>
              <w:spacing w:line="360" w:lineRule="auto"/>
              <w:ind w:firstLine="480" w:firstLineChars="200"/>
              <w:rPr>
                <w:rFonts w:hint="eastAsia" w:eastAsia="宋体"/>
                <w:color w:val="auto"/>
                <w:kern w:val="0"/>
                <w:sz w:val="24"/>
                <w:lang w:eastAsia="zh-CN"/>
              </w:rPr>
            </w:pPr>
            <w:r>
              <w:rPr>
                <w:color w:val="auto"/>
                <w:kern w:val="0"/>
                <w:sz w:val="24"/>
              </w:rPr>
              <w:t>抛丸过程会产生抛丸粉尘，以颗粒物计，根据《第二次全国污染源普查产排污核算系数手册》“机械行业系数手册P53”，抛丸工序的产尘系数为2.19kg/t-原料，项目待抛丸量为20300t/a，则粉尘产生量为44.45t/a。产生废气经集气罩收集，收集效率为90%，则污染物产生量为</w:t>
            </w:r>
            <w:r>
              <w:rPr>
                <w:rFonts w:hint="eastAsia"/>
                <w:color w:val="auto"/>
                <w:kern w:val="0"/>
                <w:sz w:val="24"/>
              </w:rPr>
              <w:t>40.005</w:t>
            </w:r>
            <w:r>
              <w:rPr>
                <w:color w:val="auto"/>
                <w:kern w:val="0"/>
                <w:sz w:val="24"/>
              </w:rPr>
              <w:t>t/a（</w:t>
            </w:r>
            <w:r>
              <w:rPr>
                <w:rFonts w:hint="eastAsia"/>
                <w:color w:val="auto"/>
                <w:kern w:val="0"/>
                <w:sz w:val="24"/>
              </w:rPr>
              <w:t>16.7</w:t>
            </w:r>
            <w:r>
              <w:rPr>
                <w:color w:val="auto"/>
                <w:kern w:val="0"/>
                <w:sz w:val="24"/>
              </w:rPr>
              <w:t>kg/h、</w:t>
            </w:r>
            <w:r>
              <w:rPr>
                <w:rFonts w:hint="eastAsia"/>
                <w:color w:val="auto"/>
                <w:kern w:val="0"/>
                <w:sz w:val="24"/>
                <w:lang w:val="en-US" w:eastAsia="zh-CN"/>
              </w:rPr>
              <w:t>1666.88</w:t>
            </w:r>
            <w:r>
              <w:rPr>
                <w:color w:val="auto"/>
                <w:kern w:val="0"/>
                <w:sz w:val="24"/>
              </w:rPr>
              <w:t>mg/m</w:t>
            </w:r>
            <w:r>
              <w:rPr>
                <w:color w:val="auto"/>
                <w:kern w:val="0"/>
                <w:sz w:val="24"/>
                <w:vertAlign w:val="superscript"/>
              </w:rPr>
              <w:t>3</w:t>
            </w:r>
            <w:r>
              <w:rPr>
                <w:color w:val="auto"/>
                <w:kern w:val="0"/>
                <w:sz w:val="24"/>
              </w:rPr>
              <w:t>），通过</w:t>
            </w:r>
            <w:r>
              <w:rPr>
                <w:rFonts w:hint="eastAsia"/>
                <w:color w:val="auto"/>
                <w:kern w:val="0"/>
                <w:sz w:val="24"/>
                <w:lang w:eastAsia="zh-CN"/>
              </w:rPr>
              <w:t>集气罩</w:t>
            </w:r>
            <w:r>
              <w:rPr>
                <w:color w:val="auto"/>
                <w:kern w:val="0"/>
                <w:sz w:val="24"/>
              </w:rPr>
              <w:t>+布袋除尘器进行处理，</w:t>
            </w:r>
            <w:r>
              <w:rPr>
                <w:color w:val="auto"/>
                <w:sz w:val="24"/>
              </w:rPr>
              <w:t>风量为</w:t>
            </w:r>
            <w:r>
              <w:rPr>
                <w:rFonts w:hint="eastAsia"/>
                <w:color w:val="auto"/>
                <w:sz w:val="24"/>
                <w:lang w:val="en-US" w:eastAsia="zh-CN"/>
              </w:rPr>
              <w:t>10000</w:t>
            </w:r>
            <w:r>
              <w:rPr>
                <w:color w:val="auto"/>
                <w:sz w:val="24"/>
              </w:rPr>
              <w:t>m³</w:t>
            </w:r>
            <w:r>
              <w:rPr>
                <w:color w:val="auto"/>
              </w:rPr>
              <w:t>，</w:t>
            </w:r>
            <w:r>
              <w:rPr>
                <w:rFonts w:hint="eastAsia"/>
                <w:color w:val="auto"/>
                <w:sz w:val="24"/>
                <w:lang w:eastAsia="zh-CN"/>
              </w:rPr>
              <w:t>根据</w:t>
            </w:r>
            <w:r>
              <w:rPr>
                <w:rFonts w:hint="eastAsia"/>
                <w:color w:val="auto"/>
                <w:kern w:val="0"/>
                <w:sz w:val="24"/>
                <w:lang w:eastAsia="zh-CN"/>
              </w:rPr>
              <w:t>《工业除尘设备设计手册》，</w:t>
            </w:r>
            <w:r>
              <w:rPr>
                <w:color w:val="auto"/>
                <w:kern w:val="0"/>
                <w:sz w:val="24"/>
              </w:rPr>
              <w:t>去除效率以99</w:t>
            </w:r>
            <w:r>
              <w:rPr>
                <w:rFonts w:hint="eastAsia"/>
                <w:color w:val="auto"/>
                <w:kern w:val="0"/>
                <w:sz w:val="24"/>
                <w:lang w:val="en-US" w:eastAsia="zh-CN"/>
              </w:rPr>
              <w:t>.5</w:t>
            </w:r>
            <w:r>
              <w:rPr>
                <w:color w:val="auto"/>
                <w:kern w:val="0"/>
                <w:sz w:val="24"/>
              </w:rPr>
              <w:t>%计，则抛丸粉尘有组织排放量为0.</w:t>
            </w:r>
            <w:r>
              <w:rPr>
                <w:rFonts w:hint="eastAsia"/>
                <w:color w:val="auto"/>
                <w:kern w:val="0"/>
                <w:sz w:val="24"/>
                <w:lang w:val="en-US" w:eastAsia="zh-CN"/>
              </w:rPr>
              <w:t>2</w:t>
            </w:r>
            <w:r>
              <w:rPr>
                <w:color w:val="auto"/>
                <w:kern w:val="0"/>
                <w:sz w:val="24"/>
              </w:rPr>
              <w:t>t/a（0.</w:t>
            </w:r>
            <w:r>
              <w:rPr>
                <w:rFonts w:hint="eastAsia"/>
                <w:color w:val="auto"/>
                <w:kern w:val="0"/>
                <w:sz w:val="24"/>
                <w:lang w:val="en-US" w:eastAsia="zh-CN"/>
              </w:rPr>
              <w:t>08</w:t>
            </w:r>
            <w:r>
              <w:rPr>
                <w:color w:val="auto"/>
                <w:kern w:val="0"/>
                <w:sz w:val="24"/>
              </w:rPr>
              <w:t>kg/h、</w:t>
            </w:r>
            <w:r>
              <w:rPr>
                <w:rFonts w:hint="eastAsia"/>
                <w:color w:val="auto"/>
                <w:kern w:val="0"/>
                <w:sz w:val="24"/>
                <w:lang w:val="en-US" w:eastAsia="zh-CN"/>
              </w:rPr>
              <w:t>8.3</w:t>
            </w:r>
            <w:r>
              <w:rPr>
                <w:color w:val="auto"/>
                <w:kern w:val="0"/>
                <w:sz w:val="24"/>
              </w:rPr>
              <w:t>mg/m</w:t>
            </w:r>
            <w:r>
              <w:rPr>
                <w:color w:val="auto"/>
                <w:kern w:val="0"/>
                <w:sz w:val="24"/>
                <w:vertAlign w:val="superscript"/>
              </w:rPr>
              <w:t>3</w:t>
            </w:r>
            <w:r>
              <w:rPr>
                <w:color w:val="auto"/>
                <w:kern w:val="0"/>
                <w:sz w:val="24"/>
              </w:rPr>
              <w:t>）</w:t>
            </w:r>
            <w:r>
              <w:rPr>
                <w:rFonts w:hint="eastAsia"/>
                <w:color w:val="auto"/>
                <w:kern w:val="0"/>
                <w:sz w:val="24"/>
                <w:lang w:eastAsia="zh-CN"/>
              </w:rPr>
              <w:t>。</w:t>
            </w:r>
            <w:r>
              <w:rPr>
                <w:color w:val="auto"/>
                <w:kern w:val="0"/>
                <w:sz w:val="24"/>
              </w:rPr>
              <w:t>抛丸粉尘无组织</w:t>
            </w:r>
            <w:r>
              <w:rPr>
                <w:rFonts w:hint="eastAsia"/>
                <w:color w:val="auto"/>
                <w:kern w:val="0"/>
                <w:sz w:val="24"/>
                <w:lang w:eastAsia="zh-CN"/>
              </w:rPr>
              <w:t>总</w:t>
            </w:r>
            <w:r>
              <w:rPr>
                <w:color w:val="auto"/>
                <w:kern w:val="0"/>
                <w:sz w:val="24"/>
              </w:rPr>
              <w:t>量为</w:t>
            </w:r>
            <w:r>
              <w:rPr>
                <w:rFonts w:hint="eastAsia"/>
                <w:color w:val="auto"/>
                <w:kern w:val="0"/>
                <w:sz w:val="24"/>
              </w:rPr>
              <w:t>4.445</w:t>
            </w:r>
            <w:r>
              <w:rPr>
                <w:color w:val="auto"/>
                <w:kern w:val="0"/>
                <w:sz w:val="24"/>
              </w:rPr>
              <w:t>t/a</w:t>
            </w:r>
            <w:r>
              <w:rPr>
                <w:rFonts w:hint="eastAsia"/>
                <w:color w:val="auto"/>
                <w:kern w:val="0"/>
                <w:sz w:val="24"/>
                <w:lang w:eastAsia="zh-CN"/>
              </w:rPr>
              <w:t>，</w:t>
            </w:r>
            <w:r>
              <w:rPr>
                <w:rFonts w:hint="eastAsia"/>
                <w:color w:val="auto"/>
                <w:sz w:val="24"/>
                <w:szCs w:val="24"/>
              </w:rPr>
              <w:t>由于金属粉尘自身比重较大，产生后在短时间内即在操作设备区域附件自然沉降</w:t>
            </w:r>
            <w:r>
              <w:rPr>
                <w:rFonts w:hint="eastAsia"/>
                <w:color w:val="auto"/>
                <w:sz w:val="24"/>
                <w:szCs w:val="24"/>
                <w:lang w:eastAsia="zh-CN"/>
              </w:rPr>
              <w:t>，因此未被集气罩收集的约</w:t>
            </w:r>
            <w:r>
              <w:rPr>
                <w:rFonts w:hint="eastAsia"/>
                <w:color w:val="auto"/>
                <w:sz w:val="24"/>
                <w:szCs w:val="24"/>
                <w:lang w:val="en-US" w:eastAsia="zh-CN"/>
              </w:rPr>
              <w:t>90%发生自然沉降，10%无组织挥发，则</w:t>
            </w:r>
            <w:r>
              <w:rPr>
                <w:color w:val="auto"/>
                <w:kern w:val="0"/>
                <w:sz w:val="24"/>
              </w:rPr>
              <w:t>颗粒物无组织产生量为</w:t>
            </w:r>
            <w:r>
              <w:rPr>
                <w:rFonts w:hint="eastAsia"/>
                <w:color w:val="auto"/>
                <w:kern w:val="0"/>
                <w:sz w:val="24"/>
                <w:lang w:val="en-US" w:eastAsia="zh-CN"/>
              </w:rPr>
              <w:t>0.4445</w:t>
            </w:r>
            <w:r>
              <w:rPr>
                <w:color w:val="auto"/>
                <w:kern w:val="0"/>
                <w:sz w:val="24"/>
              </w:rPr>
              <w:t>t/a</w:t>
            </w:r>
            <w:r>
              <w:rPr>
                <w:rFonts w:hint="eastAsia"/>
                <w:color w:val="auto"/>
                <w:kern w:val="0"/>
                <w:sz w:val="24"/>
                <w:lang w:eastAsia="zh-CN"/>
              </w:rPr>
              <w:t>（</w:t>
            </w:r>
            <w:r>
              <w:rPr>
                <w:rFonts w:hint="eastAsia"/>
                <w:color w:val="auto"/>
                <w:kern w:val="0"/>
                <w:sz w:val="24"/>
                <w:lang w:val="en-US" w:eastAsia="zh-CN"/>
              </w:rPr>
              <w:t>0.185kg/h</w:t>
            </w:r>
            <w:r>
              <w:rPr>
                <w:rFonts w:hint="eastAsia"/>
                <w:color w:val="auto"/>
                <w:kern w:val="0"/>
                <w:sz w:val="24"/>
                <w:lang w:eastAsia="zh-CN"/>
              </w:rPr>
              <w:t>）、</w:t>
            </w:r>
            <w:r>
              <w:rPr>
                <w:rFonts w:hint="eastAsia"/>
                <w:color w:val="auto"/>
                <w:sz w:val="24"/>
                <w:szCs w:val="24"/>
                <w:lang w:eastAsia="zh-CN"/>
              </w:rPr>
              <w:t>自然沉降产生的废金属屑</w:t>
            </w:r>
            <w:r>
              <w:rPr>
                <w:rFonts w:hint="eastAsia"/>
                <w:color w:val="auto"/>
                <w:sz w:val="24"/>
                <w:szCs w:val="24"/>
                <w:lang w:val="en-US" w:eastAsia="zh-CN"/>
              </w:rPr>
              <w:t>4.0005t/a。</w:t>
            </w:r>
          </w:p>
          <w:p>
            <w:pPr>
              <w:autoSpaceDE w:val="0"/>
              <w:autoSpaceDN w:val="0"/>
              <w:adjustRightInd w:val="0"/>
              <w:snapToGrid w:val="0"/>
              <w:spacing w:line="360" w:lineRule="auto"/>
              <w:ind w:firstLine="482" w:firstLineChars="200"/>
              <w:rPr>
                <w:b/>
                <w:bCs/>
                <w:color w:val="auto"/>
                <w:sz w:val="24"/>
              </w:rPr>
            </w:pPr>
            <w:r>
              <w:rPr>
                <w:rFonts w:hint="eastAsia"/>
                <w:b/>
                <w:bCs/>
                <w:color w:val="auto"/>
                <w:sz w:val="24"/>
              </w:rPr>
              <w:t>⑤</w:t>
            </w:r>
            <w:r>
              <w:rPr>
                <w:b/>
                <w:bCs/>
                <w:color w:val="auto"/>
                <w:sz w:val="24"/>
              </w:rPr>
              <w:t>调漆、喷漆、晾干废气（G6、G7、G8）</w:t>
            </w:r>
          </w:p>
          <w:p>
            <w:pPr>
              <w:autoSpaceDE w:val="0"/>
              <w:autoSpaceDN w:val="0"/>
              <w:adjustRightInd w:val="0"/>
              <w:snapToGrid w:val="0"/>
              <w:spacing w:line="360" w:lineRule="auto"/>
              <w:ind w:firstLine="480" w:firstLineChars="200"/>
              <w:rPr>
                <w:color w:val="auto"/>
                <w:kern w:val="0"/>
                <w:sz w:val="24"/>
              </w:rPr>
            </w:pPr>
            <w:r>
              <w:rPr>
                <w:color w:val="auto"/>
                <w:sz w:val="24"/>
              </w:rPr>
              <w:t>根据《涂装工艺与设备》（化学工业出版社），喷涂距离在15～20cm之间时，涂着效率约为70%～85%，本次评价取70%，即喷涂过程中漆料中的固份约为70%附着在部件表面上，30%固份在喷涂过程中损耗（20%形成漆雾，剩余10%的固体组分掉落形成漆渣）；参照《浙江省工业涂装工序挥发性有机物排放量计算暂行办法》，水性漆涂装时有机挥发分5%在喷涂中产生，95%在晾干中产生。</w:t>
            </w:r>
          </w:p>
          <w:p>
            <w:pPr>
              <w:autoSpaceDE w:val="0"/>
              <w:autoSpaceDN w:val="0"/>
              <w:adjustRightInd w:val="0"/>
              <w:snapToGrid w:val="0"/>
              <w:spacing w:line="360" w:lineRule="auto"/>
              <w:ind w:firstLine="480" w:firstLineChars="200"/>
              <w:rPr>
                <w:color w:val="auto"/>
                <w:kern w:val="0"/>
                <w:sz w:val="24"/>
              </w:rPr>
            </w:pPr>
            <w:r>
              <w:rPr>
                <w:color w:val="auto"/>
                <w:kern w:val="0"/>
                <w:sz w:val="24"/>
              </w:rPr>
              <w:t>本项目喷漆工艺各工序废气污染物产生量以及速率见下表。</w:t>
            </w:r>
          </w:p>
          <w:p>
            <w:pPr>
              <w:autoSpaceDE w:val="0"/>
              <w:autoSpaceDN w:val="0"/>
              <w:adjustRightInd w:val="0"/>
              <w:snapToGrid w:val="0"/>
              <w:spacing w:line="360" w:lineRule="auto"/>
              <w:ind w:firstLine="422" w:firstLineChars="200"/>
              <w:jc w:val="center"/>
              <w:rPr>
                <w:b/>
                <w:bCs/>
                <w:color w:val="auto"/>
                <w:kern w:val="0"/>
                <w:szCs w:val="21"/>
              </w:rPr>
            </w:pPr>
            <w:r>
              <w:rPr>
                <w:b/>
                <w:bCs/>
                <w:color w:val="auto"/>
                <w:kern w:val="0"/>
                <w:szCs w:val="21"/>
              </w:rPr>
              <w:t>表4.2-</w:t>
            </w:r>
            <w:r>
              <w:rPr>
                <w:rFonts w:hint="eastAsia"/>
                <w:b/>
                <w:bCs/>
                <w:color w:val="auto"/>
                <w:kern w:val="0"/>
                <w:szCs w:val="21"/>
              </w:rPr>
              <w:t>6</w:t>
            </w:r>
            <w:r>
              <w:rPr>
                <w:b/>
                <w:bCs/>
                <w:color w:val="auto"/>
                <w:kern w:val="0"/>
                <w:szCs w:val="21"/>
              </w:rPr>
              <w:t xml:space="preserve"> 喷漆工序废气污染物产生量</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6"/>
              <w:gridCol w:w="1230"/>
              <w:gridCol w:w="1005"/>
              <w:gridCol w:w="908"/>
              <w:gridCol w:w="1460"/>
              <w:gridCol w:w="1175"/>
              <w:gridCol w:w="1245"/>
              <w:gridCol w:w="1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trPr>
              <w:tc>
                <w:tcPr>
                  <w:tcW w:w="327" w:type="pct"/>
                  <w:vAlign w:val="center"/>
                </w:tcPr>
                <w:p>
                  <w:pPr>
                    <w:pStyle w:val="13"/>
                    <w:tabs>
                      <w:tab w:val="left" w:pos="2830"/>
                    </w:tabs>
                    <w:jc w:val="center"/>
                    <w:rPr>
                      <w:rFonts w:ascii="Times New Roman" w:hAnsi="Times New Roman"/>
                      <w:b/>
                      <w:bCs/>
                      <w:color w:val="auto"/>
                      <w:sz w:val="21"/>
                      <w:szCs w:val="21"/>
                    </w:rPr>
                  </w:pPr>
                  <w:r>
                    <w:rPr>
                      <w:rFonts w:ascii="Times New Roman" w:hAnsi="Times New Roman"/>
                      <w:b/>
                      <w:bCs/>
                      <w:color w:val="auto"/>
                      <w:sz w:val="21"/>
                      <w:szCs w:val="21"/>
                    </w:rPr>
                    <w:t>物料</w:t>
                  </w:r>
                </w:p>
              </w:tc>
              <w:tc>
                <w:tcPr>
                  <w:tcW w:w="686" w:type="pct"/>
                  <w:vAlign w:val="center"/>
                </w:tcPr>
                <w:p>
                  <w:pPr>
                    <w:pStyle w:val="13"/>
                    <w:tabs>
                      <w:tab w:val="left" w:pos="2830"/>
                    </w:tabs>
                    <w:jc w:val="center"/>
                    <w:rPr>
                      <w:rFonts w:ascii="Times New Roman" w:hAnsi="Times New Roman"/>
                      <w:b/>
                      <w:bCs/>
                      <w:color w:val="auto"/>
                      <w:sz w:val="21"/>
                      <w:szCs w:val="21"/>
                    </w:rPr>
                  </w:pPr>
                  <w:r>
                    <w:rPr>
                      <w:rFonts w:ascii="Times New Roman" w:hAnsi="Times New Roman"/>
                      <w:b/>
                      <w:bCs/>
                      <w:color w:val="auto"/>
                      <w:sz w:val="21"/>
                      <w:szCs w:val="21"/>
                    </w:rPr>
                    <w:t>工序</w:t>
                  </w:r>
                </w:p>
              </w:tc>
              <w:tc>
                <w:tcPr>
                  <w:tcW w:w="560" w:type="pct"/>
                  <w:vAlign w:val="center"/>
                </w:tcPr>
                <w:p>
                  <w:pPr>
                    <w:pStyle w:val="13"/>
                    <w:tabs>
                      <w:tab w:val="left" w:pos="2830"/>
                    </w:tabs>
                    <w:jc w:val="center"/>
                    <w:rPr>
                      <w:rFonts w:ascii="Times New Roman" w:hAnsi="Times New Roman"/>
                      <w:b/>
                      <w:bCs/>
                      <w:color w:val="auto"/>
                      <w:sz w:val="21"/>
                      <w:szCs w:val="21"/>
                    </w:rPr>
                  </w:pPr>
                  <w:r>
                    <w:rPr>
                      <w:rFonts w:ascii="Times New Roman" w:hAnsi="Times New Roman"/>
                      <w:b/>
                      <w:bCs/>
                      <w:color w:val="auto"/>
                      <w:sz w:val="21"/>
                      <w:szCs w:val="21"/>
                    </w:rPr>
                    <w:t>年工作时间（h/a）</w:t>
                  </w:r>
                </w:p>
              </w:tc>
              <w:tc>
                <w:tcPr>
                  <w:tcW w:w="506" w:type="pct"/>
                  <w:vAlign w:val="center"/>
                </w:tcPr>
                <w:p>
                  <w:pPr>
                    <w:pStyle w:val="13"/>
                    <w:tabs>
                      <w:tab w:val="left" w:pos="2830"/>
                    </w:tabs>
                    <w:jc w:val="center"/>
                    <w:rPr>
                      <w:rFonts w:ascii="Times New Roman" w:hAnsi="Times New Roman"/>
                      <w:b/>
                      <w:bCs/>
                      <w:color w:val="auto"/>
                      <w:sz w:val="21"/>
                      <w:szCs w:val="21"/>
                    </w:rPr>
                  </w:pPr>
                  <w:r>
                    <w:rPr>
                      <w:rFonts w:ascii="Times New Roman" w:hAnsi="Times New Roman"/>
                      <w:b/>
                      <w:bCs/>
                      <w:color w:val="auto"/>
                      <w:sz w:val="21"/>
                      <w:szCs w:val="21"/>
                    </w:rPr>
                    <w:t>挥发比例（%）</w:t>
                  </w:r>
                </w:p>
              </w:tc>
              <w:tc>
                <w:tcPr>
                  <w:tcW w:w="814" w:type="pct"/>
                  <w:vAlign w:val="center"/>
                </w:tcPr>
                <w:p>
                  <w:pPr>
                    <w:pStyle w:val="13"/>
                    <w:tabs>
                      <w:tab w:val="left" w:pos="2830"/>
                    </w:tabs>
                    <w:jc w:val="center"/>
                    <w:rPr>
                      <w:rFonts w:ascii="Times New Roman" w:hAnsi="Times New Roman"/>
                      <w:b/>
                      <w:bCs/>
                      <w:color w:val="auto"/>
                      <w:sz w:val="21"/>
                      <w:szCs w:val="21"/>
                    </w:rPr>
                  </w:pPr>
                  <w:r>
                    <w:rPr>
                      <w:rFonts w:ascii="Times New Roman" w:hAnsi="Times New Roman"/>
                      <w:b/>
                      <w:bCs/>
                      <w:color w:val="auto"/>
                      <w:sz w:val="21"/>
                      <w:szCs w:val="21"/>
                    </w:rPr>
                    <w:t>挥发性有机物种类</w:t>
                  </w:r>
                </w:p>
              </w:tc>
              <w:tc>
                <w:tcPr>
                  <w:tcW w:w="655" w:type="pct"/>
                  <w:vAlign w:val="center"/>
                </w:tcPr>
                <w:p>
                  <w:pPr>
                    <w:pStyle w:val="13"/>
                    <w:tabs>
                      <w:tab w:val="left" w:pos="2830"/>
                    </w:tabs>
                    <w:jc w:val="center"/>
                    <w:rPr>
                      <w:rFonts w:ascii="Times New Roman" w:hAnsi="Times New Roman"/>
                      <w:b/>
                      <w:bCs/>
                      <w:color w:val="auto"/>
                      <w:sz w:val="21"/>
                      <w:szCs w:val="21"/>
                    </w:rPr>
                  </w:pPr>
                  <w:r>
                    <w:rPr>
                      <w:rFonts w:ascii="Times New Roman" w:hAnsi="Times New Roman"/>
                      <w:b/>
                      <w:bCs/>
                      <w:color w:val="auto"/>
                      <w:sz w:val="21"/>
                      <w:szCs w:val="21"/>
                    </w:rPr>
                    <w:t>总产生量（t/a）</w:t>
                  </w:r>
                </w:p>
              </w:tc>
              <w:tc>
                <w:tcPr>
                  <w:tcW w:w="694" w:type="pct"/>
                  <w:vAlign w:val="center"/>
                </w:tcPr>
                <w:p>
                  <w:pPr>
                    <w:pStyle w:val="13"/>
                    <w:tabs>
                      <w:tab w:val="left" w:pos="2830"/>
                    </w:tabs>
                    <w:jc w:val="center"/>
                    <w:rPr>
                      <w:rFonts w:ascii="Times New Roman" w:hAnsi="Times New Roman"/>
                      <w:b/>
                      <w:bCs/>
                      <w:color w:val="auto"/>
                      <w:sz w:val="21"/>
                      <w:szCs w:val="21"/>
                    </w:rPr>
                  </w:pPr>
                  <w:r>
                    <w:rPr>
                      <w:rFonts w:ascii="Times New Roman" w:hAnsi="Times New Roman"/>
                      <w:b/>
                      <w:bCs/>
                      <w:color w:val="auto"/>
                      <w:sz w:val="21"/>
                      <w:szCs w:val="21"/>
                    </w:rPr>
                    <w:t>工序产生量（t/a）</w:t>
                  </w:r>
                </w:p>
              </w:tc>
              <w:tc>
                <w:tcPr>
                  <w:tcW w:w="753" w:type="pct"/>
                  <w:vAlign w:val="center"/>
                </w:tcPr>
                <w:p>
                  <w:pPr>
                    <w:pStyle w:val="13"/>
                    <w:tabs>
                      <w:tab w:val="left" w:pos="2830"/>
                    </w:tabs>
                    <w:jc w:val="center"/>
                    <w:rPr>
                      <w:rFonts w:ascii="Times New Roman" w:hAnsi="Times New Roman"/>
                      <w:b/>
                      <w:bCs/>
                      <w:color w:val="auto"/>
                      <w:sz w:val="21"/>
                      <w:szCs w:val="21"/>
                    </w:rPr>
                  </w:pPr>
                  <w:r>
                    <w:rPr>
                      <w:rFonts w:ascii="Times New Roman" w:hAnsi="Times New Roman"/>
                      <w:b/>
                      <w:bCs/>
                      <w:color w:val="auto"/>
                      <w:sz w:val="21"/>
                      <w:szCs w:val="21"/>
                    </w:rPr>
                    <w:t>产生速率（kg/h）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327" w:type="pct"/>
                  <w:vMerge w:val="restar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水性漆</w:t>
                  </w:r>
                </w:p>
              </w:tc>
              <w:tc>
                <w:tcPr>
                  <w:tcW w:w="686"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调漆、喷漆</w:t>
                  </w:r>
                </w:p>
              </w:tc>
              <w:tc>
                <w:tcPr>
                  <w:tcW w:w="560"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2400</w:t>
                  </w:r>
                </w:p>
              </w:tc>
              <w:tc>
                <w:tcPr>
                  <w:tcW w:w="506"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5</w:t>
                  </w:r>
                </w:p>
              </w:tc>
              <w:tc>
                <w:tcPr>
                  <w:tcW w:w="814"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非甲烷总烃</w:t>
                  </w:r>
                </w:p>
              </w:tc>
              <w:tc>
                <w:tcPr>
                  <w:tcW w:w="655" w:type="pct"/>
                  <w:vMerge w:val="restart"/>
                  <w:vAlign w:val="center"/>
                </w:tcPr>
                <w:p>
                  <w:pPr>
                    <w:pStyle w:val="13"/>
                    <w:tabs>
                      <w:tab w:val="left" w:pos="2830"/>
                    </w:tabs>
                    <w:jc w:val="center"/>
                    <w:rPr>
                      <w:rFonts w:hint="default"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2.1</w:t>
                  </w:r>
                </w:p>
              </w:tc>
              <w:tc>
                <w:tcPr>
                  <w:tcW w:w="694" w:type="pct"/>
                  <w:vAlign w:val="center"/>
                </w:tcPr>
                <w:p>
                  <w:pPr>
                    <w:pStyle w:val="13"/>
                    <w:tabs>
                      <w:tab w:val="left" w:pos="2830"/>
                    </w:tabs>
                    <w:jc w:val="center"/>
                    <w:rPr>
                      <w:rFonts w:hint="default"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0.105</w:t>
                  </w:r>
                </w:p>
              </w:tc>
              <w:tc>
                <w:tcPr>
                  <w:tcW w:w="753" w:type="pct"/>
                  <w:vAlign w:val="center"/>
                </w:tcPr>
                <w:p>
                  <w:pPr>
                    <w:pStyle w:val="13"/>
                    <w:tabs>
                      <w:tab w:val="left" w:pos="2830"/>
                    </w:tabs>
                    <w:jc w:val="center"/>
                    <w:rPr>
                      <w:rFonts w:hint="default"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0.0438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 w:type="pct"/>
                  <w:vMerge w:val="continue"/>
                  <w:vAlign w:val="center"/>
                </w:tcPr>
                <w:p>
                  <w:pPr>
                    <w:pStyle w:val="13"/>
                    <w:tabs>
                      <w:tab w:val="left" w:pos="2830"/>
                    </w:tabs>
                    <w:jc w:val="center"/>
                    <w:rPr>
                      <w:rFonts w:ascii="Times New Roman" w:hAnsi="Times New Roman"/>
                      <w:color w:val="auto"/>
                      <w:sz w:val="21"/>
                      <w:szCs w:val="21"/>
                    </w:rPr>
                  </w:pPr>
                </w:p>
              </w:tc>
              <w:tc>
                <w:tcPr>
                  <w:tcW w:w="686"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晾干</w:t>
                  </w:r>
                </w:p>
              </w:tc>
              <w:tc>
                <w:tcPr>
                  <w:tcW w:w="560"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2400</w:t>
                  </w:r>
                </w:p>
              </w:tc>
              <w:tc>
                <w:tcPr>
                  <w:tcW w:w="506"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95</w:t>
                  </w:r>
                </w:p>
              </w:tc>
              <w:tc>
                <w:tcPr>
                  <w:tcW w:w="814"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非甲烷总烃</w:t>
                  </w:r>
                </w:p>
              </w:tc>
              <w:tc>
                <w:tcPr>
                  <w:tcW w:w="655" w:type="pct"/>
                  <w:vMerge w:val="continue"/>
                  <w:vAlign w:val="center"/>
                </w:tcPr>
                <w:p>
                  <w:pPr>
                    <w:pStyle w:val="13"/>
                    <w:tabs>
                      <w:tab w:val="left" w:pos="2830"/>
                    </w:tabs>
                    <w:jc w:val="center"/>
                    <w:rPr>
                      <w:rFonts w:ascii="Times New Roman" w:hAnsi="Times New Roman"/>
                      <w:color w:val="auto"/>
                      <w:sz w:val="21"/>
                      <w:szCs w:val="21"/>
                    </w:rPr>
                  </w:pPr>
                </w:p>
              </w:tc>
              <w:tc>
                <w:tcPr>
                  <w:tcW w:w="694" w:type="pct"/>
                  <w:vAlign w:val="center"/>
                </w:tcPr>
                <w:p>
                  <w:pPr>
                    <w:pStyle w:val="13"/>
                    <w:tabs>
                      <w:tab w:val="left" w:pos="2830"/>
                    </w:tabs>
                    <w:jc w:val="center"/>
                    <w:rPr>
                      <w:rFonts w:hint="default"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1.995</w:t>
                  </w:r>
                </w:p>
              </w:tc>
              <w:tc>
                <w:tcPr>
                  <w:tcW w:w="753" w:type="pct"/>
                  <w:vAlign w:val="center"/>
                </w:tcPr>
                <w:p>
                  <w:pPr>
                    <w:pStyle w:val="13"/>
                    <w:tabs>
                      <w:tab w:val="left" w:pos="2830"/>
                    </w:tabs>
                    <w:jc w:val="center"/>
                    <w:rPr>
                      <w:rFonts w:hint="default"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0.8313</w:t>
                  </w:r>
                </w:p>
              </w:tc>
            </w:tr>
          </w:tbl>
          <w:p>
            <w:pPr>
              <w:autoSpaceDE w:val="0"/>
              <w:autoSpaceDN w:val="0"/>
              <w:adjustRightInd w:val="0"/>
              <w:snapToGrid w:val="0"/>
              <w:spacing w:line="360" w:lineRule="auto"/>
              <w:ind w:firstLine="480" w:firstLineChars="200"/>
              <w:rPr>
                <w:color w:val="auto"/>
                <w:kern w:val="0"/>
                <w:sz w:val="24"/>
              </w:rPr>
            </w:pPr>
            <w:r>
              <w:rPr>
                <w:color w:val="auto"/>
                <w:kern w:val="0"/>
                <w:sz w:val="24"/>
              </w:rPr>
              <w:t>本项目调漆、喷漆工序在喷漆房中进行，喷漆房是密闭负压操作间，由调漆区、喷漆操作位组成。晾干工序在晾干房中进行，</w:t>
            </w:r>
            <w:r>
              <w:rPr>
                <w:rFonts w:hint="eastAsia"/>
                <w:color w:val="auto"/>
                <w:kern w:val="0"/>
                <w:sz w:val="24"/>
                <w:lang w:eastAsia="zh-CN"/>
              </w:rPr>
              <w:t>晾干</w:t>
            </w:r>
            <w:r>
              <w:rPr>
                <w:color w:val="auto"/>
                <w:kern w:val="0"/>
                <w:sz w:val="24"/>
              </w:rPr>
              <w:t>房是密闭负压操作间。</w:t>
            </w:r>
          </w:p>
          <w:p>
            <w:pPr>
              <w:autoSpaceDE w:val="0"/>
              <w:autoSpaceDN w:val="0"/>
              <w:adjustRightInd w:val="0"/>
              <w:snapToGrid w:val="0"/>
              <w:spacing w:line="360" w:lineRule="auto"/>
              <w:ind w:firstLine="480" w:firstLineChars="200"/>
              <w:rPr>
                <w:color w:val="auto"/>
                <w:kern w:val="0"/>
                <w:sz w:val="24"/>
              </w:rPr>
            </w:pPr>
            <w:r>
              <w:rPr>
                <w:color w:val="auto"/>
                <w:kern w:val="0"/>
                <w:sz w:val="24"/>
              </w:rPr>
              <w:t>有机废气治理系统由干式过滤棉+活性炭吸附装置构成。</w:t>
            </w:r>
          </w:p>
          <w:p>
            <w:pPr>
              <w:autoSpaceDE w:val="0"/>
              <w:autoSpaceDN w:val="0"/>
              <w:adjustRightInd w:val="0"/>
              <w:snapToGrid w:val="0"/>
              <w:spacing w:line="360" w:lineRule="auto"/>
              <w:ind w:firstLine="480" w:firstLineChars="200"/>
              <w:rPr>
                <w:color w:val="auto"/>
                <w:kern w:val="0"/>
                <w:sz w:val="24"/>
              </w:rPr>
            </w:pPr>
            <w:r>
              <w:rPr>
                <w:color w:val="auto"/>
                <w:kern w:val="0"/>
                <w:sz w:val="24"/>
              </w:rPr>
              <w:t>喷漆房、晾干房收集可行性分析：</w:t>
            </w:r>
          </w:p>
          <w:p>
            <w:pPr>
              <w:pStyle w:val="15"/>
              <w:widowControl/>
              <w:adjustRightInd w:val="0"/>
              <w:snapToGrid w:val="0"/>
              <w:spacing w:after="0" w:line="360" w:lineRule="auto"/>
              <w:ind w:firstLine="480" w:firstLineChars="200"/>
              <w:rPr>
                <w:rFonts w:hint="eastAsia"/>
                <w:color w:val="auto"/>
                <w:sz w:val="24"/>
                <w:szCs w:val="24"/>
                <w:lang w:eastAsia="zh-CN"/>
              </w:rPr>
            </w:pPr>
            <w:r>
              <w:rPr>
                <w:rFonts w:hint="eastAsia"/>
                <w:color w:val="auto"/>
                <w:sz w:val="24"/>
                <w:szCs w:val="24"/>
                <w:lang w:eastAsia="zh-CN"/>
              </w:rPr>
              <w:t>本项目设置一座喷漆房以及晾干房，喷漆时门关闭，可达到密闭负压状态，可以满足风量需求。晾干房运行时全封闭，中途不开门，冷却过程中持续排风，可达到密闭负压状态。调漆、喷漆、晾干、喷枪清洗过程产生的漆雾、有机废气经喷漆房和晾干房整体换风收集，排入一套有机废气处理系统，经干式过滤棉+活性炭吸附装置处理后，通过一根15米高排气筒</w:t>
            </w:r>
            <w:r>
              <w:rPr>
                <w:rFonts w:hint="eastAsia"/>
                <w:color w:val="auto"/>
                <w:sz w:val="24"/>
                <w:szCs w:val="24"/>
                <w:lang w:val="en-US" w:eastAsia="zh-CN"/>
              </w:rPr>
              <w:t>DA002</w:t>
            </w:r>
            <w:r>
              <w:rPr>
                <w:rFonts w:hint="eastAsia"/>
                <w:color w:val="auto"/>
                <w:sz w:val="24"/>
                <w:szCs w:val="24"/>
                <w:lang w:eastAsia="zh-CN"/>
              </w:rPr>
              <w:t>排放。根据《</w:t>
            </w:r>
            <w:r>
              <w:rPr>
                <w:rFonts w:hint="eastAsia"/>
                <w:color w:val="auto"/>
                <w:sz w:val="24"/>
                <w:szCs w:val="24"/>
                <w:lang w:val="en-US" w:eastAsia="zh-CN"/>
              </w:rPr>
              <w:t>广东省工业源挥发性有机物减排量核算方法（试行）</w:t>
            </w:r>
            <w:r>
              <w:rPr>
                <w:rFonts w:hint="eastAsia"/>
                <w:color w:val="auto"/>
                <w:sz w:val="24"/>
                <w:szCs w:val="24"/>
                <w:lang w:eastAsia="zh-CN"/>
              </w:rPr>
              <w:t>》</w:t>
            </w:r>
            <w:r>
              <w:rPr>
                <w:rFonts w:hint="eastAsia"/>
                <w:color w:val="auto"/>
                <w:sz w:val="24"/>
                <w:szCs w:val="24"/>
                <w:lang w:val="en-US" w:eastAsia="zh-CN"/>
              </w:rPr>
              <w:t>表4.5-1 废气收集集气效率参考值</w:t>
            </w:r>
            <w:r>
              <w:rPr>
                <w:rFonts w:hint="eastAsia"/>
                <w:color w:val="auto"/>
                <w:sz w:val="24"/>
                <w:szCs w:val="24"/>
                <w:lang w:eastAsia="zh-CN"/>
              </w:rPr>
              <w:t>中：</w:t>
            </w:r>
            <w:r>
              <w:rPr>
                <w:rFonts w:hint="default"/>
                <w:color w:val="auto"/>
                <w:sz w:val="24"/>
                <w:szCs w:val="24"/>
                <w:lang w:val="en-US" w:eastAsia="zh-CN"/>
              </w:rPr>
              <w:t>VOCs</w:t>
            </w:r>
            <w:r>
              <w:rPr>
                <w:rFonts w:hint="eastAsia"/>
                <w:color w:val="auto"/>
                <w:sz w:val="24"/>
                <w:szCs w:val="24"/>
                <w:lang w:val="en-US" w:eastAsia="zh-CN"/>
              </w:rPr>
              <w:t>产生源设置在密闭车间、密闭设备（含反应釜）、密闭管道内，所有开口处，包括人员或物料进出口处呈负压，收集效率达95%，因此喷涂、晾干</w:t>
            </w:r>
            <w:r>
              <w:rPr>
                <w:rFonts w:hint="eastAsia"/>
                <w:color w:val="auto"/>
                <w:sz w:val="24"/>
                <w:szCs w:val="24"/>
                <w:lang w:eastAsia="zh-CN"/>
              </w:rPr>
              <w:t>废气收集效率按</w:t>
            </w:r>
            <w:r>
              <w:rPr>
                <w:rFonts w:hint="eastAsia"/>
                <w:color w:val="auto"/>
                <w:sz w:val="24"/>
                <w:szCs w:val="24"/>
                <w:lang w:val="en-US" w:eastAsia="zh-CN"/>
              </w:rPr>
              <w:t>95</w:t>
            </w:r>
            <w:r>
              <w:rPr>
                <w:rFonts w:hint="eastAsia"/>
                <w:color w:val="auto"/>
                <w:sz w:val="24"/>
                <w:szCs w:val="24"/>
                <w:lang w:eastAsia="zh-CN"/>
              </w:rPr>
              <w:t>%计，有机废气经二级活性炭吸附装置处置，去除率为90%，风量为</w:t>
            </w:r>
            <w:r>
              <w:rPr>
                <w:rFonts w:hint="eastAsia"/>
                <w:color w:val="auto"/>
                <w:sz w:val="24"/>
                <w:szCs w:val="24"/>
                <w:lang w:val="en-US" w:eastAsia="zh-CN"/>
              </w:rPr>
              <w:t>22</w:t>
            </w:r>
            <w:r>
              <w:rPr>
                <w:rFonts w:hint="eastAsia"/>
                <w:color w:val="auto"/>
                <w:sz w:val="24"/>
                <w:szCs w:val="24"/>
                <w:lang w:eastAsia="zh-CN"/>
              </w:rPr>
              <w:t>000m</w:t>
            </w:r>
            <w:r>
              <w:rPr>
                <w:rFonts w:hint="eastAsia"/>
                <w:color w:val="auto"/>
                <w:sz w:val="24"/>
                <w:szCs w:val="24"/>
                <w:vertAlign w:val="superscript"/>
                <w:lang w:eastAsia="zh-CN"/>
              </w:rPr>
              <w:t>3</w:t>
            </w:r>
            <w:r>
              <w:rPr>
                <w:rFonts w:hint="eastAsia"/>
                <w:color w:val="auto"/>
                <w:sz w:val="24"/>
                <w:szCs w:val="24"/>
                <w:lang w:eastAsia="zh-CN"/>
              </w:rPr>
              <w:t>/h。</w:t>
            </w:r>
          </w:p>
          <w:p>
            <w:pPr>
              <w:pStyle w:val="15"/>
              <w:widowControl/>
              <w:adjustRightInd w:val="0"/>
              <w:snapToGrid w:val="0"/>
              <w:spacing w:after="0" w:line="360" w:lineRule="auto"/>
              <w:ind w:firstLine="480" w:firstLineChars="200"/>
              <w:rPr>
                <w:rFonts w:hint="default" w:eastAsia="宋体"/>
                <w:color w:val="auto"/>
                <w:sz w:val="24"/>
                <w:szCs w:val="24"/>
                <w:lang w:val="en-US" w:eastAsia="zh-CN"/>
              </w:rPr>
            </w:pPr>
            <w:r>
              <w:rPr>
                <w:rFonts w:hint="eastAsia"/>
                <w:color w:val="auto"/>
                <w:sz w:val="24"/>
                <w:szCs w:val="24"/>
                <w:lang w:eastAsia="zh-CN"/>
              </w:rPr>
              <w:t>参</w:t>
            </w:r>
            <w:r>
              <w:rPr>
                <w:color w:val="auto"/>
                <w:sz w:val="24"/>
                <w:szCs w:val="24"/>
              </w:rPr>
              <w:t>照《浙江省工业涂装工序挥发性有机物排放量计算暂行办法》，水性漆涂装时有机挥发分5%在喷涂中产生，95%在晾干中产生。</w:t>
            </w:r>
            <w:r>
              <w:rPr>
                <w:rFonts w:hint="eastAsia"/>
                <w:color w:val="auto"/>
                <w:sz w:val="24"/>
                <w:szCs w:val="24"/>
                <w:lang w:eastAsia="zh-CN"/>
              </w:rPr>
              <w:t>非甲烷总烃产生量</w:t>
            </w:r>
            <w:r>
              <w:rPr>
                <w:rFonts w:hint="eastAsia"/>
                <w:color w:val="auto"/>
                <w:sz w:val="24"/>
                <w:szCs w:val="24"/>
                <w:lang w:val="en-US" w:eastAsia="zh-CN"/>
              </w:rPr>
              <w:t>2.1t/a。</w:t>
            </w:r>
          </w:p>
          <w:p>
            <w:pPr>
              <w:autoSpaceDE w:val="0"/>
              <w:autoSpaceDN w:val="0"/>
              <w:adjustRightInd w:val="0"/>
              <w:snapToGrid w:val="0"/>
              <w:spacing w:line="360" w:lineRule="auto"/>
              <w:ind w:firstLine="480" w:firstLineChars="200"/>
              <w:rPr>
                <w:rFonts w:hint="default" w:eastAsia="宋体"/>
                <w:color w:val="auto"/>
                <w:kern w:val="0"/>
                <w:sz w:val="24"/>
                <w:lang w:val="en-US" w:eastAsia="zh-CN"/>
              </w:rPr>
            </w:pPr>
            <w:r>
              <w:rPr>
                <w:rFonts w:hint="eastAsia"/>
                <w:color w:val="auto"/>
                <w:kern w:val="0"/>
                <w:sz w:val="24"/>
                <w:lang w:eastAsia="zh-CN"/>
              </w:rPr>
              <w:t>晾干工序：晾干废气产生量</w:t>
            </w:r>
            <w:r>
              <w:rPr>
                <w:rFonts w:hint="eastAsia"/>
                <w:color w:val="auto"/>
                <w:kern w:val="0"/>
                <w:sz w:val="24"/>
                <w:lang w:val="en-US" w:eastAsia="zh-CN"/>
              </w:rPr>
              <w:t>1.995t/a。</w:t>
            </w:r>
            <w:r>
              <w:rPr>
                <w:rFonts w:hint="eastAsia"/>
                <w:color w:val="auto"/>
                <w:sz w:val="24"/>
                <w:szCs w:val="24"/>
                <w:lang w:eastAsia="zh-CN"/>
              </w:rPr>
              <w:t>根据《</w:t>
            </w:r>
            <w:r>
              <w:rPr>
                <w:rFonts w:hint="eastAsia"/>
                <w:color w:val="auto"/>
                <w:sz w:val="24"/>
                <w:szCs w:val="24"/>
                <w:lang w:val="en-US" w:eastAsia="zh-CN"/>
              </w:rPr>
              <w:t>广东省工业源挥发性有机物减排量核算方法（试行）</w:t>
            </w:r>
            <w:r>
              <w:rPr>
                <w:rFonts w:hint="eastAsia"/>
                <w:color w:val="auto"/>
                <w:sz w:val="24"/>
                <w:szCs w:val="24"/>
                <w:lang w:eastAsia="zh-CN"/>
              </w:rPr>
              <w:t>》</w:t>
            </w:r>
            <w:r>
              <w:rPr>
                <w:color w:val="auto"/>
                <w:kern w:val="0"/>
                <w:sz w:val="24"/>
              </w:rPr>
              <w:t>废气收集效率按9</w:t>
            </w:r>
            <w:r>
              <w:rPr>
                <w:rFonts w:hint="eastAsia"/>
                <w:color w:val="auto"/>
                <w:kern w:val="0"/>
                <w:sz w:val="24"/>
                <w:lang w:val="en-US" w:eastAsia="zh-CN"/>
              </w:rPr>
              <w:t>5</w:t>
            </w:r>
            <w:r>
              <w:rPr>
                <w:color w:val="auto"/>
                <w:kern w:val="0"/>
                <w:sz w:val="24"/>
              </w:rPr>
              <w:t>%计，有机废气有组织产生量为</w:t>
            </w:r>
            <w:r>
              <w:rPr>
                <w:rFonts w:hint="eastAsia"/>
                <w:color w:val="auto"/>
                <w:kern w:val="0"/>
                <w:sz w:val="24"/>
                <w:lang w:val="en-US" w:eastAsia="zh-CN"/>
              </w:rPr>
              <w:t>1.895</w:t>
            </w:r>
            <w:r>
              <w:rPr>
                <w:color w:val="auto"/>
                <w:kern w:val="0"/>
                <w:sz w:val="24"/>
              </w:rPr>
              <w:t>t/a，产生速率为</w:t>
            </w:r>
            <w:r>
              <w:rPr>
                <w:rFonts w:hint="eastAsia"/>
                <w:color w:val="auto"/>
                <w:kern w:val="0"/>
                <w:sz w:val="24"/>
                <w:lang w:val="en-US" w:eastAsia="zh-CN"/>
              </w:rPr>
              <w:t>0.79</w:t>
            </w:r>
            <w:r>
              <w:rPr>
                <w:color w:val="auto"/>
                <w:kern w:val="0"/>
                <w:sz w:val="24"/>
              </w:rPr>
              <w:t>kg/h，产生浓度</w:t>
            </w:r>
            <w:r>
              <w:rPr>
                <w:rFonts w:hint="eastAsia"/>
                <w:color w:val="auto"/>
                <w:kern w:val="0"/>
                <w:sz w:val="24"/>
                <w:lang w:val="en-US" w:eastAsia="zh-CN"/>
              </w:rPr>
              <w:t>35.89</w:t>
            </w:r>
            <w:r>
              <w:rPr>
                <w:color w:val="auto"/>
                <w:kern w:val="0"/>
                <w:sz w:val="24"/>
              </w:rPr>
              <w:t>mg/m</w:t>
            </w:r>
            <w:r>
              <w:rPr>
                <w:color w:val="auto"/>
                <w:kern w:val="0"/>
                <w:sz w:val="24"/>
                <w:vertAlign w:val="superscript"/>
              </w:rPr>
              <w:t>3</w:t>
            </w:r>
            <w:r>
              <w:rPr>
                <w:color w:val="auto"/>
                <w:kern w:val="0"/>
                <w:sz w:val="24"/>
              </w:rPr>
              <w:t>。去除率为90%</w:t>
            </w:r>
            <w:r>
              <w:rPr>
                <w:rFonts w:hint="eastAsia"/>
                <w:color w:val="auto"/>
                <w:kern w:val="0"/>
                <w:sz w:val="24"/>
                <w:lang w:eastAsia="zh-CN"/>
              </w:rPr>
              <w:t>，晾干废气有组织排放量为</w:t>
            </w:r>
            <w:r>
              <w:rPr>
                <w:rFonts w:hint="eastAsia"/>
                <w:color w:val="auto"/>
                <w:kern w:val="0"/>
                <w:sz w:val="24"/>
                <w:lang w:val="en-US" w:eastAsia="zh-CN"/>
              </w:rPr>
              <w:t>0.1895</w:t>
            </w:r>
            <w:r>
              <w:rPr>
                <w:color w:val="auto"/>
                <w:kern w:val="0"/>
                <w:sz w:val="24"/>
              </w:rPr>
              <w:t>t/a</w:t>
            </w:r>
            <w:r>
              <w:rPr>
                <w:rFonts w:hint="eastAsia"/>
                <w:color w:val="auto"/>
                <w:kern w:val="0"/>
                <w:sz w:val="24"/>
                <w:lang w:eastAsia="zh-CN"/>
              </w:rPr>
              <w:t>，排放速率为</w:t>
            </w:r>
            <w:r>
              <w:rPr>
                <w:rFonts w:hint="eastAsia"/>
                <w:color w:val="auto"/>
                <w:kern w:val="0"/>
                <w:sz w:val="24"/>
                <w:lang w:val="en-US" w:eastAsia="zh-CN"/>
              </w:rPr>
              <w:t>0.079</w:t>
            </w:r>
            <w:r>
              <w:rPr>
                <w:color w:val="auto"/>
                <w:kern w:val="0"/>
                <w:sz w:val="24"/>
              </w:rPr>
              <w:t>kg/h</w:t>
            </w:r>
            <w:r>
              <w:rPr>
                <w:rFonts w:hint="eastAsia"/>
                <w:color w:val="auto"/>
                <w:kern w:val="0"/>
                <w:sz w:val="24"/>
                <w:lang w:eastAsia="zh-CN"/>
              </w:rPr>
              <w:t>，排放浓度为</w:t>
            </w:r>
            <w:r>
              <w:rPr>
                <w:rFonts w:hint="eastAsia"/>
                <w:color w:val="auto"/>
                <w:kern w:val="0"/>
                <w:sz w:val="24"/>
                <w:lang w:val="en-US" w:eastAsia="zh-CN"/>
              </w:rPr>
              <w:t>3.58</w:t>
            </w:r>
            <w:r>
              <w:rPr>
                <w:color w:val="auto"/>
                <w:kern w:val="0"/>
                <w:sz w:val="24"/>
              </w:rPr>
              <w:t>mg/m</w:t>
            </w:r>
            <w:r>
              <w:rPr>
                <w:color w:val="auto"/>
                <w:kern w:val="0"/>
                <w:sz w:val="24"/>
                <w:vertAlign w:val="superscript"/>
              </w:rPr>
              <w:t>3</w:t>
            </w:r>
            <w:r>
              <w:rPr>
                <w:rFonts w:hint="eastAsia"/>
                <w:color w:val="auto"/>
                <w:kern w:val="0"/>
                <w:sz w:val="24"/>
                <w:vertAlign w:val="baseline"/>
                <w:lang w:eastAsia="zh-CN"/>
              </w:rPr>
              <w:t>。无组织排放量</w:t>
            </w:r>
            <w:r>
              <w:rPr>
                <w:rFonts w:hint="eastAsia"/>
                <w:color w:val="auto"/>
                <w:kern w:val="0"/>
                <w:sz w:val="24"/>
                <w:vertAlign w:val="baseline"/>
                <w:lang w:val="en-US" w:eastAsia="zh-CN"/>
              </w:rPr>
              <w:t>0.1</w:t>
            </w:r>
            <w:r>
              <w:rPr>
                <w:color w:val="auto"/>
                <w:kern w:val="0"/>
                <w:sz w:val="24"/>
              </w:rPr>
              <w:t>t/a</w:t>
            </w:r>
            <w:r>
              <w:rPr>
                <w:rFonts w:hint="eastAsia"/>
                <w:color w:val="auto"/>
                <w:kern w:val="0"/>
                <w:sz w:val="24"/>
                <w:lang w:eastAsia="zh-CN"/>
              </w:rPr>
              <w:t>，排放速率为</w:t>
            </w:r>
            <w:r>
              <w:rPr>
                <w:rFonts w:hint="eastAsia"/>
                <w:color w:val="auto"/>
                <w:kern w:val="0"/>
                <w:sz w:val="24"/>
                <w:lang w:val="en-US" w:eastAsia="zh-CN"/>
              </w:rPr>
              <w:t>0.042</w:t>
            </w:r>
            <w:r>
              <w:rPr>
                <w:color w:val="auto"/>
                <w:kern w:val="0"/>
                <w:sz w:val="24"/>
              </w:rPr>
              <w:t>kg/h</w:t>
            </w:r>
            <w:r>
              <w:rPr>
                <w:rFonts w:hint="eastAsia"/>
                <w:color w:val="auto"/>
                <w:kern w:val="0"/>
                <w:sz w:val="24"/>
                <w:lang w:val="en-US" w:eastAsia="zh-CN"/>
              </w:rPr>
              <w:t>。</w:t>
            </w:r>
          </w:p>
          <w:p>
            <w:pPr>
              <w:autoSpaceDE w:val="0"/>
              <w:autoSpaceDN w:val="0"/>
              <w:adjustRightInd w:val="0"/>
              <w:snapToGrid w:val="0"/>
              <w:spacing w:line="360" w:lineRule="auto"/>
              <w:ind w:firstLine="480" w:firstLineChars="200"/>
              <w:rPr>
                <w:rFonts w:hint="eastAsia" w:eastAsia="宋体"/>
                <w:color w:val="auto"/>
                <w:kern w:val="0"/>
                <w:sz w:val="24"/>
                <w:lang w:val="en-US" w:eastAsia="zh-CN"/>
              </w:rPr>
            </w:pPr>
            <w:r>
              <w:rPr>
                <w:rFonts w:hint="eastAsia"/>
                <w:color w:val="auto"/>
                <w:kern w:val="0"/>
                <w:sz w:val="24"/>
                <w:lang w:eastAsia="zh-CN"/>
              </w:rPr>
              <w:t>喷漆工序：喷漆、调漆废气产生量</w:t>
            </w:r>
            <w:r>
              <w:rPr>
                <w:rFonts w:hint="eastAsia"/>
                <w:color w:val="auto"/>
                <w:kern w:val="0"/>
                <w:sz w:val="24"/>
                <w:lang w:val="en-US" w:eastAsia="zh-CN"/>
              </w:rPr>
              <w:t>0.105t/a。</w:t>
            </w:r>
            <w:r>
              <w:rPr>
                <w:rFonts w:hint="eastAsia"/>
                <w:color w:val="auto"/>
                <w:sz w:val="24"/>
                <w:szCs w:val="24"/>
                <w:lang w:eastAsia="zh-CN"/>
              </w:rPr>
              <w:t>根据《</w:t>
            </w:r>
            <w:r>
              <w:rPr>
                <w:rFonts w:hint="eastAsia"/>
                <w:color w:val="auto"/>
                <w:sz w:val="24"/>
                <w:szCs w:val="24"/>
                <w:lang w:val="en-US" w:eastAsia="zh-CN"/>
              </w:rPr>
              <w:t>广东省工业源挥发性有机物减排量核算方法（试行）</w:t>
            </w:r>
            <w:r>
              <w:rPr>
                <w:rFonts w:hint="eastAsia"/>
                <w:color w:val="auto"/>
                <w:sz w:val="24"/>
                <w:szCs w:val="24"/>
                <w:lang w:eastAsia="zh-CN"/>
              </w:rPr>
              <w:t>》</w:t>
            </w:r>
            <w:r>
              <w:rPr>
                <w:color w:val="auto"/>
                <w:kern w:val="0"/>
                <w:sz w:val="24"/>
              </w:rPr>
              <w:t>废气收集效率按9</w:t>
            </w:r>
            <w:r>
              <w:rPr>
                <w:rFonts w:hint="eastAsia"/>
                <w:color w:val="auto"/>
                <w:kern w:val="0"/>
                <w:sz w:val="24"/>
                <w:lang w:val="en-US" w:eastAsia="zh-CN"/>
              </w:rPr>
              <w:t>5</w:t>
            </w:r>
            <w:r>
              <w:rPr>
                <w:color w:val="auto"/>
                <w:kern w:val="0"/>
                <w:sz w:val="24"/>
              </w:rPr>
              <w:t>%计</w:t>
            </w:r>
            <w:r>
              <w:rPr>
                <w:rFonts w:hint="eastAsia"/>
                <w:color w:val="auto"/>
                <w:kern w:val="0"/>
                <w:sz w:val="24"/>
                <w:lang w:eastAsia="zh-CN"/>
              </w:rPr>
              <w:t>，</w:t>
            </w:r>
            <w:r>
              <w:rPr>
                <w:color w:val="auto"/>
                <w:kern w:val="0"/>
                <w:sz w:val="24"/>
              </w:rPr>
              <w:t>有机废气有组织产生量为</w:t>
            </w:r>
            <w:r>
              <w:rPr>
                <w:rFonts w:hint="eastAsia"/>
                <w:color w:val="auto"/>
                <w:kern w:val="0"/>
                <w:sz w:val="24"/>
                <w:lang w:val="en-US" w:eastAsia="zh-CN"/>
              </w:rPr>
              <w:t>0.0998</w:t>
            </w:r>
            <w:r>
              <w:rPr>
                <w:color w:val="auto"/>
                <w:kern w:val="0"/>
                <w:sz w:val="24"/>
              </w:rPr>
              <w:t>t/a，产生速率为</w:t>
            </w:r>
            <w:r>
              <w:rPr>
                <w:rFonts w:hint="eastAsia"/>
                <w:color w:val="auto"/>
                <w:kern w:val="0"/>
                <w:sz w:val="24"/>
                <w:lang w:val="en-US" w:eastAsia="zh-CN"/>
              </w:rPr>
              <w:t>0.0416</w:t>
            </w:r>
            <w:r>
              <w:rPr>
                <w:color w:val="auto"/>
                <w:kern w:val="0"/>
                <w:sz w:val="24"/>
              </w:rPr>
              <w:t>kg/h，产生浓度</w:t>
            </w:r>
            <w:r>
              <w:rPr>
                <w:rFonts w:hint="eastAsia"/>
                <w:color w:val="auto"/>
                <w:kern w:val="0"/>
                <w:sz w:val="24"/>
                <w:lang w:val="en-US" w:eastAsia="zh-CN"/>
              </w:rPr>
              <w:t>1.89</w:t>
            </w:r>
            <w:r>
              <w:rPr>
                <w:color w:val="auto"/>
                <w:kern w:val="0"/>
                <w:sz w:val="24"/>
              </w:rPr>
              <w:t>mg/m</w:t>
            </w:r>
            <w:r>
              <w:rPr>
                <w:color w:val="auto"/>
                <w:kern w:val="0"/>
                <w:sz w:val="24"/>
                <w:vertAlign w:val="superscript"/>
              </w:rPr>
              <w:t>3</w:t>
            </w:r>
            <w:r>
              <w:rPr>
                <w:color w:val="auto"/>
                <w:kern w:val="0"/>
                <w:sz w:val="24"/>
              </w:rPr>
              <w:t>。去除率为90%</w:t>
            </w:r>
            <w:r>
              <w:rPr>
                <w:rFonts w:hint="eastAsia"/>
                <w:color w:val="auto"/>
                <w:kern w:val="0"/>
                <w:sz w:val="24"/>
                <w:lang w:eastAsia="zh-CN"/>
              </w:rPr>
              <w:t>，有机废气有组织排放量为</w:t>
            </w:r>
            <w:r>
              <w:rPr>
                <w:rFonts w:hint="eastAsia"/>
                <w:color w:val="auto"/>
                <w:kern w:val="0"/>
                <w:sz w:val="24"/>
                <w:lang w:val="en-US" w:eastAsia="zh-CN"/>
              </w:rPr>
              <w:t>0.01</w:t>
            </w:r>
            <w:r>
              <w:rPr>
                <w:color w:val="auto"/>
                <w:kern w:val="0"/>
                <w:sz w:val="24"/>
              </w:rPr>
              <w:t>t/a</w:t>
            </w:r>
            <w:r>
              <w:rPr>
                <w:rFonts w:hint="eastAsia"/>
                <w:color w:val="auto"/>
                <w:kern w:val="0"/>
                <w:sz w:val="24"/>
                <w:lang w:eastAsia="zh-CN"/>
              </w:rPr>
              <w:t>，排放速率为</w:t>
            </w:r>
            <w:r>
              <w:rPr>
                <w:rFonts w:hint="eastAsia"/>
                <w:color w:val="auto"/>
                <w:kern w:val="0"/>
                <w:sz w:val="24"/>
                <w:lang w:val="en-US" w:eastAsia="zh-CN"/>
              </w:rPr>
              <w:t>0.0042</w:t>
            </w:r>
            <w:r>
              <w:rPr>
                <w:color w:val="auto"/>
                <w:kern w:val="0"/>
                <w:sz w:val="24"/>
              </w:rPr>
              <w:t>kg/h</w:t>
            </w:r>
            <w:r>
              <w:rPr>
                <w:rFonts w:hint="eastAsia"/>
                <w:color w:val="auto"/>
                <w:kern w:val="0"/>
                <w:sz w:val="24"/>
                <w:lang w:eastAsia="zh-CN"/>
              </w:rPr>
              <w:t>，排放浓度为</w:t>
            </w:r>
            <w:r>
              <w:rPr>
                <w:rFonts w:hint="eastAsia"/>
                <w:color w:val="auto"/>
                <w:kern w:val="0"/>
                <w:sz w:val="24"/>
                <w:lang w:val="en-US" w:eastAsia="zh-CN"/>
              </w:rPr>
              <w:t>0.189</w:t>
            </w:r>
            <w:r>
              <w:rPr>
                <w:color w:val="auto"/>
                <w:kern w:val="0"/>
                <w:sz w:val="24"/>
              </w:rPr>
              <w:t>mg/m</w:t>
            </w:r>
            <w:r>
              <w:rPr>
                <w:color w:val="auto"/>
                <w:kern w:val="0"/>
                <w:sz w:val="24"/>
                <w:vertAlign w:val="superscript"/>
              </w:rPr>
              <w:t>3</w:t>
            </w:r>
            <w:r>
              <w:rPr>
                <w:rFonts w:hint="eastAsia"/>
                <w:color w:val="auto"/>
                <w:kern w:val="0"/>
                <w:sz w:val="24"/>
                <w:vertAlign w:val="baseline"/>
                <w:lang w:eastAsia="zh-CN"/>
              </w:rPr>
              <w:t>。无组织排放量</w:t>
            </w:r>
            <w:r>
              <w:rPr>
                <w:rFonts w:hint="eastAsia"/>
                <w:color w:val="auto"/>
                <w:kern w:val="0"/>
                <w:sz w:val="24"/>
                <w:vertAlign w:val="baseline"/>
                <w:lang w:val="en-US" w:eastAsia="zh-CN"/>
              </w:rPr>
              <w:t>0.005</w:t>
            </w:r>
            <w:r>
              <w:rPr>
                <w:color w:val="auto"/>
                <w:kern w:val="0"/>
                <w:sz w:val="24"/>
              </w:rPr>
              <w:t>t/a</w:t>
            </w:r>
            <w:r>
              <w:rPr>
                <w:rFonts w:hint="eastAsia"/>
                <w:color w:val="auto"/>
                <w:kern w:val="0"/>
                <w:sz w:val="24"/>
                <w:lang w:eastAsia="zh-CN"/>
              </w:rPr>
              <w:t>，排放速率为</w:t>
            </w:r>
            <w:r>
              <w:rPr>
                <w:rFonts w:hint="eastAsia"/>
                <w:color w:val="auto"/>
                <w:kern w:val="0"/>
                <w:sz w:val="24"/>
                <w:lang w:val="en-US" w:eastAsia="zh-CN"/>
              </w:rPr>
              <w:t>0.0021</w:t>
            </w:r>
            <w:r>
              <w:rPr>
                <w:color w:val="auto"/>
                <w:kern w:val="0"/>
                <w:sz w:val="24"/>
              </w:rPr>
              <w:t>kg/h</w:t>
            </w:r>
            <w:r>
              <w:rPr>
                <w:rFonts w:hint="eastAsia"/>
                <w:color w:val="auto"/>
                <w:kern w:val="0"/>
                <w:sz w:val="24"/>
                <w:lang w:eastAsia="zh-CN"/>
              </w:rPr>
              <w:t>。</w:t>
            </w:r>
          </w:p>
          <w:p>
            <w:pPr>
              <w:autoSpaceDE w:val="0"/>
              <w:autoSpaceDN w:val="0"/>
              <w:adjustRightInd w:val="0"/>
              <w:snapToGrid w:val="0"/>
              <w:spacing w:line="360" w:lineRule="auto"/>
              <w:ind w:firstLine="480" w:firstLineChars="200"/>
              <w:rPr>
                <w:color w:val="auto"/>
                <w:kern w:val="0"/>
                <w:sz w:val="24"/>
              </w:rPr>
            </w:pPr>
            <w:r>
              <w:rPr>
                <w:color w:val="auto"/>
                <w:kern w:val="0"/>
                <w:sz w:val="24"/>
              </w:rPr>
              <w:t>漆雾：根据总量平衡计算，水性漆的固体份总量为</w:t>
            </w:r>
            <w:r>
              <w:rPr>
                <w:rFonts w:hint="eastAsia"/>
                <w:color w:val="auto"/>
                <w:kern w:val="0"/>
                <w:sz w:val="24"/>
                <w:lang w:val="en-US" w:eastAsia="zh-CN"/>
              </w:rPr>
              <w:t>26.9</w:t>
            </w:r>
            <w:r>
              <w:rPr>
                <w:color w:val="auto"/>
                <w:kern w:val="0"/>
                <w:sz w:val="24"/>
              </w:rPr>
              <w:t>t，本项目使用喷枪喷涂，工作时喷涂距离为15～20cm，根据《涂装工艺与设备》（化学工业出版社），喷涂距离在15～20cm之间时，涂着效率约为70%～85%，本次评价取70%，即喷涂过程中漆料中的固份约为70%附着在部件表面上，30%固份在喷涂过程中损耗（20%形成漆雾，剩余10%的固体组分掉落形成漆渣），则漆雾产生量为</w:t>
            </w:r>
            <w:r>
              <w:rPr>
                <w:rFonts w:hint="eastAsia"/>
                <w:color w:val="auto"/>
                <w:kern w:val="0"/>
                <w:sz w:val="24"/>
                <w:lang w:val="en-US" w:eastAsia="zh-CN"/>
              </w:rPr>
              <w:t>5.38</w:t>
            </w:r>
            <w:r>
              <w:rPr>
                <w:color w:val="auto"/>
                <w:kern w:val="0"/>
                <w:sz w:val="24"/>
              </w:rPr>
              <w:t>t/a</w:t>
            </w:r>
            <w:r>
              <w:rPr>
                <w:rFonts w:hint="eastAsia"/>
                <w:color w:val="auto"/>
                <w:kern w:val="0"/>
                <w:sz w:val="24"/>
                <w:lang w:eastAsia="zh-CN"/>
              </w:rPr>
              <w:t>，漆渣</w:t>
            </w:r>
            <w:r>
              <w:rPr>
                <w:color w:val="auto"/>
                <w:kern w:val="0"/>
                <w:sz w:val="24"/>
              </w:rPr>
              <w:t>产生量为</w:t>
            </w:r>
            <w:r>
              <w:rPr>
                <w:rFonts w:hint="eastAsia"/>
                <w:color w:val="auto"/>
                <w:kern w:val="0"/>
                <w:sz w:val="24"/>
                <w:lang w:val="en-US" w:eastAsia="zh-CN"/>
              </w:rPr>
              <w:t>2.69</w:t>
            </w:r>
            <w:r>
              <w:rPr>
                <w:color w:val="auto"/>
                <w:kern w:val="0"/>
                <w:sz w:val="24"/>
              </w:rPr>
              <w:t>t/a。</w:t>
            </w:r>
          </w:p>
          <w:p>
            <w:pPr>
              <w:autoSpaceDE w:val="0"/>
              <w:autoSpaceDN w:val="0"/>
              <w:adjustRightInd w:val="0"/>
              <w:snapToGrid w:val="0"/>
              <w:spacing w:line="360" w:lineRule="auto"/>
              <w:ind w:firstLine="480" w:firstLineChars="200"/>
              <w:rPr>
                <w:color w:val="auto"/>
                <w:kern w:val="0"/>
                <w:sz w:val="24"/>
              </w:rPr>
            </w:pPr>
            <w:r>
              <w:rPr>
                <w:color w:val="auto"/>
                <w:kern w:val="0"/>
                <w:sz w:val="24"/>
              </w:rPr>
              <w:t>喷漆室设排风系统，并布设干式过滤棉，喷漆房废气（颗粒物）经</w:t>
            </w:r>
            <w:r>
              <w:rPr>
                <w:rFonts w:hint="eastAsia"/>
                <w:color w:val="auto"/>
                <w:kern w:val="0"/>
                <w:sz w:val="24"/>
                <w:lang w:eastAsia="zh-CN"/>
              </w:rPr>
              <w:t>密闭负压</w:t>
            </w:r>
            <w:r>
              <w:rPr>
                <w:color w:val="auto"/>
                <w:kern w:val="0"/>
                <w:sz w:val="24"/>
              </w:rPr>
              <w:t>收集（收集效率以9</w:t>
            </w:r>
            <w:r>
              <w:rPr>
                <w:rFonts w:hint="eastAsia"/>
                <w:color w:val="auto"/>
                <w:kern w:val="0"/>
                <w:sz w:val="24"/>
                <w:lang w:val="en-US" w:eastAsia="zh-CN"/>
              </w:rPr>
              <w:t>5</w:t>
            </w:r>
            <w:r>
              <w:rPr>
                <w:color w:val="auto"/>
                <w:kern w:val="0"/>
                <w:sz w:val="24"/>
              </w:rPr>
              <w:t>%计）由排风系统引入过滤棉过滤漆雾，去除率为90%。</w:t>
            </w:r>
            <w:r>
              <w:rPr>
                <w:rFonts w:hint="eastAsia"/>
                <w:color w:val="auto"/>
                <w:kern w:val="0"/>
                <w:sz w:val="24"/>
                <w:lang w:eastAsia="zh-CN"/>
              </w:rPr>
              <w:t>颗粒物</w:t>
            </w:r>
            <w:r>
              <w:rPr>
                <w:color w:val="auto"/>
                <w:kern w:val="0"/>
                <w:sz w:val="24"/>
              </w:rPr>
              <w:t>有组织产生量为</w:t>
            </w:r>
            <w:r>
              <w:rPr>
                <w:rFonts w:hint="eastAsia"/>
                <w:color w:val="auto"/>
                <w:kern w:val="0"/>
                <w:sz w:val="24"/>
                <w:lang w:val="en-US" w:eastAsia="zh-CN"/>
              </w:rPr>
              <w:t>5.111</w:t>
            </w:r>
            <w:r>
              <w:rPr>
                <w:color w:val="auto"/>
                <w:kern w:val="0"/>
                <w:sz w:val="24"/>
              </w:rPr>
              <w:t>t/a，产生速率为</w:t>
            </w:r>
            <w:r>
              <w:rPr>
                <w:rFonts w:hint="eastAsia"/>
                <w:color w:val="auto"/>
                <w:kern w:val="0"/>
                <w:sz w:val="24"/>
                <w:lang w:val="en-US" w:eastAsia="zh-CN"/>
              </w:rPr>
              <w:t>2.13</w:t>
            </w:r>
            <w:r>
              <w:rPr>
                <w:color w:val="auto"/>
                <w:kern w:val="0"/>
                <w:sz w:val="24"/>
              </w:rPr>
              <w:t>kg/h，浓度为</w:t>
            </w:r>
            <w:r>
              <w:rPr>
                <w:rFonts w:hint="eastAsia"/>
                <w:color w:val="auto"/>
                <w:kern w:val="0"/>
                <w:sz w:val="24"/>
                <w:lang w:val="en-US" w:eastAsia="zh-CN"/>
              </w:rPr>
              <w:t>96.8</w:t>
            </w:r>
            <w:r>
              <w:rPr>
                <w:color w:val="auto"/>
                <w:kern w:val="0"/>
                <w:sz w:val="24"/>
              </w:rPr>
              <w:t>mg/m</w:t>
            </w:r>
            <w:r>
              <w:rPr>
                <w:color w:val="auto"/>
                <w:kern w:val="0"/>
                <w:sz w:val="24"/>
                <w:vertAlign w:val="superscript"/>
              </w:rPr>
              <w:t>3</w:t>
            </w:r>
            <w:r>
              <w:rPr>
                <w:color w:val="auto"/>
                <w:kern w:val="0"/>
                <w:sz w:val="24"/>
              </w:rPr>
              <w:t>。有组织排放量为</w:t>
            </w:r>
            <w:r>
              <w:rPr>
                <w:rFonts w:hint="eastAsia"/>
                <w:color w:val="auto"/>
                <w:kern w:val="0"/>
                <w:sz w:val="24"/>
                <w:lang w:val="en-US" w:eastAsia="zh-CN"/>
              </w:rPr>
              <w:t>0.512</w:t>
            </w:r>
            <w:r>
              <w:rPr>
                <w:color w:val="auto"/>
                <w:kern w:val="0"/>
                <w:sz w:val="24"/>
              </w:rPr>
              <w:t>t/a，有组织排放速率为</w:t>
            </w:r>
            <w:r>
              <w:rPr>
                <w:rFonts w:hint="eastAsia"/>
                <w:color w:val="auto"/>
                <w:kern w:val="0"/>
                <w:sz w:val="24"/>
                <w:lang w:val="en-US" w:eastAsia="zh-CN"/>
              </w:rPr>
              <w:t>0.212</w:t>
            </w:r>
            <w:r>
              <w:rPr>
                <w:color w:val="auto"/>
                <w:kern w:val="0"/>
                <w:sz w:val="24"/>
              </w:rPr>
              <w:t>kg/h，浓度为</w:t>
            </w:r>
            <w:r>
              <w:rPr>
                <w:rFonts w:hint="eastAsia"/>
                <w:color w:val="auto"/>
                <w:kern w:val="0"/>
                <w:sz w:val="24"/>
                <w:lang w:val="en-US" w:eastAsia="zh-CN"/>
              </w:rPr>
              <w:t>9.68</w:t>
            </w:r>
            <w:r>
              <w:rPr>
                <w:color w:val="auto"/>
                <w:kern w:val="0"/>
                <w:sz w:val="24"/>
              </w:rPr>
              <w:t>mg/m</w:t>
            </w:r>
            <w:r>
              <w:rPr>
                <w:color w:val="auto"/>
                <w:kern w:val="0"/>
                <w:sz w:val="24"/>
                <w:vertAlign w:val="superscript"/>
              </w:rPr>
              <w:t>3</w:t>
            </w:r>
            <w:r>
              <w:rPr>
                <w:color w:val="auto"/>
                <w:kern w:val="0"/>
                <w:sz w:val="24"/>
              </w:rPr>
              <w:t>，无组织产生量为</w:t>
            </w:r>
            <w:r>
              <w:rPr>
                <w:rFonts w:hint="eastAsia"/>
                <w:color w:val="auto"/>
                <w:kern w:val="0"/>
                <w:sz w:val="24"/>
              </w:rPr>
              <w:t>0.</w:t>
            </w:r>
            <w:r>
              <w:rPr>
                <w:rFonts w:hint="eastAsia"/>
                <w:color w:val="auto"/>
                <w:kern w:val="0"/>
                <w:sz w:val="24"/>
                <w:lang w:val="en-US" w:eastAsia="zh-CN"/>
              </w:rPr>
              <w:t>269</w:t>
            </w:r>
            <w:r>
              <w:rPr>
                <w:color w:val="auto"/>
                <w:kern w:val="0"/>
                <w:sz w:val="24"/>
              </w:rPr>
              <w:t>t/a，排放速率为</w:t>
            </w:r>
            <w:r>
              <w:rPr>
                <w:rFonts w:hint="eastAsia"/>
                <w:color w:val="auto"/>
                <w:kern w:val="0"/>
                <w:sz w:val="24"/>
              </w:rPr>
              <w:t>0.</w:t>
            </w:r>
            <w:r>
              <w:rPr>
                <w:rFonts w:hint="eastAsia"/>
                <w:color w:val="auto"/>
                <w:kern w:val="0"/>
                <w:sz w:val="24"/>
                <w:lang w:val="en-US" w:eastAsia="zh-CN"/>
              </w:rPr>
              <w:t>112</w:t>
            </w:r>
            <w:r>
              <w:rPr>
                <w:color w:val="auto"/>
                <w:kern w:val="0"/>
                <w:sz w:val="24"/>
              </w:rPr>
              <w:t>kg/h。</w:t>
            </w:r>
          </w:p>
          <w:p>
            <w:pPr>
              <w:autoSpaceDE w:val="0"/>
              <w:autoSpaceDN w:val="0"/>
              <w:adjustRightInd w:val="0"/>
              <w:spacing w:line="360" w:lineRule="auto"/>
              <w:ind w:firstLine="482" w:firstLineChars="200"/>
              <w:rPr>
                <w:rFonts w:hint="eastAsia" w:eastAsia="宋体"/>
                <w:b/>
                <w:bCs/>
                <w:color w:val="auto"/>
                <w:sz w:val="24"/>
                <w:lang w:eastAsia="zh-CN"/>
              </w:rPr>
            </w:pPr>
            <w:r>
              <w:rPr>
                <w:rFonts w:hint="eastAsia"/>
                <w:b/>
                <w:bCs/>
                <w:color w:val="auto"/>
                <w:sz w:val="24"/>
              </w:rPr>
              <w:t>⑥</w:t>
            </w:r>
            <w:r>
              <w:rPr>
                <w:b/>
                <w:bCs/>
                <w:color w:val="auto"/>
                <w:sz w:val="24"/>
              </w:rPr>
              <w:t>危废仓库废气</w:t>
            </w:r>
            <w:r>
              <w:rPr>
                <w:rFonts w:hint="eastAsia"/>
                <w:b/>
                <w:bCs/>
                <w:color w:val="auto"/>
                <w:sz w:val="24"/>
                <w:lang w:eastAsia="zh-CN"/>
              </w:rPr>
              <w:t>（</w:t>
            </w:r>
            <w:r>
              <w:rPr>
                <w:rFonts w:hint="eastAsia"/>
                <w:b/>
                <w:bCs/>
                <w:color w:val="auto"/>
                <w:sz w:val="24"/>
                <w:lang w:val="en-US" w:eastAsia="zh-CN"/>
              </w:rPr>
              <w:t>G9</w:t>
            </w:r>
            <w:r>
              <w:rPr>
                <w:rFonts w:hint="eastAsia"/>
                <w:b/>
                <w:bCs/>
                <w:color w:val="auto"/>
                <w:sz w:val="24"/>
                <w:lang w:eastAsia="zh-CN"/>
              </w:rPr>
              <w:t>）</w:t>
            </w:r>
          </w:p>
          <w:p>
            <w:pPr>
              <w:autoSpaceDE w:val="0"/>
              <w:autoSpaceDN w:val="0"/>
              <w:adjustRightInd w:val="0"/>
              <w:snapToGrid w:val="0"/>
              <w:spacing w:line="360" w:lineRule="auto"/>
              <w:ind w:firstLine="480" w:firstLineChars="200"/>
              <w:rPr>
                <w:color w:val="auto"/>
                <w:kern w:val="0"/>
                <w:sz w:val="24"/>
              </w:rPr>
            </w:pPr>
            <w:r>
              <w:rPr>
                <w:color w:val="auto"/>
                <w:kern w:val="0"/>
                <w:sz w:val="24"/>
              </w:rPr>
              <w:t>建设项目危险废物暂存场所贮存的危险废物主要为：废润滑油、废漆渣等，根据危险废物性状，采取密闭封存</w:t>
            </w:r>
            <w:r>
              <w:rPr>
                <w:rFonts w:hint="eastAsia"/>
                <w:color w:val="auto"/>
                <w:kern w:val="0"/>
                <w:sz w:val="24"/>
              </w:rPr>
              <w:t>，全厂最大贮存量为根据以往工程经验，本次危废库有机废气约为危废量的1%。</w:t>
            </w:r>
            <w:r>
              <w:rPr>
                <w:rFonts w:hint="eastAsia"/>
                <w:color w:val="auto"/>
                <w:kern w:val="0"/>
                <w:sz w:val="24"/>
                <w:lang w:eastAsia="zh-CN"/>
              </w:rPr>
              <w:t>危废量为</w:t>
            </w:r>
            <w:r>
              <w:rPr>
                <w:rFonts w:hint="eastAsia"/>
                <w:color w:val="auto"/>
                <w:kern w:val="0"/>
                <w:sz w:val="24"/>
                <w:lang w:val="en-US" w:eastAsia="zh-CN"/>
              </w:rPr>
              <w:t>11.9901t/a，则</w:t>
            </w:r>
            <w:r>
              <w:rPr>
                <w:rFonts w:hint="eastAsia"/>
                <w:color w:val="auto"/>
                <w:kern w:val="0"/>
                <w:sz w:val="24"/>
              </w:rPr>
              <w:t>危废库废气量约0.</w:t>
            </w:r>
            <w:r>
              <w:rPr>
                <w:rFonts w:hint="eastAsia"/>
                <w:color w:val="auto"/>
                <w:kern w:val="0"/>
                <w:sz w:val="24"/>
                <w:lang w:val="en-US" w:eastAsia="zh-CN"/>
              </w:rPr>
              <w:t>1199</w:t>
            </w:r>
            <w:r>
              <w:rPr>
                <w:rFonts w:hint="eastAsia"/>
                <w:color w:val="auto"/>
                <w:kern w:val="0"/>
                <w:sz w:val="24"/>
              </w:rPr>
              <w:t>t/a</w:t>
            </w:r>
            <w:r>
              <w:rPr>
                <w:rFonts w:hint="eastAsia"/>
                <w:color w:val="auto"/>
                <w:kern w:val="0"/>
                <w:sz w:val="24"/>
                <w:lang w:eastAsia="zh-CN"/>
              </w:rPr>
              <w:t>。</w:t>
            </w:r>
            <w:r>
              <w:rPr>
                <w:rFonts w:hint="eastAsia"/>
                <w:color w:val="auto"/>
                <w:kern w:val="0"/>
                <w:sz w:val="24"/>
              </w:rPr>
              <w:t>危废库废气经</w:t>
            </w:r>
            <w:r>
              <w:rPr>
                <w:color w:val="auto"/>
                <w:kern w:val="0"/>
                <w:sz w:val="24"/>
              </w:rPr>
              <w:t>集气罩收集</w:t>
            </w:r>
            <w:r>
              <w:rPr>
                <w:rFonts w:hint="eastAsia"/>
                <w:color w:val="auto"/>
                <w:kern w:val="0"/>
                <w:sz w:val="24"/>
              </w:rPr>
              <w:t>后经</w:t>
            </w:r>
            <w:r>
              <w:rPr>
                <w:color w:val="auto"/>
                <w:kern w:val="0"/>
                <w:sz w:val="24"/>
              </w:rPr>
              <w:t>活性炭吸附</w:t>
            </w:r>
            <w:r>
              <w:rPr>
                <w:rFonts w:hint="eastAsia"/>
                <w:color w:val="auto"/>
                <w:kern w:val="0"/>
                <w:sz w:val="24"/>
              </w:rPr>
              <w:t>装置处理后</w:t>
            </w:r>
            <w:r>
              <w:rPr>
                <w:color w:val="auto"/>
                <w:kern w:val="0"/>
                <w:sz w:val="24"/>
              </w:rPr>
              <w:t>15米排气筒</w:t>
            </w:r>
            <w:r>
              <w:rPr>
                <w:rFonts w:hint="eastAsia"/>
                <w:color w:val="auto"/>
                <w:kern w:val="0"/>
                <w:sz w:val="24"/>
                <w:lang w:val="en-US" w:eastAsia="zh-CN"/>
              </w:rPr>
              <w:t>DA002</w:t>
            </w:r>
            <w:r>
              <w:rPr>
                <w:color w:val="auto"/>
                <w:kern w:val="0"/>
                <w:sz w:val="24"/>
              </w:rPr>
              <w:t>排放</w:t>
            </w:r>
            <w:r>
              <w:rPr>
                <w:rFonts w:hint="eastAsia"/>
                <w:color w:val="auto"/>
                <w:kern w:val="0"/>
                <w:sz w:val="24"/>
                <w:lang w:eastAsia="zh-CN"/>
              </w:rPr>
              <w:t>，</w:t>
            </w:r>
            <w:r>
              <w:rPr>
                <w:rFonts w:hint="eastAsia"/>
                <w:color w:val="auto"/>
                <w:kern w:val="0"/>
                <w:sz w:val="24"/>
              </w:rPr>
              <w:t>有组织产生量为0.</w:t>
            </w:r>
            <w:r>
              <w:rPr>
                <w:rFonts w:hint="eastAsia"/>
                <w:color w:val="auto"/>
                <w:kern w:val="0"/>
                <w:sz w:val="24"/>
                <w:lang w:val="en-US" w:eastAsia="zh-CN"/>
              </w:rPr>
              <w:t>1079</w:t>
            </w:r>
            <w:r>
              <w:rPr>
                <w:rFonts w:hint="eastAsia"/>
                <w:color w:val="auto"/>
                <w:kern w:val="0"/>
                <w:sz w:val="24"/>
              </w:rPr>
              <w:t>t/a，产生速率0.</w:t>
            </w:r>
            <w:r>
              <w:rPr>
                <w:rFonts w:hint="eastAsia"/>
                <w:color w:val="auto"/>
                <w:kern w:val="0"/>
                <w:sz w:val="24"/>
                <w:lang w:val="en-US" w:eastAsia="zh-CN"/>
              </w:rPr>
              <w:t>0499</w:t>
            </w:r>
            <w:r>
              <w:rPr>
                <w:rFonts w:hint="eastAsia"/>
                <w:color w:val="auto"/>
                <w:kern w:val="0"/>
                <w:sz w:val="24"/>
              </w:rPr>
              <w:t>kg/h，</w:t>
            </w:r>
            <w:r>
              <w:rPr>
                <w:rFonts w:hint="eastAsia"/>
                <w:color w:val="auto"/>
                <w:kern w:val="0"/>
                <w:sz w:val="24"/>
                <w:lang w:eastAsia="zh-CN"/>
              </w:rPr>
              <w:t>产生浓度</w:t>
            </w:r>
            <w:r>
              <w:rPr>
                <w:rFonts w:hint="eastAsia"/>
                <w:color w:val="auto"/>
                <w:kern w:val="0"/>
                <w:sz w:val="24"/>
                <w:lang w:val="en-US" w:eastAsia="zh-CN"/>
              </w:rPr>
              <w:t>2.27</w:t>
            </w:r>
            <w:r>
              <w:rPr>
                <w:rFonts w:hint="eastAsia"/>
                <w:color w:val="auto"/>
                <w:kern w:val="0"/>
                <w:sz w:val="24"/>
              </w:rPr>
              <w:t>mg/m</w:t>
            </w:r>
            <w:r>
              <w:rPr>
                <w:rFonts w:hint="eastAsia"/>
                <w:color w:val="auto"/>
                <w:kern w:val="0"/>
                <w:sz w:val="24"/>
                <w:vertAlign w:val="superscript"/>
              </w:rPr>
              <w:t>3</w:t>
            </w:r>
            <w:r>
              <w:rPr>
                <w:rFonts w:hint="eastAsia"/>
                <w:color w:val="auto"/>
                <w:kern w:val="0"/>
                <w:sz w:val="24"/>
                <w:vertAlign w:val="baseline"/>
                <w:lang w:eastAsia="zh-CN"/>
              </w:rPr>
              <w:t>，</w:t>
            </w:r>
            <w:r>
              <w:rPr>
                <w:rFonts w:hint="eastAsia"/>
                <w:color w:val="auto"/>
                <w:kern w:val="0"/>
                <w:sz w:val="24"/>
              </w:rPr>
              <w:t>排放量0.0</w:t>
            </w:r>
            <w:r>
              <w:rPr>
                <w:rFonts w:hint="eastAsia"/>
                <w:color w:val="auto"/>
                <w:kern w:val="0"/>
                <w:sz w:val="24"/>
                <w:lang w:val="en-US" w:eastAsia="zh-CN"/>
              </w:rPr>
              <w:t>108</w:t>
            </w:r>
            <w:r>
              <w:rPr>
                <w:rFonts w:hint="eastAsia"/>
                <w:color w:val="auto"/>
                <w:kern w:val="0"/>
                <w:sz w:val="24"/>
              </w:rPr>
              <w:t>t/a，排放速率0.0</w:t>
            </w:r>
            <w:r>
              <w:rPr>
                <w:rFonts w:hint="eastAsia"/>
                <w:color w:val="auto"/>
                <w:kern w:val="0"/>
                <w:sz w:val="24"/>
                <w:lang w:val="en-US" w:eastAsia="zh-CN"/>
              </w:rPr>
              <w:t>050</w:t>
            </w:r>
            <w:r>
              <w:rPr>
                <w:rFonts w:hint="eastAsia"/>
                <w:color w:val="auto"/>
                <w:kern w:val="0"/>
                <w:sz w:val="24"/>
              </w:rPr>
              <w:t>kg/h，排放浓度</w:t>
            </w:r>
            <w:r>
              <w:rPr>
                <w:rFonts w:hint="eastAsia"/>
                <w:color w:val="auto"/>
                <w:kern w:val="0"/>
                <w:sz w:val="24"/>
                <w:lang w:val="en-US" w:eastAsia="zh-CN"/>
              </w:rPr>
              <w:t>0.23</w:t>
            </w:r>
            <w:r>
              <w:rPr>
                <w:rFonts w:hint="eastAsia"/>
                <w:color w:val="auto"/>
                <w:kern w:val="0"/>
                <w:sz w:val="24"/>
              </w:rPr>
              <w:t>mg/m</w:t>
            </w:r>
            <w:r>
              <w:rPr>
                <w:rFonts w:hint="eastAsia"/>
                <w:color w:val="auto"/>
                <w:kern w:val="0"/>
                <w:sz w:val="24"/>
                <w:vertAlign w:val="superscript"/>
              </w:rPr>
              <w:t>3</w:t>
            </w:r>
            <w:r>
              <w:rPr>
                <w:rFonts w:hint="eastAsia"/>
                <w:color w:val="auto"/>
                <w:kern w:val="0"/>
                <w:sz w:val="24"/>
              </w:rPr>
              <w:t>。无组织排放量为</w:t>
            </w:r>
            <w:r>
              <w:rPr>
                <w:rFonts w:hint="eastAsia"/>
                <w:color w:val="auto"/>
                <w:kern w:val="0"/>
                <w:sz w:val="24"/>
                <w:lang w:val="en-US" w:eastAsia="zh-CN"/>
              </w:rPr>
              <w:t>0.012</w:t>
            </w:r>
            <w:r>
              <w:rPr>
                <w:rFonts w:hint="eastAsia"/>
                <w:color w:val="auto"/>
                <w:kern w:val="0"/>
                <w:sz w:val="24"/>
              </w:rPr>
              <w:t>t/a，排放速率</w:t>
            </w:r>
            <w:r>
              <w:rPr>
                <w:rFonts w:hint="eastAsia"/>
                <w:color w:val="auto"/>
                <w:kern w:val="0"/>
                <w:sz w:val="24"/>
                <w:lang w:val="en-US" w:eastAsia="zh-CN"/>
              </w:rPr>
              <w:t>0.005</w:t>
            </w:r>
            <w:r>
              <w:rPr>
                <w:rFonts w:hint="eastAsia"/>
                <w:color w:val="auto"/>
                <w:kern w:val="0"/>
                <w:sz w:val="24"/>
              </w:rPr>
              <w:t>kg/h。</w:t>
            </w:r>
          </w:p>
          <w:p>
            <w:pPr>
              <w:pStyle w:val="42"/>
              <w:wordWrap w:val="0"/>
              <w:adjustRightInd w:val="0"/>
              <w:snapToGrid w:val="0"/>
              <w:spacing w:line="360" w:lineRule="auto"/>
              <w:ind w:firstLine="482"/>
              <w:rPr>
                <w:color w:val="auto"/>
                <w:sz w:val="24"/>
              </w:rPr>
            </w:pPr>
            <w:r>
              <w:rPr>
                <w:b/>
                <w:bCs/>
                <w:color w:val="auto"/>
                <w:sz w:val="24"/>
              </w:rPr>
              <w:t>⑦非正常排放分析</w:t>
            </w:r>
          </w:p>
          <w:p>
            <w:pPr>
              <w:widowControl/>
              <w:spacing w:line="360" w:lineRule="auto"/>
              <w:ind w:firstLine="480" w:firstLineChars="200"/>
              <w:jc w:val="left"/>
              <w:rPr>
                <w:color w:val="auto"/>
              </w:rPr>
            </w:pPr>
            <w:r>
              <w:rPr>
                <w:color w:val="auto"/>
                <w:kern w:val="0"/>
                <w:sz w:val="24"/>
                <w:lang w:bidi="ar"/>
              </w:rPr>
              <w:t>根据项目各污染物源强及治理措施情况，非正常工况主要考虑活性炭更换不及时等，导致废气处理效率下降至0%，类比同类项目发生频次小于1次/年，单次持续时间以1小时计，非正常排放量核算见表4.2-</w:t>
            </w:r>
            <w:r>
              <w:rPr>
                <w:rFonts w:hint="eastAsia"/>
                <w:color w:val="auto"/>
                <w:kern w:val="0"/>
                <w:sz w:val="24"/>
                <w:lang w:bidi="ar"/>
              </w:rPr>
              <w:t>7</w:t>
            </w:r>
            <w:r>
              <w:rPr>
                <w:color w:val="auto"/>
                <w:kern w:val="0"/>
                <w:sz w:val="24"/>
                <w:lang w:bidi="ar"/>
              </w:rPr>
              <w:t>。</w:t>
            </w:r>
          </w:p>
          <w:p>
            <w:pPr>
              <w:wordWrap w:val="0"/>
              <w:jc w:val="center"/>
              <w:rPr>
                <w:b/>
                <w:bCs/>
                <w:color w:val="auto"/>
                <w:szCs w:val="22"/>
              </w:rPr>
            </w:pPr>
            <w:r>
              <w:rPr>
                <w:b/>
                <w:bCs/>
                <w:color w:val="auto"/>
                <w:szCs w:val="22"/>
              </w:rPr>
              <w:t>表4.2-</w:t>
            </w:r>
            <w:r>
              <w:rPr>
                <w:rFonts w:hint="eastAsia"/>
                <w:b/>
                <w:bCs/>
                <w:color w:val="auto"/>
                <w:szCs w:val="22"/>
              </w:rPr>
              <w:t>7</w:t>
            </w:r>
            <w:r>
              <w:rPr>
                <w:b/>
                <w:bCs/>
                <w:color w:val="auto"/>
                <w:szCs w:val="22"/>
              </w:rPr>
              <w:t xml:space="preserve"> 非正常工况下废气排放情况表</w:t>
            </w:r>
          </w:p>
          <w:tbl>
            <w:tblPr>
              <w:tblStyle w:val="20"/>
              <w:tblW w:w="5000" w:type="pct"/>
              <w:jc w:val="center"/>
              <w:tblBorders>
                <w:top w:val="single" w:color="000000" w:sz="12" w:space="0"/>
                <w:left w:val="none" w:color="auto" w:sz="0" w:space="0"/>
                <w:bottom w:val="single" w:color="000000" w:sz="12" w:space="0"/>
                <w:right w:val="none" w:color="auto" w:sz="0" w:space="0"/>
                <w:insideH w:val="single" w:color="000000" w:sz="4" w:space="0"/>
                <w:insideV w:val="single" w:color="000000" w:sz="6" w:space="0"/>
              </w:tblBorders>
              <w:tblLayout w:type="autofit"/>
              <w:tblCellMar>
                <w:top w:w="0" w:type="dxa"/>
                <w:left w:w="28" w:type="dxa"/>
                <w:bottom w:w="0" w:type="dxa"/>
                <w:right w:w="28" w:type="dxa"/>
              </w:tblCellMar>
            </w:tblPr>
            <w:tblGrid>
              <w:gridCol w:w="553"/>
              <w:gridCol w:w="1051"/>
              <w:gridCol w:w="837"/>
              <w:gridCol w:w="629"/>
              <w:gridCol w:w="1086"/>
              <w:gridCol w:w="959"/>
              <w:gridCol w:w="783"/>
              <w:gridCol w:w="654"/>
              <w:gridCol w:w="655"/>
              <w:gridCol w:w="1763"/>
            </w:tblGrid>
            <w:tr>
              <w:tblPrEx>
                <w:tblBorders>
                  <w:top w:val="single" w:color="000000" w:sz="12" w:space="0"/>
                  <w:left w:val="none" w:color="auto" w:sz="0" w:space="0"/>
                  <w:bottom w:val="single" w:color="000000" w:sz="12" w:space="0"/>
                  <w:right w:val="none" w:color="auto" w:sz="0" w:space="0"/>
                  <w:insideH w:val="single" w:color="000000" w:sz="4" w:space="0"/>
                  <w:insideV w:val="single" w:color="000000" w:sz="6" w:space="0"/>
                </w:tblBorders>
                <w:tblCellMar>
                  <w:top w:w="0" w:type="dxa"/>
                  <w:left w:w="28" w:type="dxa"/>
                  <w:bottom w:w="0" w:type="dxa"/>
                  <w:right w:w="28" w:type="dxa"/>
                </w:tblCellMar>
              </w:tblPrEx>
              <w:trPr>
                <w:trHeight w:val="338" w:hRule="atLeast"/>
                <w:jc w:val="center"/>
              </w:trPr>
              <w:tc>
                <w:tcPr>
                  <w:tcW w:w="308" w:type="pct"/>
                  <w:vAlign w:val="center"/>
                </w:tcPr>
                <w:p>
                  <w:pPr>
                    <w:widowControl/>
                    <w:adjustRightInd w:val="0"/>
                    <w:snapToGrid w:val="0"/>
                    <w:jc w:val="center"/>
                    <w:rPr>
                      <w:b/>
                      <w:color w:val="auto"/>
                      <w:kern w:val="0"/>
                      <w:szCs w:val="21"/>
                    </w:rPr>
                  </w:pPr>
                  <w:r>
                    <w:rPr>
                      <w:b/>
                      <w:color w:val="auto"/>
                      <w:kern w:val="0"/>
                      <w:szCs w:val="21"/>
                    </w:rPr>
                    <w:t>污染源</w:t>
                  </w:r>
                </w:p>
              </w:tc>
              <w:tc>
                <w:tcPr>
                  <w:tcW w:w="585" w:type="pct"/>
                  <w:vAlign w:val="center"/>
                </w:tcPr>
                <w:p>
                  <w:pPr>
                    <w:widowControl/>
                    <w:adjustRightInd w:val="0"/>
                    <w:snapToGrid w:val="0"/>
                    <w:jc w:val="center"/>
                    <w:rPr>
                      <w:b/>
                      <w:color w:val="auto"/>
                      <w:kern w:val="0"/>
                      <w:szCs w:val="21"/>
                    </w:rPr>
                  </w:pPr>
                  <w:r>
                    <w:rPr>
                      <w:b/>
                      <w:color w:val="auto"/>
                      <w:kern w:val="0"/>
                      <w:szCs w:val="21"/>
                    </w:rPr>
                    <w:t>非正常排放原因</w:t>
                  </w:r>
                </w:p>
              </w:tc>
              <w:tc>
                <w:tcPr>
                  <w:tcW w:w="466" w:type="pct"/>
                  <w:vAlign w:val="center"/>
                </w:tcPr>
                <w:p>
                  <w:pPr>
                    <w:widowControl/>
                    <w:adjustRightInd w:val="0"/>
                    <w:snapToGrid w:val="0"/>
                    <w:jc w:val="center"/>
                    <w:rPr>
                      <w:b/>
                      <w:color w:val="auto"/>
                      <w:kern w:val="0"/>
                      <w:szCs w:val="21"/>
                    </w:rPr>
                  </w:pPr>
                  <w:r>
                    <w:rPr>
                      <w:b/>
                      <w:color w:val="auto"/>
                      <w:kern w:val="0"/>
                      <w:szCs w:val="21"/>
                    </w:rPr>
                    <w:t>非正常工况废气处理效率</w:t>
                  </w:r>
                </w:p>
              </w:tc>
              <w:tc>
                <w:tcPr>
                  <w:tcW w:w="350" w:type="pct"/>
                  <w:vAlign w:val="center"/>
                </w:tcPr>
                <w:p>
                  <w:pPr>
                    <w:widowControl/>
                    <w:adjustRightInd w:val="0"/>
                    <w:snapToGrid w:val="0"/>
                    <w:jc w:val="center"/>
                    <w:rPr>
                      <w:b/>
                      <w:color w:val="auto"/>
                      <w:kern w:val="0"/>
                      <w:szCs w:val="21"/>
                    </w:rPr>
                  </w:pPr>
                  <w:r>
                    <w:rPr>
                      <w:b/>
                      <w:color w:val="auto"/>
                      <w:kern w:val="0"/>
                      <w:szCs w:val="21"/>
                    </w:rPr>
                    <w:t>污染物</w:t>
                  </w:r>
                </w:p>
              </w:tc>
              <w:tc>
                <w:tcPr>
                  <w:tcW w:w="605" w:type="pct"/>
                  <w:vAlign w:val="center"/>
                </w:tcPr>
                <w:p>
                  <w:pPr>
                    <w:widowControl/>
                    <w:jc w:val="center"/>
                    <w:rPr>
                      <w:color w:val="auto"/>
                      <w:szCs w:val="21"/>
                    </w:rPr>
                  </w:pPr>
                  <w:r>
                    <w:rPr>
                      <w:b/>
                      <w:bCs/>
                      <w:color w:val="auto"/>
                      <w:kern w:val="0"/>
                      <w:szCs w:val="21"/>
                      <w:lang w:bidi="ar"/>
                    </w:rPr>
                    <w:t>非正常排</w:t>
                  </w:r>
                </w:p>
                <w:p>
                  <w:pPr>
                    <w:widowControl/>
                    <w:jc w:val="center"/>
                    <w:rPr>
                      <w:color w:val="auto"/>
                      <w:szCs w:val="21"/>
                    </w:rPr>
                  </w:pPr>
                  <w:r>
                    <w:rPr>
                      <w:b/>
                      <w:bCs/>
                      <w:color w:val="auto"/>
                      <w:kern w:val="0"/>
                      <w:szCs w:val="21"/>
                      <w:lang w:bidi="ar"/>
                    </w:rPr>
                    <w:t>放浓度</w:t>
                  </w:r>
                </w:p>
                <w:p>
                  <w:pPr>
                    <w:widowControl/>
                    <w:jc w:val="center"/>
                    <w:rPr>
                      <w:b/>
                      <w:color w:val="auto"/>
                      <w:kern w:val="0"/>
                      <w:szCs w:val="21"/>
                    </w:rPr>
                  </w:pPr>
                  <w:r>
                    <w:rPr>
                      <w:b/>
                      <w:bCs/>
                      <w:color w:val="auto"/>
                      <w:kern w:val="0"/>
                      <w:szCs w:val="21"/>
                      <w:lang w:bidi="ar"/>
                    </w:rPr>
                    <w:t>（mg/m</w:t>
                  </w:r>
                  <w:r>
                    <w:rPr>
                      <w:b/>
                      <w:bCs/>
                      <w:color w:val="auto"/>
                      <w:kern w:val="0"/>
                      <w:szCs w:val="21"/>
                      <w:vertAlign w:val="superscript"/>
                      <w:lang w:bidi="ar"/>
                    </w:rPr>
                    <w:t>3</w:t>
                  </w:r>
                  <w:r>
                    <w:rPr>
                      <w:b/>
                      <w:bCs/>
                      <w:color w:val="auto"/>
                      <w:kern w:val="0"/>
                      <w:szCs w:val="21"/>
                      <w:lang w:bidi="ar"/>
                    </w:rPr>
                    <w:t>）</w:t>
                  </w:r>
                </w:p>
              </w:tc>
              <w:tc>
                <w:tcPr>
                  <w:tcW w:w="534" w:type="pct"/>
                  <w:vAlign w:val="center"/>
                </w:tcPr>
                <w:p>
                  <w:pPr>
                    <w:widowControl/>
                    <w:adjustRightInd w:val="0"/>
                    <w:snapToGrid w:val="0"/>
                    <w:jc w:val="center"/>
                    <w:rPr>
                      <w:b/>
                      <w:color w:val="auto"/>
                      <w:kern w:val="0"/>
                      <w:szCs w:val="21"/>
                    </w:rPr>
                  </w:pPr>
                  <w:r>
                    <w:rPr>
                      <w:b/>
                      <w:color w:val="auto"/>
                      <w:kern w:val="0"/>
                      <w:szCs w:val="21"/>
                    </w:rPr>
                    <w:t>非正常排放速率（kg/h）</w:t>
                  </w:r>
                </w:p>
              </w:tc>
              <w:tc>
                <w:tcPr>
                  <w:tcW w:w="436" w:type="pct"/>
                  <w:vAlign w:val="center"/>
                </w:tcPr>
                <w:p>
                  <w:pPr>
                    <w:widowControl/>
                    <w:adjustRightInd w:val="0"/>
                    <w:snapToGrid w:val="0"/>
                    <w:jc w:val="center"/>
                    <w:rPr>
                      <w:b/>
                      <w:color w:val="auto"/>
                      <w:kern w:val="0"/>
                      <w:szCs w:val="21"/>
                    </w:rPr>
                  </w:pPr>
                  <w:r>
                    <w:rPr>
                      <w:b/>
                      <w:color w:val="auto"/>
                      <w:kern w:val="0"/>
                      <w:szCs w:val="21"/>
                    </w:rPr>
                    <w:t>非正常排放量（t/a）</w:t>
                  </w:r>
                </w:p>
              </w:tc>
              <w:tc>
                <w:tcPr>
                  <w:tcW w:w="364" w:type="pct"/>
                  <w:vAlign w:val="center"/>
                </w:tcPr>
                <w:p>
                  <w:pPr>
                    <w:widowControl/>
                    <w:adjustRightInd w:val="0"/>
                    <w:snapToGrid w:val="0"/>
                    <w:jc w:val="center"/>
                    <w:rPr>
                      <w:b/>
                      <w:color w:val="auto"/>
                      <w:kern w:val="0"/>
                      <w:szCs w:val="21"/>
                    </w:rPr>
                  </w:pPr>
                  <w:r>
                    <w:rPr>
                      <w:b/>
                      <w:color w:val="auto"/>
                      <w:kern w:val="0"/>
                      <w:szCs w:val="21"/>
                    </w:rPr>
                    <w:t>单次持续时间（h）</w:t>
                  </w:r>
                </w:p>
              </w:tc>
              <w:tc>
                <w:tcPr>
                  <w:tcW w:w="365" w:type="pct"/>
                  <w:vAlign w:val="center"/>
                </w:tcPr>
                <w:p>
                  <w:pPr>
                    <w:widowControl/>
                    <w:adjustRightInd w:val="0"/>
                    <w:snapToGrid w:val="0"/>
                    <w:jc w:val="center"/>
                    <w:rPr>
                      <w:b/>
                      <w:color w:val="auto"/>
                      <w:kern w:val="0"/>
                      <w:szCs w:val="21"/>
                    </w:rPr>
                  </w:pPr>
                  <w:r>
                    <w:rPr>
                      <w:b/>
                      <w:color w:val="auto"/>
                      <w:kern w:val="0"/>
                      <w:szCs w:val="21"/>
                    </w:rPr>
                    <w:t>发生频次（次/年）</w:t>
                  </w:r>
                </w:p>
              </w:tc>
              <w:tc>
                <w:tcPr>
                  <w:tcW w:w="982" w:type="pct"/>
                  <w:vAlign w:val="center"/>
                </w:tcPr>
                <w:p>
                  <w:pPr>
                    <w:widowControl/>
                    <w:jc w:val="center"/>
                    <w:rPr>
                      <w:b/>
                      <w:color w:val="auto"/>
                      <w:kern w:val="0"/>
                      <w:szCs w:val="21"/>
                    </w:rPr>
                  </w:pPr>
                  <w:r>
                    <w:rPr>
                      <w:b/>
                      <w:bCs/>
                      <w:color w:val="auto"/>
                      <w:kern w:val="0"/>
                      <w:szCs w:val="21"/>
                      <w:lang w:bidi="ar"/>
                    </w:rPr>
                    <w:t>应对措施</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6" w:space="0"/>
                </w:tblBorders>
                <w:tblCellMar>
                  <w:top w:w="0" w:type="dxa"/>
                  <w:left w:w="28" w:type="dxa"/>
                  <w:bottom w:w="0" w:type="dxa"/>
                  <w:right w:w="28" w:type="dxa"/>
                </w:tblCellMar>
              </w:tblPrEx>
              <w:trPr>
                <w:trHeight w:val="245" w:hRule="atLeast"/>
                <w:jc w:val="center"/>
              </w:trPr>
              <w:tc>
                <w:tcPr>
                  <w:tcW w:w="308" w:type="pct"/>
                  <w:vAlign w:val="center"/>
                </w:tcPr>
                <w:p>
                  <w:pPr>
                    <w:pStyle w:val="32"/>
                    <w:wordWrap w:val="0"/>
                    <w:spacing w:beforeLines="0" w:afterLines="0" w:line="240" w:lineRule="auto"/>
                    <w:rPr>
                      <w:rFonts w:ascii="Times New Roman"/>
                      <w:color w:val="auto"/>
                      <w:kern w:val="2"/>
                      <w:szCs w:val="21"/>
                    </w:rPr>
                  </w:pPr>
                  <w:r>
                    <w:rPr>
                      <w:rFonts w:ascii="Times New Roman"/>
                      <w:color w:val="auto"/>
                      <w:kern w:val="2"/>
                      <w:szCs w:val="21"/>
                    </w:rPr>
                    <w:t>DA001</w:t>
                  </w:r>
                </w:p>
              </w:tc>
              <w:tc>
                <w:tcPr>
                  <w:tcW w:w="585" w:type="pct"/>
                  <w:vAlign w:val="center"/>
                </w:tcPr>
                <w:p>
                  <w:pPr>
                    <w:widowControl/>
                    <w:jc w:val="center"/>
                    <w:textAlignment w:val="center"/>
                    <w:rPr>
                      <w:color w:val="auto"/>
                      <w:kern w:val="0"/>
                      <w:szCs w:val="21"/>
                      <w:lang w:bidi="ar"/>
                    </w:rPr>
                  </w:pPr>
                  <w:r>
                    <w:rPr>
                      <w:color w:val="auto"/>
                      <w:kern w:val="0"/>
                      <w:szCs w:val="21"/>
                      <w:lang w:bidi="ar"/>
                    </w:rPr>
                    <w:t>布袋不及时更换</w:t>
                  </w:r>
                </w:p>
              </w:tc>
              <w:tc>
                <w:tcPr>
                  <w:tcW w:w="466" w:type="pct"/>
                  <w:vAlign w:val="center"/>
                </w:tcPr>
                <w:p>
                  <w:pPr>
                    <w:widowControl/>
                    <w:adjustRightInd w:val="0"/>
                    <w:snapToGrid w:val="0"/>
                    <w:jc w:val="center"/>
                    <w:rPr>
                      <w:color w:val="auto"/>
                      <w:kern w:val="0"/>
                      <w:szCs w:val="21"/>
                    </w:rPr>
                  </w:pPr>
                  <w:r>
                    <w:rPr>
                      <w:color w:val="auto"/>
                      <w:kern w:val="0"/>
                      <w:szCs w:val="21"/>
                    </w:rPr>
                    <w:t>0%</w:t>
                  </w:r>
                </w:p>
              </w:tc>
              <w:tc>
                <w:tcPr>
                  <w:tcW w:w="350" w:type="pct"/>
                  <w:vAlign w:val="center"/>
                </w:tcPr>
                <w:p>
                  <w:pPr>
                    <w:widowControl/>
                    <w:adjustRightInd w:val="0"/>
                    <w:snapToGrid w:val="0"/>
                    <w:spacing w:line="240" w:lineRule="exact"/>
                    <w:jc w:val="center"/>
                    <w:rPr>
                      <w:color w:val="auto"/>
                      <w:kern w:val="0"/>
                      <w:szCs w:val="21"/>
                    </w:rPr>
                  </w:pPr>
                  <w:r>
                    <w:rPr>
                      <w:color w:val="auto"/>
                      <w:kern w:val="0"/>
                      <w:szCs w:val="21"/>
                    </w:rPr>
                    <w:t>颗粒物</w:t>
                  </w:r>
                </w:p>
              </w:tc>
              <w:tc>
                <w:tcPr>
                  <w:tcW w:w="605" w:type="pct"/>
                  <w:vAlign w:val="center"/>
                </w:tcPr>
                <w:p>
                  <w:pPr>
                    <w:widowControl/>
                    <w:jc w:val="center"/>
                    <w:textAlignment w:val="center"/>
                    <w:rPr>
                      <w:rFonts w:hint="default" w:eastAsia="宋体"/>
                      <w:color w:val="auto"/>
                      <w:szCs w:val="21"/>
                      <w:lang w:val="en-US" w:eastAsia="zh-CN"/>
                    </w:rPr>
                  </w:pPr>
                  <w:r>
                    <w:rPr>
                      <w:rFonts w:hint="eastAsia"/>
                      <w:color w:val="auto"/>
                      <w:szCs w:val="21"/>
                      <w:lang w:val="en-US" w:eastAsia="zh-CN"/>
                    </w:rPr>
                    <w:t>1725.05</w:t>
                  </w:r>
                </w:p>
              </w:tc>
              <w:tc>
                <w:tcPr>
                  <w:tcW w:w="534" w:type="pct"/>
                  <w:vAlign w:val="center"/>
                </w:tcPr>
                <w:p>
                  <w:pPr>
                    <w:pStyle w:val="32"/>
                    <w:wordWrap w:val="0"/>
                    <w:spacing w:beforeLines="0" w:afterLines="0" w:line="240" w:lineRule="auto"/>
                    <w:rPr>
                      <w:rFonts w:hint="default" w:ascii="Times New Roman" w:eastAsia="宋体"/>
                      <w:color w:val="auto"/>
                      <w:kern w:val="2"/>
                      <w:szCs w:val="21"/>
                      <w:lang w:val="en-US" w:eastAsia="zh-CN"/>
                    </w:rPr>
                  </w:pPr>
                  <w:r>
                    <w:rPr>
                      <w:rFonts w:hint="eastAsia" w:ascii="Times New Roman"/>
                      <w:color w:val="auto"/>
                      <w:kern w:val="2"/>
                      <w:szCs w:val="21"/>
                      <w:lang w:val="en-US" w:eastAsia="zh-CN"/>
                    </w:rPr>
                    <w:t>25.8758</w:t>
                  </w:r>
                </w:p>
              </w:tc>
              <w:tc>
                <w:tcPr>
                  <w:tcW w:w="436" w:type="pct"/>
                  <w:vAlign w:val="center"/>
                </w:tcPr>
                <w:p>
                  <w:pPr>
                    <w:pStyle w:val="32"/>
                    <w:wordWrap w:val="0"/>
                    <w:spacing w:beforeLines="0" w:afterLines="0" w:line="240" w:lineRule="auto"/>
                    <w:rPr>
                      <w:rFonts w:hint="default" w:ascii="Times New Roman" w:eastAsia="宋体"/>
                      <w:color w:val="auto"/>
                      <w:kern w:val="2"/>
                      <w:szCs w:val="21"/>
                      <w:lang w:val="en-US" w:eastAsia="zh-CN"/>
                    </w:rPr>
                  </w:pPr>
                  <w:r>
                    <w:rPr>
                      <w:rFonts w:hint="eastAsia" w:ascii="Times New Roman"/>
                      <w:color w:val="auto"/>
                      <w:kern w:val="2"/>
                      <w:szCs w:val="21"/>
                      <w:lang w:val="en-US" w:eastAsia="zh-CN"/>
                    </w:rPr>
                    <w:t>62.102</w:t>
                  </w:r>
                </w:p>
              </w:tc>
              <w:tc>
                <w:tcPr>
                  <w:tcW w:w="364" w:type="pct"/>
                  <w:vAlign w:val="center"/>
                </w:tcPr>
                <w:p>
                  <w:pPr>
                    <w:widowControl/>
                    <w:adjustRightInd w:val="0"/>
                    <w:snapToGrid w:val="0"/>
                    <w:jc w:val="center"/>
                    <w:rPr>
                      <w:color w:val="auto"/>
                      <w:kern w:val="0"/>
                      <w:szCs w:val="21"/>
                    </w:rPr>
                  </w:pPr>
                  <w:r>
                    <w:rPr>
                      <w:color w:val="auto"/>
                      <w:kern w:val="0"/>
                      <w:szCs w:val="21"/>
                    </w:rPr>
                    <w:t>1</w:t>
                  </w:r>
                </w:p>
              </w:tc>
              <w:tc>
                <w:tcPr>
                  <w:tcW w:w="365" w:type="pct"/>
                  <w:vAlign w:val="center"/>
                </w:tcPr>
                <w:p>
                  <w:pPr>
                    <w:widowControl/>
                    <w:adjustRightInd w:val="0"/>
                    <w:snapToGrid w:val="0"/>
                    <w:jc w:val="center"/>
                    <w:rPr>
                      <w:color w:val="auto"/>
                      <w:kern w:val="0"/>
                      <w:szCs w:val="21"/>
                    </w:rPr>
                  </w:pPr>
                  <w:r>
                    <w:rPr>
                      <w:color w:val="auto"/>
                      <w:kern w:val="0"/>
                      <w:szCs w:val="21"/>
                    </w:rPr>
                    <w:t>&lt;1</w:t>
                  </w:r>
                </w:p>
              </w:tc>
              <w:tc>
                <w:tcPr>
                  <w:tcW w:w="982" w:type="pct"/>
                  <w:vMerge w:val="restart"/>
                  <w:vAlign w:val="center"/>
                </w:tcPr>
                <w:p>
                  <w:pPr>
                    <w:widowControl/>
                    <w:adjustRightInd w:val="0"/>
                    <w:snapToGrid w:val="0"/>
                    <w:jc w:val="center"/>
                    <w:rPr>
                      <w:color w:val="auto"/>
                      <w:kern w:val="0"/>
                      <w:szCs w:val="21"/>
                    </w:rPr>
                  </w:pPr>
                  <w:r>
                    <w:rPr>
                      <w:color w:val="auto"/>
                      <w:kern w:val="0"/>
                      <w:szCs w:val="21"/>
                    </w:rPr>
                    <w:t>定期进行设备维护检修，当工艺废气处理装置出现故障不能短时间恢复时停止生产</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6" w:space="0"/>
                </w:tblBorders>
                <w:tblCellMar>
                  <w:top w:w="0" w:type="dxa"/>
                  <w:left w:w="28" w:type="dxa"/>
                  <w:bottom w:w="0" w:type="dxa"/>
                  <w:right w:w="28" w:type="dxa"/>
                </w:tblCellMar>
              </w:tblPrEx>
              <w:trPr>
                <w:trHeight w:val="238" w:hRule="atLeast"/>
                <w:jc w:val="center"/>
              </w:trPr>
              <w:tc>
                <w:tcPr>
                  <w:tcW w:w="308" w:type="pct"/>
                  <w:vMerge w:val="restart"/>
                  <w:vAlign w:val="center"/>
                </w:tcPr>
                <w:p>
                  <w:pPr>
                    <w:pStyle w:val="32"/>
                    <w:wordWrap w:val="0"/>
                    <w:spacing w:beforeLines="0" w:afterLines="0" w:line="240" w:lineRule="auto"/>
                    <w:rPr>
                      <w:rFonts w:ascii="Times New Roman"/>
                      <w:color w:val="auto"/>
                      <w:kern w:val="2"/>
                      <w:szCs w:val="21"/>
                    </w:rPr>
                  </w:pPr>
                  <w:r>
                    <w:rPr>
                      <w:rFonts w:ascii="Times New Roman"/>
                      <w:color w:val="auto"/>
                      <w:kern w:val="2"/>
                      <w:szCs w:val="21"/>
                    </w:rPr>
                    <w:t>DA002</w:t>
                  </w:r>
                </w:p>
              </w:tc>
              <w:tc>
                <w:tcPr>
                  <w:tcW w:w="585" w:type="pct"/>
                  <w:vMerge w:val="restart"/>
                  <w:vAlign w:val="center"/>
                </w:tcPr>
                <w:p>
                  <w:pPr>
                    <w:widowControl/>
                    <w:jc w:val="center"/>
                    <w:textAlignment w:val="center"/>
                    <w:rPr>
                      <w:color w:val="auto"/>
                      <w:kern w:val="0"/>
                      <w:szCs w:val="21"/>
                      <w:lang w:bidi="ar"/>
                    </w:rPr>
                  </w:pPr>
                  <w:r>
                    <w:rPr>
                      <w:color w:val="auto"/>
                      <w:kern w:val="0"/>
                      <w:szCs w:val="21"/>
                      <w:lang w:bidi="ar"/>
                    </w:rPr>
                    <w:t>干式过滤棉不及时更换、二级活性炭不及时更换</w:t>
                  </w:r>
                </w:p>
              </w:tc>
              <w:tc>
                <w:tcPr>
                  <w:tcW w:w="466" w:type="pct"/>
                  <w:vMerge w:val="restart"/>
                  <w:vAlign w:val="center"/>
                </w:tcPr>
                <w:p>
                  <w:pPr>
                    <w:widowControl/>
                    <w:adjustRightInd w:val="0"/>
                    <w:snapToGrid w:val="0"/>
                    <w:jc w:val="center"/>
                    <w:rPr>
                      <w:color w:val="auto"/>
                      <w:kern w:val="0"/>
                      <w:szCs w:val="21"/>
                    </w:rPr>
                  </w:pPr>
                  <w:r>
                    <w:rPr>
                      <w:color w:val="auto"/>
                      <w:kern w:val="0"/>
                      <w:szCs w:val="21"/>
                    </w:rPr>
                    <w:t>0%</w:t>
                  </w:r>
                </w:p>
              </w:tc>
              <w:tc>
                <w:tcPr>
                  <w:tcW w:w="350" w:type="pct"/>
                  <w:vAlign w:val="center"/>
                </w:tcPr>
                <w:p>
                  <w:pPr>
                    <w:widowControl/>
                    <w:adjustRightInd w:val="0"/>
                    <w:snapToGrid w:val="0"/>
                    <w:spacing w:line="240" w:lineRule="exact"/>
                    <w:jc w:val="center"/>
                    <w:rPr>
                      <w:color w:val="auto"/>
                      <w:kern w:val="0"/>
                      <w:szCs w:val="21"/>
                    </w:rPr>
                  </w:pPr>
                  <w:r>
                    <w:rPr>
                      <w:color w:val="auto"/>
                      <w:kern w:val="0"/>
                      <w:szCs w:val="21"/>
                    </w:rPr>
                    <w:t>颗粒物</w:t>
                  </w:r>
                </w:p>
              </w:tc>
              <w:tc>
                <w:tcPr>
                  <w:tcW w:w="605" w:type="pct"/>
                  <w:vAlign w:val="center"/>
                </w:tcPr>
                <w:p>
                  <w:pPr>
                    <w:pStyle w:val="32"/>
                    <w:wordWrap w:val="0"/>
                    <w:spacing w:beforeLines="0" w:afterLines="0" w:line="240" w:lineRule="auto"/>
                    <w:rPr>
                      <w:rFonts w:hint="default" w:ascii="Times New Roman" w:eastAsia="宋体"/>
                      <w:color w:val="auto"/>
                      <w:kern w:val="2"/>
                      <w:szCs w:val="21"/>
                      <w:lang w:val="en-US" w:eastAsia="zh-CN"/>
                    </w:rPr>
                  </w:pPr>
                  <w:r>
                    <w:rPr>
                      <w:rFonts w:hint="eastAsia" w:ascii="Times New Roman"/>
                      <w:color w:val="auto"/>
                      <w:kern w:val="2"/>
                      <w:szCs w:val="21"/>
                      <w:lang w:val="en-US" w:eastAsia="zh-CN"/>
                    </w:rPr>
                    <w:t>79.74</w:t>
                  </w:r>
                </w:p>
              </w:tc>
              <w:tc>
                <w:tcPr>
                  <w:tcW w:w="534" w:type="pct"/>
                  <w:vAlign w:val="center"/>
                </w:tcPr>
                <w:p>
                  <w:pPr>
                    <w:pStyle w:val="32"/>
                    <w:wordWrap w:val="0"/>
                    <w:spacing w:beforeLines="0" w:afterLines="0" w:line="240" w:lineRule="auto"/>
                    <w:rPr>
                      <w:rFonts w:hint="default" w:ascii="Times New Roman" w:eastAsia="宋体"/>
                      <w:color w:val="auto"/>
                      <w:kern w:val="2"/>
                      <w:szCs w:val="21"/>
                      <w:lang w:val="en-US" w:eastAsia="zh-CN"/>
                    </w:rPr>
                  </w:pPr>
                  <w:r>
                    <w:rPr>
                      <w:rFonts w:hint="eastAsia" w:ascii="Times New Roman"/>
                      <w:color w:val="auto"/>
                      <w:kern w:val="2"/>
                      <w:szCs w:val="21"/>
                      <w:lang w:val="en-US" w:eastAsia="zh-CN"/>
                    </w:rPr>
                    <w:t>3.03</w:t>
                  </w:r>
                </w:p>
              </w:tc>
              <w:tc>
                <w:tcPr>
                  <w:tcW w:w="436" w:type="pct"/>
                  <w:vAlign w:val="center"/>
                </w:tcPr>
                <w:p>
                  <w:pPr>
                    <w:pStyle w:val="32"/>
                    <w:wordWrap w:val="0"/>
                    <w:spacing w:beforeLines="0" w:afterLines="0" w:line="240" w:lineRule="auto"/>
                    <w:rPr>
                      <w:rFonts w:hint="default" w:ascii="Times New Roman" w:eastAsia="宋体"/>
                      <w:color w:val="auto"/>
                      <w:kern w:val="2"/>
                      <w:szCs w:val="21"/>
                      <w:lang w:val="en-US" w:eastAsia="zh-CN"/>
                    </w:rPr>
                  </w:pPr>
                  <w:r>
                    <w:rPr>
                      <w:rFonts w:hint="eastAsia" w:ascii="Times New Roman"/>
                      <w:color w:val="auto"/>
                      <w:kern w:val="2"/>
                      <w:szCs w:val="21"/>
                      <w:lang w:val="en-US" w:eastAsia="zh-CN"/>
                    </w:rPr>
                    <w:t>7.272</w:t>
                  </w:r>
                </w:p>
              </w:tc>
              <w:tc>
                <w:tcPr>
                  <w:tcW w:w="364" w:type="pct"/>
                  <w:vAlign w:val="center"/>
                </w:tcPr>
                <w:p>
                  <w:pPr>
                    <w:widowControl/>
                    <w:adjustRightInd w:val="0"/>
                    <w:snapToGrid w:val="0"/>
                    <w:jc w:val="center"/>
                    <w:rPr>
                      <w:color w:val="auto"/>
                      <w:kern w:val="0"/>
                      <w:szCs w:val="21"/>
                    </w:rPr>
                  </w:pPr>
                  <w:r>
                    <w:rPr>
                      <w:color w:val="auto"/>
                      <w:kern w:val="0"/>
                      <w:szCs w:val="21"/>
                    </w:rPr>
                    <w:t>1</w:t>
                  </w:r>
                </w:p>
              </w:tc>
              <w:tc>
                <w:tcPr>
                  <w:tcW w:w="365" w:type="pct"/>
                  <w:vAlign w:val="center"/>
                </w:tcPr>
                <w:p>
                  <w:pPr>
                    <w:widowControl/>
                    <w:adjustRightInd w:val="0"/>
                    <w:snapToGrid w:val="0"/>
                    <w:jc w:val="center"/>
                    <w:rPr>
                      <w:color w:val="auto"/>
                      <w:kern w:val="0"/>
                      <w:szCs w:val="21"/>
                    </w:rPr>
                  </w:pPr>
                  <w:r>
                    <w:rPr>
                      <w:color w:val="auto"/>
                      <w:kern w:val="0"/>
                      <w:szCs w:val="21"/>
                    </w:rPr>
                    <w:t>&lt;1</w:t>
                  </w:r>
                </w:p>
              </w:tc>
              <w:tc>
                <w:tcPr>
                  <w:tcW w:w="982" w:type="pct"/>
                  <w:vMerge w:val="continue"/>
                  <w:vAlign w:val="center"/>
                </w:tcPr>
                <w:p>
                  <w:pPr>
                    <w:widowControl/>
                    <w:adjustRightInd w:val="0"/>
                    <w:snapToGrid w:val="0"/>
                    <w:jc w:val="center"/>
                    <w:rPr>
                      <w:color w:val="auto"/>
                      <w:kern w:val="0"/>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6" w:space="0"/>
                </w:tblBorders>
                <w:tblCellMar>
                  <w:top w:w="0" w:type="dxa"/>
                  <w:left w:w="28" w:type="dxa"/>
                  <w:bottom w:w="0" w:type="dxa"/>
                  <w:right w:w="28" w:type="dxa"/>
                </w:tblCellMar>
              </w:tblPrEx>
              <w:trPr>
                <w:trHeight w:val="200" w:hRule="atLeast"/>
                <w:jc w:val="center"/>
              </w:trPr>
              <w:tc>
                <w:tcPr>
                  <w:tcW w:w="308" w:type="pct"/>
                  <w:vMerge w:val="continue"/>
                  <w:vAlign w:val="center"/>
                </w:tcPr>
                <w:p>
                  <w:pPr>
                    <w:widowControl/>
                    <w:adjustRightInd w:val="0"/>
                    <w:snapToGrid w:val="0"/>
                    <w:jc w:val="center"/>
                    <w:rPr>
                      <w:color w:val="auto"/>
                      <w:szCs w:val="21"/>
                    </w:rPr>
                  </w:pPr>
                </w:p>
              </w:tc>
              <w:tc>
                <w:tcPr>
                  <w:tcW w:w="585" w:type="pct"/>
                  <w:vMerge w:val="continue"/>
                  <w:vAlign w:val="center"/>
                </w:tcPr>
                <w:p>
                  <w:pPr>
                    <w:widowControl/>
                    <w:adjustRightInd w:val="0"/>
                    <w:snapToGrid w:val="0"/>
                    <w:jc w:val="center"/>
                    <w:rPr>
                      <w:color w:val="auto"/>
                      <w:szCs w:val="21"/>
                    </w:rPr>
                  </w:pPr>
                </w:p>
              </w:tc>
              <w:tc>
                <w:tcPr>
                  <w:tcW w:w="466" w:type="pct"/>
                  <w:vMerge w:val="continue"/>
                  <w:vAlign w:val="center"/>
                </w:tcPr>
                <w:p>
                  <w:pPr>
                    <w:widowControl/>
                    <w:adjustRightInd w:val="0"/>
                    <w:snapToGrid w:val="0"/>
                    <w:jc w:val="center"/>
                    <w:rPr>
                      <w:color w:val="auto"/>
                      <w:szCs w:val="21"/>
                    </w:rPr>
                  </w:pPr>
                </w:p>
              </w:tc>
              <w:tc>
                <w:tcPr>
                  <w:tcW w:w="350" w:type="pct"/>
                  <w:vAlign w:val="center"/>
                </w:tcPr>
                <w:p>
                  <w:pPr>
                    <w:widowControl/>
                    <w:adjustRightInd w:val="0"/>
                    <w:snapToGrid w:val="0"/>
                    <w:jc w:val="center"/>
                    <w:rPr>
                      <w:color w:val="auto"/>
                      <w:kern w:val="0"/>
                      <w:szCs w:val="21"/>
                    </w:rPr>
                  </w:pPr>
                  <w:r>
                    <w:rPr>
                      <w:color w:val="auto"/>
                      <w:kern w:val="0"/>
                      <w:szCs w:val="21"/>
                    </w:rPr>
                    <w:t>非甲烷总烃</w:t>
                  </w:r>
                </w:p>
              </w:tc>
              <w:tc>
                <w:tcPr>
                  <w:tcW w:w="605" w:type="pct"/>
                  <w:vAlign w:val="center"/>
                </w:tcPr>
                <w:p>
                  <w:pPr>
                    <w:widowControl/>
                    <w:adjustRightInd w:val="0"/>
                    <w:snapToGrid w:val="0"/>
                    <w:jc w:val="center"/>
                    <w:rPr>
                      <w:rFonts w:hint="default" w:eastAsia="宋体"/>
                      <w:color w:val="auto"/>
                      <w:kern w:val="0"/>
                      <w:szCs w:val="21"/>
                      <w:lang w:val="en-US" w:eastAsia="zh-CN"/>
                    </w:rPr>
                  </w:pPr>
                  <w:r>
                    <w:rPr>
                      <w:rFonts w:hint="eastAsia"/>
                      <w:color w:val="auto"/>
                      <w:kern w:val="0"/>
                      <w:szCs w:val="21"/>
                      <w:lang w:val="en-US" w:eastAsia="zh-CN"/>
                    </w:rPr>
                    <w:t>69.54</w:t>
                  </w:r>
                </w:p>
              </w:tc>
              <w:tc>
                <w:tcPr>
                  <w:tcW w:w="534" w:type="pct"/>
                  <w:vAlign w:val="center"/>
                </w:tcPr>
                <w:p>
                  <w:pPr>
                    <w:widowControl/>
                    <w:adjustRightInd w:val="0"/>
                    <w:snapToGrid w:val="0"/>
                    <w:jc w:val="center"/>
                    <w:rPr>
                      <w:rFonts w:hint="default" w:eastAsia="宋体"/>
                      <w:color w:val="auto"/>
                      <w:kern w:val="0"/>
                      <w:szCs w:val="21"/>
                      <w:lang w:val="en-US" w:eastAsia="zh-CN"/>
                    </w:rPr>
                  </w:pPr>
                  <w:r>
                    <w:rPr>
                      <w:rFonts w:hint="eastAsia"/>
                      <w:color w:val="auto"/>
                      <w:kern w:val="0"/>
                      <w:szCs w:val="21"/>
                      <w:lang w:val="en-US" w:eastAsia="zh-CN"/>
                    </w:rPr>
                    <w:t>2.54</w:t>
                  </w:r>
                </w:p>
              </w:tc>
              <w:tc>
                <w:tcPr>
                  <w:tcW w:w="436" w:type="pct"/>
                  <w:vAlign w:val="center"/>
                </w:tcPr>
                <w:p>
                  <w:pPr>
                    <w:widowControl/>
                    <w:adjustRightInd w:val="0"/>
                    <w:snapToGrid w:val="0"/>
                    <w:jc w:val="center"/>
                    <w:rPr>
                      <w:rFonts w:hint="default" w:eastAsia="宋体"/>
                      <w:color w:val="auto"/>
                      <w:kern w:val="0"/>
                      <w:szCs w:val="21"/>
                      <w:lang w:val="en-US" w:eastAsia="zh-CN"/>
                    </w:rPr>
                  </w:pPr>
                  <w:r>
                    <w:rPr>
                      <w:rFonts w:hint="eastAsia"/>
                      <w:color w:val="auto"/>
                      <w:kern w:val="0"/>
                      <w:szCs w:val="21"/>
                      <w:lang w:val="en-US" w:eastAsia="zh-CN"/>
                    </w:rPr>
                    <w:t>6.1</w:t>
                  </w:r>
                </w:p>
              </w:tc>
              <w:tc>
                <w:tcPr>
                  <w:tcW w:w="364" w:type="pct"/>
                  <w:vAlign w:val="center"/>
                </w:tcPr>
                <w:p>
                  <w:pPr>
                    <w:widowControl/>
                    <w:adjustRightInd w:val="0"/>
                    <w:snapToGrid w:val="0"/>
                    <w:jc w:val="center"/>
                    <w:rPr>
                      <w:color w:val="auto"/>
                      <w:kern w:val="0"/>
                      <w:szCs w:val="21"/>
                    </w:rPr>
                  </w:pPr>
                  <w:r>
                    <w:rPr>
                      <w:color w:val="auto"/>
                      <w:kern w:val="0"/>
                      <w:szCs w:val="21"/>
                    </w:rPr>
                    <w:t>1</w:t>
                  </w:r>
                </w:p>
              </w:tc>
              <w:tc>
                <w:tcPr>
                  <w:tcW w:w="365" w:type="pct"/>
                  <w:vAlign w:val="center"/>
                </w:tcPr>
                <w:p>
                  <w:pPr>
                    <w:widowControl/>
                    <w:adjustRightInd w:val="0"/>
                    <w:snapToGrid w:val="0"/>
                    <w:jc w:val="center"/>
                    <w:rPr>
                      <w:color w:val="auto"/>
                      <w:kern w:val="0"/>
                      <w:szCs w:val="21"/>
                    </w:rPr>
                  </w:pPr>
                  <w:r>
                    <w:rPr>
                      <w:color w:val="auto"/>
                      <w:kern w:val="0"/>
                      <w:szCs w:val="21"/>
                    </w:rPr>
                    <w:t>&lt;1</w:t>
                  </w:r>
                </w:p>
              </w:tc>
              <w:tc>
                <w:tcPr>
                  <w:tcW w:w="982" w:type="pct"/>
                  <w:vMerge w:val="continue"/>
                  <w:vAlign w:val="center"/>
                </w:tcPr>
                <w:p>
                  <w:pPr>
                    <w:widowControl/>
                    <w:adjustRightInd w:val="0"/>
                    <w:snapToGrid w:val="0"/>
                    <w:jc w:val="center"/>
                    <w:rPr>
                      <w:color w:val="auto"/>
                      <w:kern w:val="0"/>
                      <w:szCs w:val="21"/>
                    </w:rPr>
                  </w:pPr>
                </w:p>
              </w:tc>
            </w:tr>
          </w:tbl>
          <w:p>
            <w:pPr>
              <w:pStyle w:val="42"/>
              <w:wordWrap w:val="0"/>
              <w:adjustRightInd w:val="0"/>
              <w:snapToGrid w:val="0"/>
              <w:spacing w:line="360" w:lineRule="auto"/>
              <w:ind w:firstLine="482"/>
              <w:rPr>
                <w:b/>
                <w:bCs/>
                <w:color w:val="auto"/>
                <w:sz w:val="24"/>
              </w:rPr>
            </w:pPr>
            <w:r>
              <w:rPr>
                <w:b/>
                <w:bCs/>
                <w:color w:val="auto"/>
                <w:sz w:val="24"/>
              </w:rPr>
              <w:t>1.3监测计划</w:t>
            </w:r>
          </w:p>
          <w:p>
            <w:pPr>
              <w:wordWrap w:val="0"/>
              <w:spacing w:line="360" w:lineRule="auto"/>
              <w:ind w:firstLine="480" w:firstLineChars="200"/>
              <w:rPr>
                <w:bCs/>
                <w:color w:val="auto"/>
                <w:sz w:val="24"/>
              </w:rPr>
            </w:pPr>
            <w:r>
              <w:rPr>
                <w:bCs/>
                <w:color w:val="auto"/>
                <w:sz w:val="24"/>
              </w:rPr>
              <w:t>根据《排污单位自行监测技术指南 总则》（HJ819-2017）、《排污单位自行监测技术指南 金属铸造工业》（HJ1251—2022），排污单位应按照规定对污染物排放情况进行检测，废气污染源监测情况具体见下表。</w:t>
            </w:r>
          </w:p>
          <w:p>
            <w:pPr>
              <w:wordWrap w:val="0"/>
              <w:spacing w:line="360" w:lineRule="auto"/>
              <w:jc w:val="center"/>
              <w:rPr>
                <w:b/>
                <w:color w:val="auto"/>
                <w:kern w:val="44"/>
                <w:sz w:val="18"/>
                <w:szCs w:val="18"/>
              </w:rPr>
            </w:pPr>
            <w:r>
              <w:rPr>
                <w:b/>
                <w:color w:val="auto"/>
                <w:kern w:val="0"/>
                <w:szCs w:val="21"/>
              </w:rPr>
              <w:t>表4.2-</w:t>
            </w:r>
            <w:r>
              <w:rPr>
                <w:rFonts w:hint="eastAsia"/>
                <w:b/>
                <w:color w:val="auto"/>
                <w:kern w:val="0"/>
                <w:szCs w:val="21"/>
              </w:rPr>
              <w:t>8</w:t>
            </w:r>
            <w:r>
              <w:rPr>
                <w:b/>
                <w:color w:val="auto"/>
                <w:kern w:val="0"/>
                <w:szCs w:val="21"/>
              </w:rPr>
              <w:t xml:space="preserve"> 废气监测计划表</w:t>
            </w:r>
          </w:p>
          <w:tbl>
            <w:tblPr>
              <w:tblStyle w:val="20"/>
              <w:tblW w:w="5000" w:type="pct"/>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108" w:type="dxa"/>
                <w:bottom w:w="0" w:type="dxa"/>
                <w:right w:w="108" w:type="dxa"/>
              </w:tblCellMar>
            </w:tblPr>
            <w:tblGrid>
              <w:gridCol w:w="2501"/>
              <w:gridCol w:w="1109"/>
              <w:gridCol w:w="1446"/>
              <w:gridCol w:w="3914"/>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480" w:hRule="atLeast"/>
                <w:jc w:val="center"/>
              </w:trPr>
              <w:tc>
                <w:tcPr>
                  <w:tcW w:w="1394" w:type="pct"/>
                  <w:vAlign w:val="center"/>
                </w:tcPr>
                <w:p>
                  <w:pPr>
                    <w:wordWrap w:val="0"/>
                    <w:snapToGrid w:val="0"/>
                    <w:jc w:val="center"/>
                    <w:rPr>
                      <w:b/>
                      <w:color w:val="auto"/>
                      <w:szCs w:val="21"/>
                    </w:rPr>
                  </w:pPr>
                  <w:r>
                    <w:rPr>
                      <w:b/>
                      <w:color w:val="auto"/>
                      <w:szCs w:val="21"/>
                    </w:rPr>
                    <w:t>监测位置</w:t>
                  </w:r>
                </w:p>
              </w:tc>
              <w:tc>
                <w:tcPr>
                  <w:tcW w:w="618" w:type="pct"/>
                  <w:vAlign w:val="center"/>
                </w:tcPr>
                <w:p>
                  <w:pPr>
                    <w:wordWrap w:val="0"/>
                    <w:snapToGrid w:val="0"/>
                    <w:jc w:val="center"/>
                    <w:rPr>
                      <w:b/>
                      <w:color w:val="auto"/>
                      <w:szCs w:val="21"/>
                    </w:rPr>
                  </w:pPr>
                  <w:r>
                    <w:rPr>
                      <w:b/>
                      <w:color w:val="auto"/>
                      <w:szCs w:val="21"/>
                    </w:rPr>
                    <w:t>监测项目</w:t>
                  </w:r>
                </w:p>
              </w:tc>
              <w:tc>
                <w:tcPr>
                  <w:tcW w:w="806" w:type="pct"/>
                  <w:vAlign w:val="center"/>
                </w:tcPr>
                <w:p>
                  <w:pPr>
                    <w:wordWrap w:val="0"/>
                    <w:snapToGrid w:val="0"/>
                    <w:jc w:val="center"/>
                    <w:rPr>
                      <w:b/>
                      <w:color w:val="auto"/>
                      <w:szCs w:val="21"/>
                    </w:rPr>
                  </w:pPr>
                  <w:r>
                    <w:rPr>
                      <w:b/>
                      <w:color w:val="auto"/>
                      <w:szCs w:val="21"/>
                    </w:rPr>
                    <w:t>监测频次</w:t>
                  </w:r>
                </w:p>
              </w:tc>
              <w:tc>
                <w:tcPr>
                  <w:tcW w:w="2181" w:type="pct"/>
                  <w:vAlign w:val="center"/>
                </w:tcPr>
                <w:p>
                  <w:pPr>
                    <w:wordWrap w:val="0"/>
                    <w:snapToGrid w:val="0"/>
                    <w:jc w:val="center"/>
                    <w:rPr>
                      <w:b/>
                      <w:color w:val="auto"/>
                      <w:szCs w:val="21"/>
                    </w:rPr>
                  </w:pPr>
                  <w:r>
                    <w:rPr>
                      <w:b/>
                      <w:color w:val="auto"/>
                      <w:szCs w:val="21"/>
                    </w:rPr>
                    <w:t>执行标准</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19" w:hRule="atLeast"/>
                <w:jc w:val="center"/>
              </w:trPr>
              <w:tc>
                <w:tcPr>
                  <w:tcW w:w="1394" w:type="pct"/>
                  <w:vAlign w:val="center"/>
                </w:tcPr>
                <w:p>
                  <w:pPr>
                    <w:widowControl/>
                    <w:wordWrap w:val="0"/>
                    <w:jc w:val="center"/>
                    <w:textAlignment w:val="center"/>
                    <w:rPr>
                      <w:color w:val="auto"/>
                      <w:szCs w:val="21"/>
                    </w:rPr>
                  </w:pPr>
                  <w:r>
                    <w:rPr>
                      <w:color w:val="auto"/>
                      <w:kern w:val="0"/>
                      <w:szCs w:val="21"/>
                      <w:lang w:bidi="ar"/>
                    </w:rPr>
                    <w:t>DA001</w:t>
                  </w:r>
                </w:p>
              </w:tc>
              <w:tc>
                <w:tcPr>
                  <w:tcW w:w="618" w:type="pct"/>
                  <w:vAlign w:val="center"/>
                </w:tcPr>
                <w:p>
                  <w:pPr>
                    <w:widowControl/>
                    <w:wordWrap w:val="0"/>
                    <w:jc w:val="center"/>
                    <w:textAlignment w:val="center"/>
                    <w:rPr>
                      <w:color w:val="auto"/>
                      <w:szCs w:val="21"/>
                    </w:rPr>
                  </w:pPr>
                  <w:r>
                    <w:rPr>
                      <w:color w:val="auto"/>
                      <w:szCs w:val="21"/>
                    </w:rPr>
                    <w:t>颗粒物</w:t>
                  </w:r>
                </w:p>
              </w:tc>
              <w:tc>
                <w:tcPr>
                  <w:tcW w:w="806" w:type="pct"/>
                  <w:vAlign w:val="center"/>
                </w:tcPr>
                <w:p>
                  <w:pPr>
                    <w:wordWrap w:val="0"/>
                    <w:snapToGrid w:val="0"/>
                    <w:jc w:val="center"/>
                    <w:rPr>
                      <w:color w:val="auto"/>
                      <w:szCs w:val="21"/>
                    </w:rPr>
                  </w:pPr>
                  <w:r>
                    <w:rPr>
                      <w:color w:val="auto"/>
                      <w:szCs w:val="21"/>
                    </w:rPr>
                    <w:t>1次/半年</w:t>
                  </w:r>
                </w:p>
              </w:tc>
              <w:tc>
                <w:tcPr>
                  <w:tcW w:w="2181" w:type="pct"/>
                  <w:vAlign w:val="center"/>
                </w:tcPr>
                <w:p>
                  <w:pPr>
                    <w:wordWrap w:val="0"/>
                    <w:snapToGrid w:val="0"/>
                    <w:jc w:val="center"/>
                    <w:rPr>
                      <w:color w:val="auto"/>
                      <w:szCs w:val="21"/>
                    </w:rPr>
                  </w:pPr>
                  <w:r>
                    <w:rPr>
                      <w:color w:val="auto"/>
                      <w:szCs w:val="21"/>
                    </w:rPr>
                    <w:t>大气污染物综合排放标准（DB32/4041-2021）表1规定的大气污染物有组织排放限值</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95" w:hRule="atLeast"/>
                <w:jc w:val="center"/>
              </w:trPr>
              <w:tc>
                <w:tcPr>
                  <w:tcW w:w="1394" w:type="pct"/>
                  <w:vAlign w:val="center"/>
                </w:tcPr>
                <w:p>
                  <w:pPr>
                    <w:widowControl/>
                    <w:wordWrap w:val="0"/>
                    <w:jc w:val="center"/>
                    <w:textAlignment w:val="center"/>
                    <w:rPr>
                      <w:color w:val="auto"/>
                      <w:kern w:val="0"/>
                      <w:szCs w:val="21"/>
                      <w:lang w:bidi="ar"/>
                    </w:rPr>
                  </w:pPr>
                  <w:r>
                    <w:rPr>
                      <w:color w:val="auto"/>
                      <w:kern w:val="0"/>
                      <w:szCs w:val="21"/>
                      <w:lang w:bidi="ar"/>
                    </w:rPr>
                    <w:t>DA002</w:t>
                  </w:r>
                </w:p>
              </w:tc>
              <w:tc>
                <w:tcPr>
                  <w:tcW w:w="618" w:type="pct"/>
                  <w:vAlign w:val="center"/>
                </w:tcPr>
                <w:p>
                  <w:pPr>
                    <w:widowControl/>
                    <w:wordWrap w:val="0"/>
                    <w:jc w:val="center"/>
                    <w:textAlignment w:val="center"/>
                    <w:rPr>
                      <w:color w:val="auto"/>
                      <w:kern w:val="0"/>
                      <w:szCs w:val="21"/>
                      <w:lang w:bidi="ar"/>
                    </w:rPr>
                  </w:pPr>
                  <w:r>
                    <w:rPr>
                      <w:color w:val="auto"/>
                      <w:kern w:val="0"/>
                      <w:szCs w:val="21"/>
                      <w:lang w:bidi="ar"/>
                    </w:rPr>
                    <w:t>颗粒物、非甲烷总烃</w:t>
                  </w:r>
                </w:p>
              </w:tc>
              <w:tc>
                <w:tcPr>
                  <w:tcW w:w="806" w:type="pct"/>
                  <w:vAlign w:val="center"/>
                </w:tcPr>
                <w:p>
                  <w:pPr>
                    <w:wordWrap w:val="0"/>
                    <w:snapToGrid w:val="0"/>
                    <w:jc w:val="center"/>
                    <w:rPr>
                      <w:color w:val="auto"/>
                      <w:szCs w:val="21"/>
                    </w:rPr>
                  </w:pPr>
                  <w:r>
                    <w:rPr>
                      <w:color w:val="auto"/>
                      <w:szCs w:val="21"/>
                    </w:rPr>
                    <w:t>1次/半年</w:t>
                  </w:r>
                </w:p>
              </w:tc>
              <w:tc>
                <w:tcPr>
                  <w:tcW w:w="2181" w:type="pct"/>
                  <w:vAlign w:val="center"/>
                </w:tcPr>
                <w:p>
                  <w:pPr>
                    <w:wordWrap w:val="0"/>
                    <w:snapToGrid w:val="0"/>
                    <w:jc w:val="center"/>
                    <w:rPr>
                      <w:color w:val="auto"/>
                      <w:szCs w:val="21"/>
                    </w:rPr>
                  </w:pPr>
                  <w:r>
                    <w:rPr>
                      <w:color w:val="auto"/>
                      <w:szCs w:val="21"/>
                    </w:rPr>
                    <w:t>表面涂装（工程机械和钢结构行业）大气污染物排放标准（DB32/4147-2021）表1排放标准限值</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554" w:hRule="atLeast"/>
                <w:jc w:val="center"/>
              </w:trPr>
              <w:tc>
                <w:tcPr>
                  <w:tcW w:w="1394" w:type="pct"/>
                  <w:vAlign w:val="center"/>
                </w:tcPr>
                <w:p>
                  <w:pPr>
                    <w:wordWrap w:val="0"/>
                    <w:snapToGrid w:val="0"/>
                    <w:jc w:val="center"/>
                    <w:rPr>
                      <w:color w:val="auto"/>
                      <w:szCs w:val="21"/>
                    </w:rPr>
                  </w:pPr>
                  <w:r>
                    <w:rPr>
                      <w:color w:val="auto"/>
                      <w:szCs w:val="21"/>
                    </w:rPr>
                    <w:t>厂界（上风向一个，下风向三个）</w:t>
                  </w:r>
                </w:p>
              </w:tc>
              <w:tc>
                <w:tcPr>
                  <w:tcW w:w="618" w:type="pct"/>
                  <w:vAlign w:val="center"/>
                </w:tcPr>
                <w:p>
                  <w:pPr>
                    <w:widowControl/>
                    <w:wordWrap w:val="0"/>
                    <w:jc w:val="center"/>
                    <w:textAlignment w:val="center"/>
                    <w:rPr>
                      <w:color w:val="auto"/>
                      <w:szCs w:val="21"/>
                    </w:rPr>
                  </w:pPr>
                  <w:r>
                    <w:rPr>
                      <w:color w:val="auto"/>
                      <w:szCs w:val="21"/>
                    </w:rPr>
                    <w:t>颗粒物、非甲烷总烃</w:t>
                  </w:r>
                </w:p>
              </w:tc>
              <w:tc>
                <w:tcPr>
                  <w:tcW w:w="806" w:type="pct"/>
                  <w:vAlign w:val="center"/>
                </w:tcPr>
                <w:p>
                  <w:pPr>
                    <w:wordWrap w:val="0"/>
                    <w:snapToGrid w:val="0"/>
                    <w:jc w:val="center"/>
                    <w:rPr>
                      <w:color w:val="auto"/>
                      <w:szCs w:val="21"/>
                    </w:rPr>
                  </w:pPr>
                  <w:r>
                    <w:rPr>
                      <w:color w:val="auto"/>
                      <w:szCs w:val="21"/>
                    </w:rPr>
                    <w:t>1次/</w:t>
                  </w:r>
                  <w:r>
                    <w:rPr>
                      <w:rFonts w:hint="eastAsia"/>
                      <w:color w:val="auto"/>
                      <w:szCs w:val="21"/>
                      <w:lang w:eastAsia="zh-CN"/>
                    </w:rPr>
                    <w:t>半</w:t>
                  </w:r>
                  <w:r>
                    <w:rPr>
                      <w:color w:val="auto"/>
                      <w:szCs w:val="21"/>
                    </w:rPr>
                    <w:t>年</w:t>
                  </w:r>
                </w:p>
              </w:tc>
              <w:tc>
                <w:tcPr>
                  <w:tcW w:w="2181" w:type="pct"/>
                  <w:vAlign w:val="center"/>
                </w:tcPr>
                <w:p>
                  <w:pPr>
                    <w:wordWrap w:val="0"/>
                    <w:snapToGrid w:val="0"/>
                    <w:jc w:val="center"/>
                    <w:rPr>
                      <w:color w:val="auto"/>
                      <w:szCs w:val="21"/>
                    </w:rPr>
                  </w:pPr>
                  <w:r>
                    <w:rPr>
                      <w:color w:val="auto"/>
                      <w:szCs w:val="21"/>
                    </w:rPr>
                    <w:t>江苏省地方标准《大气污染物综合排放标准》（DB32/4041-2021）表3</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1394" w:type="pct"/>
                  <w:vAlign w:val="center"/>
                </w:tcPr>
                <w:p>
                  <w:pPr>
                    <w:widowControl/>
                    <w:jc w:val="left"/>
                    <w:rPr>
                      <w:color w:val="auto"/>
                      <w:szCs w:val="21"/>
                    </w:rPr>
                  </w:pPr>
                  <w:r>
                    <w:rPr>
                      <w:color w:val="auto"/>
                      <w:szCs w:val="21"/>
                    </w:rPr>
                    <w:t>厂区内（2#</w:t>
                  </w:r>
                  <w:r>
                    <w:rPr>
                      <w:color w:val="auto"/>
                      <w:kern w:val="0"/>
                      <w:szCs w:val="21"/>
                      <w:lang w:bidi="ar"/>
                    </w:rPr>
                    <w:t>厂房外设置监控点</w:t>
                  </w:r>
                  <w:r>
                    <w:rPr>
                      <w:color w:val="auto"/>
                      <w:szCs w:val="21"/>
                    </w:rPr>
                    <w:t>）</w:t>
                  </w:r>
                </w:p>
              </w:tc>
              <w:tc>
                <w:tcPr>
                  <w:tcW w:w="618" w:type="pct"/>
                  <w:vAlign w:val="center"/>
                </w:tcPr>
                <w:p>
                  <w:pPr>
                    <w:widowControl/>
                    <w:wordWrap w:val="0"/>
                    <w:jc w:val="center"/>
                    <w:textAlignment w:val="center"/>
                    <w:rPr>
                      <w:color w:val="auto"/>
                      <w:szCs w:val="21"/>
                    </w:rPr>
                  </w:pPr>
                  <w:r>
                    <w:rPr>
                      <w:color w:val="auto"/>
                      <w:szCs w:val="21"/>
                    </w:rPr>
                    <w:t>非甲烷总烃</w:t>
                  </w:r>
                </w:p>
              </w:tc>
              <w:tc>
                <w:tcPr>
                  <w:tcW w:w="806" w:type="pct"/>
                  <w:vAlign w:val="center"/>
                </w:tcPr>
                <w:p>
                  <w:pPr>
                    <w:wordWrap w:val="0"/>
                    <w:snapToGrid w:val="0"/>
                    <w:jc w:val="center"/>
                    <w:rPr>
                      <w:rFonts w:hint="eastAsia" w:eastAsia="宋体"/>
                      <w:color w:val="auto"/>
                      <w:szCs w:val="21"/>
                      <w:lang w:eastAsia="zh-CN"/>
                    </w:rPr>
                  </w:pPr>
                  <w:r>
                    <w:rPr>
                      <w:color w:val="auto"/>
                      <w:szCs w:val="21"/>
                    </w:rPr>
                    <w:t>1次/</w:t>
                  </w:r>
                  <w:r>
                    <w:rPr>
                      <w:rFonts w:hint="eastAsia"/>
                      <w:color w:val="auto"/>
                      <w:szCs w:val="21"/>
                      <w:lang w:eastAsia="zh-CN"/>
                    </w:rPr>
                    <w:t>季度</w:t>
                  </w:r>
                </w:p>
              </w:tc>
              <w:tc>
                <w:tcPr>
                  <w:tcW w:w="2181" w:type="pct"/>
                  <w:vAlign w:val="center"/>
                </w:tcPr>
                <w:p>
                  <w:pPr>
                    <w:wordWrap w:val="0"/>
                    <w:snapToGrid w:val="0"/>
                    <w:jc w:val="center"/>
                    <w:rPr>
                      <w:color w:val="auto"/>
                      <w:szCs w:val="21"/>
                    </w:rPr>
                  </w:pPr>
                  <w:r>
                    <w:rPr>
                      <w:color w:val="auto"/>
                      <w:szCs w:val="21"/>
                    </w:rPr>
                    <w:t>厂区内无组织非甲烷总烃执行《表面涂装（工程机械和钢结构行业）大气污染物排放标准》（DB32/4147-2021）表3</w:t>
                  </w:r>
                </w:p>
              </w:tc>
            </w:tr>
          </w:tbl>
          <w:p>
            <w:pPr>
              <w:pStyle w:val="42"/>
              <w:wordWrap w:val="0"/>
              <w:adjustRightInd w:val="0"/>
              <w:snapToGrid w:val="0"/>
              <w:spacing w:line="360" w:lineRule="auto"/>
              <w:ind w:firstLine="482"/>
              <w:rPr>
                <w:b/>
                <w:bCs/>
                <w:color w:val="auto"/>
                <w:sz w:val="24"/>
              </w:rPr>
            </w:pPr>
            <w:r>
              <w:rPr>
                <w:b/>
                <w:bCs/>
                <w:color w:val="auto"/>
                <w:sz w:val="24"/>
              </w:rPr>
              <w:t>1.2污染防治措施及可行性分析</w:t>
            </w:r>
          </w:p>
          <w:p>
            <w:pPr>
              <w:wordWrap w:val="0"/>
              <w:adjustRightInd w:val="0"/>
              <w:snapToGrid w:val="0"/>
              <w:spacing w:line="360" w:lineRule="auto"/>
              <w:ind w:firstLine="480" w:firstLineChars="200"/>
              <w:rPr>
                <w:color w:val="auto"/>
                <w:sz w:val="24"/>
              </w:rPr>
            </w:pPr>
            <w:r>
              <w:rPr>
                <w:color w:val="auto"/>
                <w:sz w:val="24"/>
              </w:rPr>
              <w:t>本项目生产过程产生的废气主要为主要为切割废气G1、焊接废气（G2、G3）、打磨废气G4、抛丸废气G5、调漆废气G6、喷漆废气G7、晾干废气G8</w:t>
            </w:r>
            <w:r>
              <w:rPr>
                <w:rFonts w:hint="eastAsia"/>
                <w:color w:val="auto"/>
                <w:sz w:val="24"/>
                <w:lang w:eastAsia="zh-CN"/>
              </w:rPr>
              <w:t>、危废库废气</w:t>
            </w:r>
            <w:r>
              <w:rPr>
                <w:rFonts w:hint="eastAsia"/>
                <w:color w:val="auto"/>
                <w:sz w:val="24"/>
                <w:lang w:val="en-US" w:eastAsia="zh-CN"/>
              </w:rPr>
              <w:t>G9</w:t>
            </w:r>
            <w:r>
              <w:rPr>
                <w:color w:val="auto"/>
                <w:sz w:val="24"/>
              </w:rPr>
              <w:t>。对照《</w:t>
            </w:r>
            <w:r>
              <w:rPr>
                <w:rFonts w:hint="eastAsia"/>
                <w:color w:val="auto"/>
                <w:sz w:val="24"/>
              </w:rPr>
              <w:t>排污许可申请与核发规范 铁路、传播、航空航天和其他运输设备制造业</w:t>
            </w:r>
            <w:r>
              <w:rPr>
                <w:color w:val="auto"/>
                <w:sz w:val="24"/>
              </w:rPr>
              <w:t>》（HJ11</w:t>
            </w:r>
            <w:r>
              <w:rPr>
                <w:rFonts w:hint="eastAsia"/>
                <w:color w:val="auto"/>
                <w:sz w:val="24"/>
              </w:rPr>
              <w:t>24</w:t>
            </w:r>
            <w:r>
              <w:rPr>
                <w:color w:val="auto"/>
                <w:sz w:val="24"/>
              </w:rPr>
              <w:t>—2020）附录A-表A.1废气治理推荐可行技术参照表，建设项目</w:t>
            </w:r>
            <w:r>
              <w:rPr>
                <w:rFonts w:hint="eastAsia"/>
                <w:color w:val="auto"/>
                <w:sz w:val="24"/>
                <w:lang w:eastAsia="zh-CN"/>
              </w:rPr>
              <w:t>切割废气、</w:t>
            </w:r>
            <w:r>
              <w:rPr>
                <w:color w:val="auto"/>
                <w:sz w:val="24"/>
              </w:rPr>
              <w:t>焊接废气</w:t>
            </w:r>
            <w:r>
              <w:rPr>
                <w:rFonts w:hint="eastAsia"/>
                <w:color w:val="auto"/>
                <w:sz w:val="24"/>
                <w:lang w:eastAsia="zh-CN"/>
              </w:rPr>
              <w:t>、</w:t>
            </w:r>
            <w:r>
              <w:rPr>
                <w:color w:val="auto"/>
                <w:sz w:val="24"/>
              </w:rPr>
              <w:t>打磨废气、抛丸废气采用布袋除尘器处置；调漆废气、喷漆废气、晾干废气</w:t>
            </w:r>
            <w:r>
              <w:rPr>
                <w:rFonts w:hint="eastAsia"/>
                <w:color w:val="auto"/>
                <w:sz w:val="24"/>
                <w:lang w:eastAsia="zh-CN"/>
              </w:rPr>
              <w:t>、危废库废气</w:t>
            </w:r>
            <w:r>
              <w:rPr>
                <w:color w:val="auto"/>
                <w:sz w:val="24"/>
              </w:rPr>
              <w:t>采用干式过滤棉+二级活性炭吸附处置，属于推荐污染防治可行技术；</w:t>
            </w:r>
          </w:p>
          <w:p>
            <w:pPr>
              <w:wordWrap w:val="0"/>
              <w:adjustRightInd w:val="0"/>
              <w:snapToGrid w:val="0"/>
              <w:spacing w:line="360" w:lineRule="auto"/>
              <w:ind w:firstLine="482" w:firstLineChars="200"/>
              <w:rPr>
                <w:b/>
                <w:bCs/>
                <w:color w:val="auto"/>
                <w:sz w:val="24"/>
              </w:rPr>
            </w:pPr>
            <w:r>
              <w:rPr>
                <w:b/>
                <w:bCs/>
                <w:color w:val="auto"/>
                <w:sz w:val="24"/>
              </w:rPr>
              <w:t>1.2.1废气处理工艺流程图</w:t>
            </w:r>
          </w:p>
          <w:p>
            <w:pPr>
              <w:wordWrap w:val="0"/>
              <w:adjustRightInd w:val="0"/>
              <w:snapToGrid w:val="0"/>
              <w:spacing w:line="360" w:lineRule="auto"/>
              <w:ind w:firstLine="480" w:firstLineChars="200"/>
              <w:rPr>
                <w:color w:val="auto"/>
              </w:rPr>
            </w:pPr>
            <w:r>
              <w:rPr>
                <w:color w:val="auto"/>
                <w:sz w:val="24"/>
              </w:rPr>
              <w:t>本项目废气处理工艺流程图如下所示。</w:t>
            </w:r>
          </w:p>
          <w:p>
            <w:pPr>
              <w:wordWrap w:val="0"/>
              <w:autoSpaceDE w:val="0"/>
              <w:autoSpaceDN w:val="0"/>
              <w:adjustRightInd w:val="0"/>
              <w:snapToGrid w:val="0"/>
              <w:spacing w:line="360" w:lineRule="auto"/>
              <w:jc w:val="center"/>
              <w:rPr>
                <w:b/>
                <w:bCs/>
                <w:color w:val="auto"/>
                <w:szCs w:val="21"/>
              </w:rPr>
            </w:pPr>
            <w:r>
              <w:rPr>
                <w:color w:val="auto"/>
                <w:kern w:val="0"/>
                <w:sz w:val="24"/>
              </w:rPr>
              <w:object>
                <v:shape id="_x0000_i1026" o:spt="75" type="#_x0000_t75" style="height:204.05pt;width:448.5pt;" o:ole="t" filled="f" o:preferrelative="t" stroked="f" coordsize="21600,21600">
                  <v:path/>
                  <v:fill on="f" focussize="0,0"/>
                  <v:stroke on="f"/>
                  <v:imagedata r:id="rId19" o:title=""/>
                  <o:lock v:ext="edit" aspectratio="f"/>
                  <w10:wrap type="none"/>
                  <w10:anchorlock/>
                </v:shape>
                <o:OLEObject Type="Embed" ProgID="Visio.Drawing.11" ShapeID="_x0000_i1026" DrawAspect="Content" ObjectID="_1468075727" r:id="rId18">
                  <o:LockedField>false</o:LockedField>
                </o:OLEObject>
              </w:object>
            </w:r>
          </w:p>
          <w:p>
            <w:pPr>
              <w:wordWrap w:val="0"/>
              <w:autoSpaceDE w:val="0"/>
              <w:autoSpaceDN w:val="0"/>
              <w:adjustRightInd w:val="0"/>
              <w:snapToGrid w:val="0"/>
              <w:spacing w:line="360" w:lineRule="auto"/>
              <w:jc w:val="center"/>
              <w:rPr>
                <w:color w:val="auto"/>
              </w:rPr>
            </w:pPr>
            <w:r>
              <w:rPr>
                <w:b/>
                <w:bCs/>
                <w:color w:val="auto"/>
                <w:szCs w:val="21"/>
              </w:rPr>
              <w:t>图4.2-1 废气收集治理排放走向示意图</w:t>
            </w:r>
          </w:p>
          <w:p>
            <w:pPr>
              <w:wordWrap w:val="0"/>
              <w:autoSpaceDE w:val="0"/>
              <w:autoSpaceDN w:val="0"/>
              <w:adjustRightInd w:val="0"/>
              <w:snapToGrid w:val="0"/>
              <w:spacing w:line="360" w:lineRule="auto"/>
              <w:ind w:firstLine="482" w:firstLineChars="200"/>
              <w:rPr>
                <w:b/>
                <w:color w:val="auto"/>
                <w:sz w:val="24"/>
              </w:rPr>
            </w:pPr>
            <w:r>
              <w:rPr>
                <w:b/>
                <w:bCs/>
                <w:color w:val="auto"/>
                <w:sz w:val="24"/>
              </w:rPr>
              <w:t>1.2.2废气污染防治措施可行性分析：</w:t>
            </w:r>
          </w:p>
          <w:p>
            <w:pPr>
              <w:adjustRightInd w:val="0"/>
              <w:snapToGrid w:val="0"/>
              <w:spacing w:line="360" w:lineRule="auto"/>
              <w:ind w:firstLine="480" w:firstLineChars="200"/>
              <w:rPr>
                <w:color w:val="auto"/>
                <w:sz w:val="24"/>
              </w:rPr>
            </w:pPr>
            <w:r>
              <w:rPr>
                <w:color w:val="auto"/>
                <w:kern w:val="0"/>
                <w:sz w:val="24"/>
              </w:rPr>
              <w:t>A、</w:t>
            </w:r>
            <w:r>
              <w:rPr>
                <w:rFonts w:hint="eastAsia"/>
                <w:color w:val="auto"/>
                <w:kern w:val="0"/>
                <w:sz w:val="24"/>
                <w:lang w:eastAsia="zh-CN"/>
              </w:rPr>
              <w:t>切割、</w:t>
            </w:r>
            <w:r>
              <w:rPr>
                <w:color w:val="auto"/>
                <w:sz w:val="24"/>
              </w:rPr>
              <w:t>抛丸</w:t>
            </w:r>
            <w:r>
              <w:rPr>
                <w:rFonts w:hint="eastAsia"/>
                <w:color w:val="auto"/>
                <w:sz w:val="24"/>
                <w:lang w:eastAsia="zh-CN"/>
              </w:rPr>
              <w:t>、焊接、打磨</w:t>
            </w:r>
            <w:r>
              <w:rPr>
                <w:color w:val="auto"/>
                <w:sz w:val="24"/>
              </w:rPr>
              <w:t>粉尘</w:t>
            </w:r>
          </w:p>
          <w:p>
            <w:pPr>
              <w:adjustRightInd w:val="0"/>
              <w:snapToGrid w:val="0"/>
              <w:spacing w:line="360" w:lineRule="auto"/>
              <w:ind w:firstLine="480" w:firstLineChars="200"/>
              <w:rPr>
                <w:color w:val="auto"/>
                <w:kern w:val="0"/>
                <w:sz w:val="24"/>
              </w:rPr>
            </w:pPr>
            <w:r>
              <w:rPr>
                <w:color w:val="auto"/>
                <w:sz w:val="24"/>
              </w:rPr>
              <w:t>本项目</w:t>
            </w:r>
            <w:r>
              <w:rPr>
                <w:rFonts w:hint="eastAsia"/>
                <w:color w:val="auto"/>
                <w:kern w:val="0"/>
                <w:sz w:val="24"/>
                <w:lang w:eastAsia="zh-CN"/>
              </w:rPr>
              <w:t>切割、</w:t>
            </w:r>
            <w:r>
              <w:rPr>
                <w:color w:val="auto"/>
                <w:sz w:val="24"/>
              </w:rPr>
              <w:t>抛丸</w:t>
            </w:r>
            <w:r>
              <w:rPr>
                <w:rFonts w:hint="eastAsia"/>
                <w:color w:val="auto"/>
                <w:sz w:val="24"/>
                <w:lang w:eastAsia="zh-CN"/>
              </w:rPr>
              <w:t>、焊接、打磨</w:t>
            </w:r>
            <w:r>
              <w:rPr>
                <w:color w:val="auto"/>
                <w:sz w:val="24"/>
              </w:rPr>
              <w:t>粉尘通过布袋除尘器处理后有组织排放，除尘器主要的种类有：袋式除尘器、静电除尘器、旋风除尘器惯性除尘器、重力除尘器等，其中旋风除尘器主要进行粒径较大颗粒物的净化，袋式除尘器主要进行小粒径除尘。袋式除尘器是利用棉、毛、人造纤维等编织物作为滤袋起过滤作用，对颗粒物进行捕集而达到除尘效果的。其主要工作原理是：含尘气流从下部进入圆筒形滤袋，在通过滤料的孔隙时，粉尘被捕集于滤料上，透过滤料的清洁气体由排出口排出。沉积在滤料上的粉尘，可在机械振动的作用下从滤料表面脱落，落入灰斗中。滤料本身网孔较小，一般为20-50μm，表面起绒的滤料为5-10μm，而新型滤料的孔径在 5μm 以下。按不同粒径的粉尘在流体中运动的不同物理学特征，颗粒物通过惯性碰撞、截留、扩散、静电、筛滤等作用被捕集。此外，粉尘因截留、惯性碰撞、静电和扩散等作用，逐渐在滤袋表面形成粉尘层，常称为粉尘初层。初层形成后，它成为袋式除尘器的主要过滤层，提高了除尘效率。滤布只不过起着形成粉尘初层和支撑它的骨架作用，但随着粉尘在滤袋上积聚，滤袋两侧的压力差增大，会把有些已附在滤料上的细小粉尘挤压过去，使除尘效率下降。另外，若除尘器阻力过高，还会使除尘系统的处理气体量显著下降，影响生产系统的排风效果。因此，除尘器阻力达到一定的数值后，要及时清灰。本项目粉尘属于小粒</w:t>
            </w:r>
            <w:r>
              <w:rPr>
                <w:color w:val="auto"/>
                <w:kern w:val="0"/>
                <w:sz w:val="24"/>
              </w:rPr>
              <w:t>径，因此项目采用袋式除尘器进行粉尘处理，袋式除尘属于去除抛丸清理过程产生的颗粒物的可行技术，处理效率可达99.5%以上。本项目</w:t>
            </w:r>
            <w:r>
              <w:rPr>
                <w:rFonts w:hint="eastAsia"/>
                <w:color w:val="auto"/>
                <w:kern w:val="0"/>
                <w:sz w:val="24"/>
                <w:lang w:eastAsia="zh-CN"/>
              </w:rPr>
              <w:t>切割、</w:t>
            </w:r>
            <w:r>
              <w:rPr>
                <w:color w:val="auto"/>
                <w:kern w:val="0"/>
                <w:sz w:val="24"/>
              </w:rPr>
              <w:t>抛丸</w:t>
            </w:r>
            <w:r>
              <w:rPr>
                <w:rFonts w:hint="eastAsia"/>
                <w:color w:val="auto"/>
                <w:kern w:val="0"/>
                <w:sz w:val="24"/>
                <w:lang w:eastAsia="zh-CN"/>
              </w:rPr>
              <w:t>、</w:t>
            </w:r>
            <w:r>
              <w:rPr>
                <w:rFonts w:hint="eastAsia"/>
                <w:color w:val="auto"/>
                <w:sz w:val="24"/>
                <w:lang w:eastAsia="zh-CN"/>
              </w:rPr>
              <w:t>焊接、打磨</w:t>
            </w:r>
            <w:r>
              <w:rPr>
                <w:color w:val="auto"/>
                <w:kern w:val="0"/>
                <w:sz w:val="24"/>
              </w:rPr>
              <w:t>粉尘除尘效率取</w:t>
            </w:r>
            <w:r>
              <w:rPr>
                <w:rFonts w:hint="eastAsia"/>
                <w:color w:val="auto"/>
                <w:kern w:val="0"/>
                <w:sz w:val="24"/>
                <w:lang w:val="en-US" w:eastAsia="zh-CN"/>
              </w:rPr>
              <w:t>99.5</w:t>
            </w:r>
            <w:r>
              <w:rPr>
                <w:color w:val="auto"/>
                <w:kern w:val="0"/>
                <w:sz w:val="24"/>
              </w:rPr>
              <w:t>%可行。</w:t>
            </w:r>
          </w:p>
          <w:p>
            <w:pPr>
              <w:adjustRightInd w:val="0"/>
              <w:snapToGrid w:val="0"/>
              <w:spacing w:line="360" w:lineRule="auto"/>
              <w:ind w:firstLine="480" w:firstLineChars="200"/>
              <w:rPr>
                <w:color w:val="auto"/>
                <w:kern w:val="0"/>
                <w:sz w:val="24"/>
              </w:rPr>
            </w:pPr>
            <w:r>
              <w:rPr>
                <w:rFonts w:hint="eastAsia"/>
                <w:color w:val="auto"/>
                <w:kern w:val="0"/>
                <w:sz w:val="24"/>
              </w:rPr>
              <w:t>参考</w:t>
            </w:r>
            <w:r>
              <w:rPr>
                <w:color w:val="auto"/>
                <w:kern w:val="0"/>
                <w:sz w:val="24"/>
              </w:rPr>
              <w:t>《排污许可证申请与核发技术规范 金属铸造工艺》（HJ1115-2020）中表10 排污单位废气产污环节名称、污染物项目、排放形式及污染治理设施表，本项目废气处理可行性情况如下</w:t>
            </w:r>
          </w:p>
          <w:p>
            <w:pPr>
              <w:adjustRightInd w:val="0"/>
              <w:snapToGrid w:val="0"/>
              <w:jc w:val="center"/>
              <w:rPr>
                <w:b/>
                <w:bCs/>
                <w:color w:val="auto"/>
                <w:kern w:val="0"/>
                <w:szCs w:val="21"/>
              </w:rPr>
            </w:pPr>
            <w:r>
              <w:rPr>
                <w:b/>
                <w:bCs/>
                <w:color w:val="auto"/>
                <w:kern w:val="0"/>
                <w:szCs w:val="21"/>
              </w:rPr>
              <w:t>表 4.2-</w:t>
            </w:r>
            <w:r>
              <w:rPr>
                <w:rFonts w:hint="eastAsia"/>
                <w:b/>
                <w:bCs/>
                <w:color w:val="auto"/>
                <w:kern w:val="0"/>
                <w:szCs w:val="21"/>
              </w:rPr>
              <w:t>9</w:t>
            </w:r>
            <w:r>
              <w:rPr>
                <w:b/>
                <w:bCs/>
                <w:color w:val="auto"/>
                <w:kern w:val="0"/>
                <w:szCs w:val="21"/>
              </w:rPr>
              <w:t xml:space="preserve"> 本项目废气污染防治可行性技术情况表</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5"/>
              <w:gridCol w:w="1454"/>
              <w:gridCol w:w="1185"/>
              <w:gridCol w:w="1126"/>
              <w:gridCol w:w="2820"/>
              <w:gridCol w:w="839"/>
              <w:gridCol w:w="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vMerge w:val="restar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生产单元</w:t>
                  </w:r>
                </w:p>
              </w:tc>
              <w:tc>
                <w:tcPr>
                  <w:tcW w:w="811" w:type="pct"/>
                  <w:vMerge w:val="restar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生产设施</w:t>
                  </w:r>
                </w:p>
              </w:tc>
              <w:tc>
                <w:tcPr>
                  <w:tcW w:w="1289" w:type="pct"/>
                  <w:gridSpan w:val="2"/>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过程控制技术</w:t>
                  </w:r>
                </w:p>
              </w:tc>
              <w:tc>
                <w:tcPr>
                  <w:tcW w:w="2041" w:type="pct"/>
                  <w:gridSpan w:val="2"/>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处理技术</w:t>
                  </w:r>
                </w:p>
              </w:tc>
              <w:tc>
                <w:tcPr>
                  <w:tcW w:w="435" w:type="pct"/>
                  <w:vMerge w:val="restar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是否可行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421" w:type="pct"/>
                  <w:vMerge w:val="continue"/>
                  <w:vAlign w:val="center"/>
                </w:tcPr>
                <w:p>
                  <w:pPr>
                    <w:pStyle w:val="13"/>
                    <w:tabs>
                      <w:tab w:val="left" w:pos="2830"/>
                    </w:tabs>
                    <w:jc w:val="center"/>
                    <w:rPr>
                      <w:rFonts w:ascii="Times New Roman" w:hAnsi="Times New Roman"/>
                      <w:color w:val="auto"/>
                      <w:sz w:val="21"/>
                      <w:szCs w:val="21"/>
                    </w:rPr>
                  </w:pPr>
                </w:p>
              </w:tc>
              <w:tc>
                <w:tcPr>
                  <w:tcW w:w="811" w:type="pct"/>
                  <w:vMerge w:val="continue"/>
                  <w:vAlign w:val="center"/>
                </w:tcPr>
                <w:p>
                  <w:pPr>
                    <w:pStyle w:val="13"/>
                    <w:tabs>
                      <w:tab w:val="left" w:pos="2830"/>
                    </w:tabs>
                    <w:jc w:val="center"/>
                    <w:rPr>
                      <w:rFonts w:ascii="Times New Roman" w:hAnsi="Times New Roman"/>
                      <w:color w:val="auto"/>
                      <w:sz w:val="21"/>
                      <w:szCs w:val="21"/>
                    </w:rPr>
                  </w:pPr>
                </w:p>
              </w:tc>
              <w:tc>
                <w:tcPr>
                  <w:tcW w:w="661"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可行技术</w:t>
                  </w:r>
                </w:p>
              </w:tc>
              <w:tc>
                <w:tcPr>
                  <w:tcW w:w="627"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本项目</w:t>
                  </w:r>
                </w:p>
              </w:tc>
              <w:tc>
                <w:tcPr>
                  <w:tcW w:w="1573"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可行技术</w:t>
                  </w:r>
                </w:p>
              </w:tc>
              <w:tc>
                <w:tcPr>
                  <w:tcW w:w="468"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本项目</w:t>
                  </w:r>
                </w:p>
              </w:tc>
              <w:tc>
                <w:tcPr>
                  <w:tcW w:w="435" w:type="pct"/>
                  <w:vMerge w:val="continue"/>
                  <w:vAlign w:val="center"/>
                </w:tcPr>
                <w:p>
                  <w:pPr>
                    <w:pStyle w:val="13"/>
                    <w:tabs>
                      <w:tab w:val="left" w:pos="2830"/>
                    </w:tabs>
                    <w:jc w:val="center"/>
                    <w:rPr>
                      <w:rFonts w:ascii="Times New Roman" w:hAnsi="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抛丸</w:t>
                  </w:r>
                </w:p>
              </w:tc>
              <w:tc>
                <w:tcPr>
                  <w:tcW w:w="811"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抛丸机</w:t>
                  </w:r>
                </w:p>
              </w:tc>
              <w:tc>
                <w:tcPr>
                  <w:tcW w:w="661" w:type="pct"/>
                  <w:vMerge w:val="restar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密闭过程、密闭场所、局部收集</w:t>
                  </w:r>
                </w:p>
              </w:tc>
              <w:tc>
                <w:tcPr>
                  <w:tcW w:w="627" w:type="pct"/>
                  <w:vMerge w:val="restar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本项目管道收集</w:t>
                  </w:r>
                </w:p>
              </w:tc>
              <w:tc>
                <w:tcPr>
                  <w:tcW w:w="1573" w:type="pct"/>
                  <w:vMerge w:val="restar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静电除尘器、袋式除尘器、电袋复合除尘器、旋风除尘器、滤筒除尘器、湿式除尘器、其他</w:t>
                  </w:r>
                </w:p>
              </w:tc>
              <w:tc>
                <w:tcPr>
                  <w:tcW w:w="468" w:type="pct"/>
                  <w:vMerge w:val="restar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袋式除尘器</w:t>
                  </w:r>
                </w:p>
              </w:tc>
              <w:tc>
                <w:tcPr>
                  <w:tcW w:w="435" w:type="pct"/>
                  <w:vMerge w:val="restar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打磨</w:t>
                  </w:r>
                </w:p>
              </w:tc>
              <w:tc>
                <w:tcPr>
                  <w:tcW w:w="811"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打磨机</w:t>
                  </w:r>
                </w:p>
              </w:tc>
              <w:tc>
                <w:tcPr>
                  <w:tcW w:w="661" w:type="pct"/>
                  <w:vMerge w:val="continue"/>
                  <w:vAlign w:val="center"/>
                </w:tcPr>
                <w:p>
                  <w:pPr>
                    <w:pStyle w:val="13"/>
                    <w:tabs>
                      <w:tab w:val="left" w:pos="2830"/>
                    </w:tabs>
                    <w:jc w:val="center"/>
                    <w:rPr>
                      <w:rFonts w:ascii="Times New Roman" w:hAnsi="Times New Roman"/>
                      <w:color w:val="auto"/>
                      <w:sz w:val="21"/>
                      <w:szCs w:val="21"/>
                    </w:rPr>
                  </w:pPr>
                </w:p>
              </w:tc>
              <w:tc>
                <w:tcPr>
                  <w:tcW w:w="627" w:type="pct"/>
                  <w:vMerge w:val="continue"/>
                  <w:vAlign w:val="center"/>
                </w:tcPr>
                <w:p>
                  <w:pPr>
                    <w:pStyle w:val="13"/>
                    <w:tabs>
                      <w:tab w:val="left" w:pos="2830"/>
                    </w:tabs>
                    <w:jc w:val="center"/>
                    <w:rPr>
                      <w:rFonts w:ascii="Times New Roman" w:hAnsi="Times New Roman"/>
                      <w:color w:val="auto"/>
                      <w:sz w:val="21"/>
                      <w:szCs w:val="21"/>
                    </w:rPr>
                  </w:pPr>
                </w:p>
              </w:tc>
              <w:tc>
                <w:tcPr>
                  <w:tcW w:w="1573" w:type="pct"/>
                  <w:vMerge w:val="continue"/>
                  <w:vAlign w:val="center"/>
                </w:tcPr>
                <w:p>
                  <w:pPr>
                    <w:pStyle w:val="13"/>
                    <w:tabs>
                      <w:tab w:val="left" w:pos="2830"/>
                    </w:tabs>
                    <w:jc w:val="center"/>
                    <w:rPr>
                      <w:rFonts w:ascii="Times New Roman" w:hAnsi="Times New Roman"/>
                      <w:color w:val="auto"/>
                      <w:sz w:val="21"/>
                      <w:szCs w:val="21"/>
                    </w:rPr>
                  </w:pPr>
                </w:p>
              </w:tc>
              <w:tc>
                <w:tcPr>
                  <w:tcW w:w="468" w:type="pct"/>
                  <w:vMerge w:val="continue"/>
                  <w:vAlign w:val="center"/>
                </w:tcPr>
                <w:p>
                  <w:pPr>
                    <w:pStyle w:val="13"/>
                    <w:tabs>
                      <w:tab w:val="left" w:pos="2830"/>
                    </w:tabs>
                    <w:jc w:val="center"/>
                    <w:rPr>
                      <w:rFonts w:ascii="Times New Roman" w:hAnsi="Times New Roman"/>
                      <w:color w:val="auto"/>
                      <w:sz w:val="21"/>
                      <w:szCs w:val="21"/>
                    </w:rPr>
                  </w:pPr>
                </w:p>
              </w:tc>
              <w:tc>
                <w:tcPr>
                  <w:tcW w:w="435" w:type="pct"/>
                  <w:vMerge w:val="continue"/>
                  <w:vAlign w:val="center"/>
                </w:tcPr>
                <w:p>
                  <w:pPr>
                    <w:pStyle w:val="13"/>
                    <w:tabs>
                      <w:tab w:val="left" w:pos="2830"/>
                    </w:tabs>
                    <w:jc w:val="center"/>
                    <w:rPr>
                      <w:rFonts w:ascii="Times New Roman" w:hAnsi="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vAlign w:val="center"/>
                </w:tcPr>
                <w:p>
                  <w:pPr>
                    <w:pStyle w:val="13"/>
                    <w:tabs>
                      <w:tab w:val="left" w:pos="2830"/>
                    </w:tabs>
                    <w:jc w:val="center"/>
                    <w:rPr>
                      <w:rFonts w:hint="eastAsia" w:ascii="Times New Roman" w:hAnsi="Times New Roman" w:eastAsia="宋体"/>
                      <w:color w:val="auto"/>
                      <w:sz w:val="21"/>
                      <w:szCs w:val="21"/>
                      <w:lang w:eastAsia="zh-CN"/>
                    </w:rPr>
                  </w:pPr>
                  <w:r>
                    <w:rPr>
                      <w:rFonts w:hint="eastAsia" w:ascii="Times New Roman" w:hAnsi="Times New Roman"/>
                      <w:color w:val="auto"/>
                      <w:sz w:val="21"/>
                      <w:szCs w:val="21"/>
                      <w:lang w:eastAsia="zh-CN"/>
                    </w:rPr>
                    <w:t>切割</w:t>
                  </w:r>
                </w:p>
              </w:tc>
              <w:tc>
                <w:tcPr>
                  <w:tcW w:w="811" w:type="pct"/>
                  <w:vAlign w:val="center"/>
                </w:tcPr>
                <w:p>
                  <w:pPr>
                    <w:pStyle w:val="13"/>
                    <w:tabs>
                      <w:tab w:val="left" w:pos="2830"/>
                    </w:tabs>
                    <w:jc w:val="center"/>
                    <w:rPr>
                      <w:rFonts w:hint="eastAsia" w:ascii="Times New Roman" w:hAnsi="Times New Roman" w:eastAsia="宋体"/>
                      <w:color w:val="auto"/>
                      <w:sz w:val="21"/>
                      <w:szCs w:val="21"/>
                      <w:lang w:eastAsia="zh-CN"/>
                    </w:rPr>
                  </w:pPr>
                  <w:r>
                    <w:rPr>
                      <w:rFonts w:hint="eastAsia" w:ascii="Times New Roman" w:hAnsi="Times New Roman"/>
                      <w:color w:val="auto"/>
                      <w:sz w:val="21"/>
                      <w:szCs w:val="21"/>
                      <w:lang w:eastAsia="zh-CN"/>
                    </w:rPr>
                    <w:t>等离子切割机</w:t>
                  </w:r>
                </w:p>
              </w:tc>
              <w:tc>
                <w:tcPr>
                  <w:tcW w:w="661" w:type="pct"/>
                  <w:vMerge w:val="continue"/>
                  <w:vAlign w:val="center"/>
                </w:tcPr>
                <w:p>
                  <w:pPr>
                    <w:pStyle w:val="13"/>
                    <w:tabs>
                      <w:tab w:val="left" w:pos="2830"/>
                    </w:tabs>
                    <w:jc w:val="center"/>
                    <w:rPr>
                      <w:rFonts w:ascii="Times New Roman" w:hAnsi="Times New Roman"/>
                      <w:color w:val="auto"/>
                      <w:sz w:val="21"/>
                      <w:szCs w:val="21"/>
                    </w:rPr>
                  </w:pPr>
                </w:p>
              </w:tc>
              <w:tc>
                <w:tcPr>
                  <w:tcW w:w="627" w:type="pct"/>
                  <w:vMerge w:val="continue"/>
                  <w:vAlign w:val="center"/>
                </w:tcPr>
                <w:p>
                  <w:pPr>
                    <w:pStyle w:val="13"/>
                    <w:tabs>
                      <w:tab w:val="left" w:pos="2830"/>
                    </w:tabs>
                    <w:jc w:val="center"/>
                    <w:rPr>
                      <w:rFonts w:ascii="Times New Roman" w:hAnsi="Times New Roman"/>
                      <w:color w:val="auto"/>
                      <w:sz w:val="21"/>
                      <w:szCs w:val="21"/>
                    </w:rPr>
                  </w:pPr>
                </w:p>
              </w:tc>
              <w:tc>
                <w:tcPr>
                  <w:tcW w:w="1573" w:type="pct"/>
                  <w:vMerge w:val="continue"/>
                  <w:vAlign w:val="center"/>
                </w:tcPr>
                <w:p>
                  <w:pPr>
                    <w:pStyle w:val="13"/>
                    <w:tabs>
                      <w:tab w:val="left" w:pos="2830"/>
                    </w:tabs>
                    <w:jc w:val="center"/>
                    <w:rPr>
                      <w:rFonts w:ascii="Times New Roman" w:hAnsi="Times New Roman"/>
                      <w:color w:val="auto"/>
                      <w:sz w:val="21"/>
                      <w:szCs w:val="21"/>
                    </w:rPr>
                  </w:pPr>
                </w:p>
              </w:tc>
              <w:tc>
                <w:tcPr>
                  <w:tcW w:w="468" w:type="pct"/>
                  <w:vMerge w:val="continue"/>
                  <w:vAlign w:val="center"/>
                </w:tcPr>
                <w:p>
                  <w:pPr>
                    <w:pStyle w:val="13"/>
                    <w:tabs>
                      <w:tab w:val="left" w:pos="2830"/>
                    </w:tabs>
                    <w:jc w:val="center"/>
                    <w:rPr>
                      <w:rFonts w:ascii="Times New Roman" w:hAnsi="Times New Roman"/>
                      <w:color w:val="auto"/>
                      <w:sz w:val="21"/>
                      <w:szCs w:val="21"/>
                    </w:rPr>
                  </w:pPr>
                </w:p>
              </w:tc>
              <w:tc>
                <w:tcPr>
                  <w:tcW w:w="435" w:type="pct"/>
                  <w:vMerge w:val="continue"/>
                  <w:vAlign w:val="center"/>
                </w:tcPr>
                <w:p>
                  <w:pPr>
                    <w:pStyle w:val="13"/>
                    <w:tabs>
                      <w:tab w:val="left" w:pos="2830"/>
                    </w:tabs>
                    <w:jc w:val="center"/>
                    <w:rPr>
                      <w:rFonts w:ascii="Times New Roman" w:hAnsi="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vAlign w:val="center"/>
                </w:tcPr>
                <w:p>
                  <w:pPr>
                    <w:pStyle w:val="13"/>
                    <w:tabs>
                      <w:tab w:val="left" w:pos="2830"/>
                    </w:tabs>
                    <w:jc w:val="center"/>
                    <w:rPr>
                      <w:rFonts w:hint="eastAsia" w:ascii="Times New Roman" w:hAnsi="Times New Roman"/>
                      <w:color w:val="auto"/>
                      <w:sz w:val="21"/>
                      <w:szCs w:val="21"/>
                      <w:lang w:eastAsia="zh-CN"/>
                    </w:rPr>
                  </w:pPr>
                  <w:r>
                    <w:rPr>
                      <w:rFonts w:hint="eastAsia" w:ascii="Times New Roman" w:hAnsi="Times New Roman"/>
                      <w:color w:val="auto"/>
                      <w:sz w:val="21"/>
                      <w:szCs w:val="21"/>
                      <w:lang w:eastAsia="zh-CN"/>
                    </w:rPr>
                    <w:t>焊接</w:t>
                  </w:r>
                </w:p>
              </w:tc>
              <w:tc>
                <w:tcPr>
                  <w:tcW w:w="811" w:type="pct"/>
                  <w:vAlign w:val="center"/>
                </w:tcPr>
                <w:p>
                  <w:pPr>
                    <w:pStyle w:val="13"/>
                    <w:tabs>
                      <w:tab w:val="left" w:pos="2830"/>
                    </w:tabs>
                    <w:jc w:val="center"/>
                    <w:rPr>
                      <w:rFonts w:hint="eastAsia" w:ascii="Times New Roman" w:hAnsi="Times New Roman"/>
                      <w:color w:val="auto"/>
                      <w:sz w:val="21"/>
                      <w:szCs w:val="21"/>
                      <w:lang w:eastAsia="zh-CN"/>
                    </w:rPr>
                  </w:pPr>
                  <w:r>
                    <w:rPr>
                      <w:rFonts w:hint="eastAsia" w:ascii="Times New Roman" w:hAnsi="Times New Roman"/>
                      <w:color w:val="auto"/>
                      <w:sz w:val="21"/>
                      <w:szCs w:val="21"/>
                      <w:lang w:eastAsia="zh-CN"/>
                    </w:rPr>
                    <w:t>手工焊机、埋弧焊机、气体保护焊机</w:t>
                  </w:r>
                </w:p>
              </w:tc>
              <w:tc>
                <w:tcPr>
                  <w:tcW w:w="661" w:type="pct"/>
                  <w:vMerge w:val="continue"/>
                  <w:vAlign w:val="center"/>
                </w:tcPr>
                <w:p>
                  <w:pPr>
                    <w:pStyle w:val="13"/>
                    <w:tabs>
                      <w:tab w:val="left" w:pos="2830"/>
                    </w:tabs>
                    <w:jc w:val="center"/>
                    <w:rPr>
                      <w:rFonts w:ascii="Times New Roman" w:hAnsi="Times New Roman"/>
                      <w:color w:val="auto"/>
                      <w:sz w:val="21"/>
                      <w:szCs w:val="21"/>
                    </w:rPr>
                  </w:pPr>
                </w:p>
              </w:tc>
              <w:tc>
                <w:tcPr>
                  <w:tcW w:w="627" w:type="pct"/>
                  <w:vMerge w:val="continue"/>
                  <w:vAlign w:val="center"/>
                </w:tcPr>
                <w:p>
                  <w:pPr>
                    <w:pStyle w:val="13"/>
                    <w:tabs>
                      <w:tab w:val="left" w:pos="2830"/>
                    </w:tabs>
                    <w:jc w:val="center"/>
                    <w:rPr>
                      <w:rFonts w:ascii="Times New Roman" w:hAnsi="Times New Roman"/>
                      <w:color w:val="auto"/>
                      <w:sz w:val="21"/>
                      <w:szCs w:val="21"/>
                    </w:rPr>
                  </w:pPr>
                </w:p>
              </w:tc>
              <w:tc>
                <w:tcPr>
                  <w:tcW w:w="1573" w:type="pct"/>
                  <w:vMerge w:val="continue"/>
                  <w:vAlign w:val="center"/>
                </w:tcPr>
                <w:p>
                  <w:pPr>
                    <w:pStyle w:val="13"/>
                    <w:tabs>
                      <w:tab w:val="left" w:pos="2830"/>
                    </w:tabs>
                    <w:jc w:val="center"/>
                    <w:rPr>
                      <w:rFonts w:ascii="Times New Roman" w:hAnsi="Times New Roman"/>
                      <w:color w:val="auto"/>
                      <w:sz w:val="21"/>
                      <w:szCs w:val="21"/>
                    </w:rPr>
                  </w:pPr>
                </w:p>
              </w:tc>
              <w:tc>
                <w:tcPr>
                  <w:tcW w:w="468" w:type="pct"/>
                  <w:vMerge w:val="continue"/>
                  <w:vAlign w:val="center"/>
                </w:tcPr>
                <w:p>
                  <w:pPr>
                    <w:pStyle w:val="13"/>
                    <w:tabs>
                      <w:tab w:val="left" w:pos="2830"/>
                    </w:tabs>
                    <w:jc w:val="center"/>
                    <w:rPr>
                      <w:rFonts w:ascii="Times New Roman" w:hAnsi="Times New Roman"/>
                      <w:color w:val="auto"/>
                      <w:sz w:val="21"/>
                      <w:szCs w:val="21"/>
                    </w:rPr>
                  </w:pPr>
                </w:p>
              </w:tc>
              <w:tc>
                <w:tcPr>
                  <w:tcW w:w="435" w:type="pct"/>
                  <w:vMerge w:val="continue"/>
                  <w:vAlign w:val="center"/>
                </w:tcPr>
                <w:p>
                  <w:pPr>
                    <w:pStyle w:val="13"/>
                    <w:tabs>
                      <w:tab w:val="left" w:pos="2830"/>
                    </w:tabs>
                    <w:jc w:val="center"/>
                    <w:rPr>
                      <w:rFonts w:ascii="Times New Roman" w:hAnsi="Times New Roman"/>
                      <w:color w:val="auto"/>
                      <w:sz w:val="21"/>
                      <w:szCs w:val="21"/>
                    </w:rPr>
                  </w:pPr>
                </w:p>
              </w:tc>
            </w:tr>
          </w:tbl>
          <w:p>
            <w:pPr>
              <w:widowControl/>
              <w:adjustRightInd w:val="0"/>
              <w:snapToGrid w:val="0"/>
              <w:spacing w:line="360" w:lineRule="auto"/>
              <w:ind w:firstLine="420" w:firstLineChars="200"/>
              <w:rPr>
                <w:rFonts w:hint="eastAsia" w:eastAsia="宋体"/>
                <w:color w:val="auto"/>
                <w:kern w:val="0"/>
                <w:sz w:val="24"/>
                <w:lang w:val="en-US" w:eastAsia="zh-CN"/>
              </w:rPr>
            </w:pPr>
            <w:r>
              <w:rPr>
                <w:rFonts w:ascii="Times New Roman" w:hAnsi="Times New Roman"/>
                <w:color w:val="auto"/>
                <w:szCs w:val="24"/>
              </w:rPr>
              <w:t>B、</w:t>
            </w:r>
            <w:r>
              <w:rPr>
                <w:color w:val="auto"/>
                <w:sz w:val="24"/>
              </w:rPr>
              <w:t>调漆、</w:t>
            </w:r>
            <w:r>
              <w:rPr>
                <w:color w:val="auto"/>
                <w:kern w:val="0"/>
                <w:sz w:val="24"/>
              </w:rPr>
              <w:t>喷漆、晾干</w:t>
            </w:r>
            <w:r>
              <w:rPr>
                <w:rFonts w:hint="eastAsia"/>
                <w:color w:val="auto"/>
                <w:kern w:val="0"/>
                <w:sz w:val="24"/>
                <w:lang w:eastAsia="zh-CN"/>
              </w:rPr>
              <w:t>、危废库</w:t>
            </w:r>
          </w:p>
          <w:p>
            <w:pPr>
              <w:adjustRightInd w:val="0"/>
              <w:snapToGrid w:val="0"/>
              <w:spacing w:line="360" w:lineRule="auto"/>
              <w:ind w:firstLine="480" w:firstLineChars="200"/>
              <w:rPr>
                <w:color w:val="auto"/>
                <w:sz w:val="24"/>
              </w:rPr>
            </w:pPr>
            <w:r>
              <w:rPr>
                <w:color w:val="auto"/>
                <w:kern w:val="0"/>
                <w:sz w:val="24"/>
              </w:rPr>
              <w:t>本项目调漆、喷漆</w:t>
            </w:r>
            <w:r>
              <w:rPr>
                <w:rFonts w:hint="eastAsia"/>
                <w:color w:val="auto"/>
                <w:kern w:val="0"/>
                <w:sz w:val="24"/>
                <w:lang w:eastAsia="zh-CN"/>
              </w:rPr>
              <w:t>、</w:t>
            </w:r>
            <w:r>
              <w:rPr>
                <w:color w:val="auto"/>
                <w:kern w:val="0"/>
                <w:sz w:val="24"/>
              </w:rPr>
              <w:t>晾干工序</w:t>
            </w:r>
            <w:r>
              <w:rPr>
                <w:rFonts w:hint="eastAsia"/>
                <w:color w:val="auto"/>
                <w:kern w:val="0"/>
                <w:sz w:val="24"/>
                <w:lang w:eastAsia="zh-CN"/>
              </w:rPr>
              <w:t>及危废库</w:t>
            </w:r>
            <w:r>
              <w:rPr>
                <w:color w:val="auto"/>
                <w:kern w:val="0"/>
                <w:sz w:val="24"/>
              </w:rPr>
              <w:t>产生的NMHC经</w:t>
            </w:r>
            <w:r>
              <w:rPr>
                <w:rFonts w:hint="eastAsia"/>
                <w:color w:val="auto"/>
                <w:kern w:val="0"/>
                <w:sz w:val="24"/>
                <w:lang w:eastAsia="zh-CN"/>
              </w:rPr>
              <w:t>车间</w:t>
            </w:r>
            <w:r>
              <w:rPr>
                <w:color w:val="auto"/>
                <w:kern w:val="0"/>
                <w:sz w:val="24"/>
              </w:rPr>
              <w:t>密闭设备收集，</w:t>
            </w:r>
            <w:r>
              <w:rPr>
                <w:rFonts w:hint="eastAsia"/>
                <w:color w:val="auto"/>
                <w:sz w:val="24"/>
                <w:szCs w:val="24"/>
                <w:lang w:eastAsia="zh-CN"/>
              </w:rPr>
              <w:t>根据《</w:t>
            </w:r>
            <w:r>
              <w:rPr>
                <w:rFonts w:hint="eastAsia"/>
                <w:color w:val="auto"/>
                <w:sz w:val="24"/>
                <w:szCs w:val="24"/>
                <w:lang w:val="en-US" w:eastAsia="zh-CN"/>
              </w:rPr>
              <w:t>广东省工业源挥发性有机物减排量核算方法（试行）</w:t>
            </w:r>
            <w:r>
              <w:rPr>
                <w:rFonts w:hint="eastAsia"/>
                <w:color w:val="auto"/>
                <w:sz w:val="24"/>
                <w:szCs w:val="24"/>
                <w:lang w:eastAsia="zh-CN"/>
              </w:rPr>
              <w:t>》</w:t>
            </w:r>
            <w:r>
              <w:rPr>
                <w:rFonts w:hint="eastAsia"/>
                <w:color w:val="auto"/>
                <w:sz w:val="24"/>
                <w:szCs w:val="24"/>
                <w:lang w:val="en-US" w:eastAsia="zh-CN"/>
              </w:rPr>
              <w:t>表4.5-1 废气收集集气效率参考值</w:t>
            </w:r>
            <w:r>
              <w:rPr>
                <w:rFonts w:hint="eastAsia"/>
                <w:color w:val="auto"/>
                <w:sz w:val="24"/>
                <w:szCs w:val="24"/>
                <w:lang w:eastAsia="zh-CN"/>
              </w:rPr>
              <w:t>中：</w:t>
            </w:r>
            <w:r>
              <w:rPr>
                <w:rFonts w:hint="default"/>
                <w:color w:val="auto"/>
                <w:sz w:val="24"/>
                <w:szCs w:val="24"/>
                <w:lang w:val="en-US" w:eastAsia="zh-CN"/>
              </w:rPr>
              <w:t>VOCs</w:t>
            </w:r>
            <w:r>
              <w:rPr>
                <w:rFonts w:hint="eastAsia"/>
                <w:color w:val="auto"/>
                <w:sz w:val="24"/>
                <w:szCs w:val="24"/>
                <w:lang w:val="en-US" w:eastAsia="zh-CN"/>
              </w:rPr>
              <w:t>产生源设置在密闭车间、密闭设备（含反应釜）、密闭管道内，所有开口处，包括人员或物料进出口处呈负压，收集效率达95%</w:t>
            </w:r>
            <w:r>
              <w:rPr>
                <w:color w:val="auto"/>
                <w:kern w:val="0"/>
                <w:sz w:val="24"/>
              </w:rPr>
              <w:t>，</w:t>
            </w:r>
            <w:r>
              <w:rPr>
                <w:rFonts w:hint="eastAsia"/>
                <w:color w:val="auto"/>
                <w:kern w:val="0"/>
                <w:sz w:val="24"/>
                <w:lang w:eastAsia="zh-CN"/>
              </w:rPr>
              <w:t>因此</w:t>
            </w:r>
            <w:r>
              <w:rPr>
                <w:color w:val="auto"/>
                <w:kern w:val="0"/>
                <w:sz w:val="24"/>
              </w:rPr>
              <w:t>建设项目喷漆、晾干工序</w:t>
            </w:r>
            <w:r>
              <w:rPr>
                <w:rFonts w:hint="eastAsia"/>
                <w:color w:val="auto"/>
                <w:kern w:val="0"/>
                <w:sz w:val="24"/>
                <w:lang w:eastAsia="zh-CN"/>
              </w:rPr>
              <w:t>、危废库</w:t>
            </w:r>
            <w:r>
              <w:rPr>
                <w:color w:val="auto"/>
                <w:kern w:val="0"/>
                <w:sz w:val="24"/>
              </w:rPr>
              <w:t>经密闭设备收集，废气收集效率取9</w:t>
            </w:r>
            <w:r>
              <w:rPr>
                <w:rFonts w:hint="eastAsia"/>
                <w:color w:val="auto"/>
                <w:kern w:val="0"/>
                <w:sz w:val="24"/>
                <w:lang w:val="en-US" w:eastAsia="zh-CN"/>
              </w:rPr>
              <w:t>5</w:t>
            </w:r>
            <w:r>
              <w:rPr>
                <w:color w:val="auto"/>
                <w:kern w:val="0"/>
                <w:sz w:val="24"/>
              </w:rPr>
              <w:t>%可行。</w:t>
            </w:r>
          </w:p>
          <w:p>
            <w:pPr>
              <w:adjustRightInd w:val="0"/>
              <w:snapToGrid w:val="0"/>
              <w:spacing w:line="360" w:lineRule="auto"/>
              <w:ind w:firstLine="480" w:firstLineChars="200"/>
              <w:rPr>
                <w:color w:val="auto"/>
                <w:sz w:val="24"/>
              </w:rPr>
            </w:pPr>
            <w:r>
              <w:rPr>
                <w:color w:val="auto"/>
                <w:sz w:val="24"/>
              </w:rPr>
              <w:t>调漆、喷漆、晾干废气</w:t>
            </w:r>
            <w:r>
              <w:rPr>
                <w:rFonts w:hint="eastAsia"/>
                <w:color w:val="auto"/>
                <w:sz w:val="24"/>
                <w:lang w:eastAsia="zh-CN"/>
              </w:rPr>
              <w:t>、危废库废气</w:t>
            </w:r>
            <w:r>
              <w:rPr>
                <w:color w:val="auto"/>
                <w:sz w:val="24"/>
              </w:rPr>
              <w:t>中的非甲烷总烃主要通过二级活性炭吸附处置，根据《江苏富乐德半导体科技有限公司420万片/年半导体功率模块DBC基板项目（一期）竣工环境保护验收监测报告》监测数据（谱尼环验字[2019]第32号）（见下表），二级活性炭对非甲烷总烃吸附效果可达90%以上。本项目有机废气处理效率取90%。</w:t>
            </w:r>
          </w:p>
          <w:p>
            <w:pPr>
              <w:tabs>
                <w:tab w:val="left" w:pos="720"/>
              </w:tabs>
              <w:adjustRightInd w:val="0"/>
              <w:snapToGrid w:val="0"/>
              <w:spacing w:before="120" w:beforeLines="50"/>
              <w:jc w:val="center"/>
              <w:rPr>
                <w:b/>
                <w:color w:val="auto"/>
                <w:szCs w:val="21"/>
              </w:rPr>
            </w:pPr>
            <w:r>
              <w:rPr>
                <w:b/>
                <w:color w:val="auto"/>
                <w:szCs w:val="21"/>
              </w:rPr>
              <w:t>表4.1-1</w:t>
            </w:r>
            <w:r>
              <w:rPr>
                <w:rFonts w:hint="eastAsia"/>
                <w:b/>
                <w:color w:val="auto"/>
                <w:szCs w:val="21"/>
              </w:rPr>
              <w:t>0</w:t>
            </w:r>
            <w:r>
              <w:rPr>
                <w:b/>
                <w:color w:val="auto"/>
                <w:szCs w:val="21"/>
              </w:rPr>
              <w:t>江苏富乐德半导体科技有限公司废气检测数据</w:t>
            </w:r>
          </w:p>
          <w:tbl>
            <w:tblPr>
              <w:tblStyle w:val="20"/>
              <w:tblW w:w="4997"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526"/>
              <w:gridCol w:w="917"/>
              <w:gridCol w:w="709"/>
              <w:gridCol w:w="1067"/>
              <w:gridCol w:w="1071"/>
              <w:gridCol w:w="901"/>
              <w:gridCol w:w="1076"/>
              <w:gridCol w:w="1087"/>
              <w:gridCol w:w="926"/>
              <w:gridCol w:w="685"/>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293" w:type="pct"/>
                  <w:vMerge w:val="restart"/>
                  <w:tcBorders>
                    <w:top w:val="single" w:color="auto" w:sz="12" w:space="0"/>
                    <w:bottom w:val="single" w:color="auto" w:sz="12" w:space="0"/>
                  </w:tcBorders>
                  <w:vAlign w:val="center"/>
                </w:tcPr>
                <w:p>
                  <w:pPr>
                    <w:pStyle w:val="13"/>
                    <w:tabs>
                      <w:tab w:val="left" w:pos="2830"/>
                    </w:tabs>
                    <w:jc w:val="center"/>
                    <w:rPr>
                      <w:rFonts w:ascii="Times New Roman" w:hAnsi="Times New Roman"/>
                      <w:color w:val="auto"/>
                      <w:sz w:val="21"/>
                      <w:szCs w:val="21"/>
                      <w:lang w:val="zh-CN"/>
                    </w:rPr>
                  </w:pPr>
                  <w:r>
                    <w:rPr>
                      <w:rFonts w:ascii="Times New Roman" w:hAnsi="Times New Roman"/>
                      <w:color w:val="auto"/>
                      <w:sz w:val="21"/>
                      <w:szCs w:val="21"/>
                      <w:lang w:val="zh-CN"/>
                    </w:rPr>
                    <w:t>排气筒编号</w:t>
                  </w:r>
                </w:p>
              </w:tc>
              <w:tc>
                <w:tcPr>
                  <w:tcW w:w="511" w:type="pct"/>
                  <w:vMerge w:val="restart"/>
                  <w:tcBorders>
                    <w:top w:val="single" w:color="auto" w:sz="12" w:space="0"/>
                    <w:bottom w:val="single" w:color="auto" w:sz="12" w:space="0"/>
                  </w:tcBorders>
                  <w:vAlign w:val="center"/>
                </w:tcPr>
                <w:p>
                  <w:pPr>
                    <w:pStyle w:val="13"/>
                    <w:tabs>
                      <w:tab w:val="left" w:pos="2830"/>
                    </w:tabs>
                    <w:jc w:val="center"/>
                    <w:rPr>
                      <w:rFonts w:ascii="Times New Roman" w:hAnsi="Times New Roman"/>
                      <w:color w:val="auto"/>
                      <w:sz w:val="21"/>
                      <w:szCs w:val="21"/>
                      <w:lang w:val="zh-CN"/>
                    </w:rPr>
                  </w:pPr>
                  <w:r>
                    <w:rPr>
                      <w:rFonts w:ascii="Times New Roman" w:hAnsi="Times New Roman"/>
                      <w:color w:val="auto"/>
                      <w:sz w:val="21"/>
                      <w:szCs w:val="21"/>
                      <w:lang w:val="zh-CN"/>
                    </w:rPr>
                    <w:t>监测时间</w:t>
                  </w:r>
                </w:p>
              </w:tc>
              <w:tc>
                <w:tcPr>
                  <w:tcW w:w="395" w:type="pct"/>
                  <w:vMerge w:val="restart"/>
                  <w:tcBorders>
                    <w:top w:val="single" w:color="auto" w:sz="12" w:space="0"/>
                    <w:bottom w:val="single" w:color="auto" w:sz="12" w:space="0"/>
                  </w:tcBorders>
                  <w:vAlign w:val="center"/>
                </w:tcPr>
                <w:p>
                  <w:pPr>
                    <w:pStyle w:val="13"/>
                    <w:tabs>
                      <w:tab w:val="left" w:pos="2830"/>
                    </w:tabs>
                    <w:jc w:val="center"/>
                    <w:rPr>
                      <w:rFonts w:ascii="Times New Roman" w:hAnsi="Times New Roman"/>
                      <w:color w:val="auto"/>
                      <w:sz w:val="21"/>
                      <w:szCs w:val="21"/>
                      <w:lang w:val="zh-CN"/>
                    </w:rPr>
                  </w:pPr>
                  <w:r>
                    <w:rPr>
                      <w:rFonts w:ascii="Times New Roman" w:hAnsi="Times New Roman"/>
                      <w:color w:val="auto"/>
                      <w:sz w:val="21"/>
                      <w:szCs w:val="21"/>
                      <w:lang w:val="zh-CN"/>
                    </w:rPr>
                    <w:t>污染物名称</w:t>
                  </w:r>
                </w:p>
              </w:tc>
              <w:tc>
                <w:tcPr>
                  <w:tcW w:w="1694" w:type="pct"/>
                  <w:gridSpan w:val="3"/>
                  <w:tcBorders>
                    <w:top w:val="single" w:color="auto" w:sz="12" w:space="0"/>
                    <w:bottom w:val="single" w:color="auto" w:sz="12" w:space="0"/>
                  </w:tcBorders>
                  <w:vAlign w:val="center"/>
                </w:tcPr>
                <w:p>
                  <w:pPr>
                    <w:pStyle w:val="13"/>
                    <w:tabs>
                      <w:tab w:val="left" w:pos="2830"/>
                    </w:tabs>
                    <w:jc w:val="center"/>
                    <w:rPr>
                      <w:rFonts w:ascii="Times New Roman" w:hAnsi="Times New Roman"/>
                      <w:color w:val="auto"/>
                      <w:sz w:val="21"/>
                      <w:szCs w:val="21"/>
                      <w:lang w:val="zh-CN"/>
                    </w:rPr>
                  </w:pPr>
                  <w:r>
                    <w:rPr>
                      <w:rFonts w:ascii="Times New Roman" w:hAnsi="Times New Roman"/>
                      <w:color w:val="auto"/>
                      <w:sz w:val="21"/>
                      <w:szCs w:val="21"/>
                      <w:lang w:val="zh-CN"/>
                    </w:rPr>
                    <w:t>处理前</w:t>
                  </w:r>
                </w:p>
              </w:tc>
              <w:tc>
                <w:tcPr>
                  <w:tcW w:w="1722" w:type="pct"/>
                  <w:gridSpan w:val="3"/>
                  <w:tcBorders>
                    <w:top w:val="single" w:color="auto" w:sz="12" w:space="0"/>
                    <w:bottom w:val="single" w:color="auto" w:sz="12" w:space="0"/>
                  </w:tcBorders>
                  <w:vAlign w:val="center"/>
                </w:tcPr>
                <w:p>
                  <w:pPr>
                    <w:pStyle w:val="13"/>
                    <w:tabs>
                      <w:tab w:val="left" w:pos="2830"/>
                    </w:tabs>
                    <w:jc w:val="center"/>
                    <w:rPr>
                      <w:rFonts w:ascii="Times New Roman" w:hAnsi="Times New Roman"/>
                      <w:color w:val="auto"/>
                      <w:sz w:val="21"/>
                      <w:szCs w:val="21"/>
                      <w:lang w:val="zh-CN"/>
                    </w:rPr>
                  </w:pPr>
                  <w:r>
                    <w:rPr>
                      <w:rFonts w:ascii="Times New Roman" w:hAnsi="Times New Roman"/>
                      <w:color w:val="auto"/>
                      <w:sz w:val="21"/>
                      <w:szCs w:val="21"/>
                      <w:lang w:val="zh-CN"/>
                    </w:rPr>
                    <w:t>处理后</w:t>
                  </w:r>
                </w:p>
              </w:tc>
              <w:tc>
                <w:tcPr>
                  <w:tcW w:w="382" w:type="pct"/>
                  <w:vMerge w:val="restart"/>
                  <w:tcBorders>
                    <w:top w:val="single" w:color="auto" w:sz="12" w:space="0"/>
                  </w:tcBorders>
                  <w:vAlign w:val="center"/>
                </w:tcPr>
                <w:p>
                  <w:pPr>
                    <w:pStyle w:val="13"/>
                    <w:tabs>
                      <w:tab w:val="left" w:pos="2830"/>
                    </w:tabs>
                    <w:jc w:val="center"/>
                    <w:rPr>
                      <w:rFonts w:ascii="Times New Roman" w:hAnsi="Times New Roman"/>
                      <w:color w:val="auto"/>
                      <w:sz w:val="21"/>
                      <w:szCs w:val="21"/>
                      <w:lang w:val="zh-CN"/>
                    </w:rPr>
                  </w:pPr>
                  <w:r>
                    <w:rPr>
                      <w:rFonts w:ascii="Times New Roman" w:hAnsi="Times New Roman"/>
                      <w:color w:val="auto"/>
                      <w:sz w:val="21"/>
                      <w:szCs w:val="21"/>
                      <w:lang w:val="zh-CN"/>
                    </w:rPr>
                    <w:t>净化效果%</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598" w:hRule="atLeast"/>
                <w:jc w:val="center"/>
              </w:trPr>
              <w:tc>
                <w:tcPr>
                  <w:tcW w:w="293" w:type="pct"/>
                  <w:vMerge w:val="continue"/>
                  <w:tcBorders>
                    <w:top w:val="single" w:color="auto" w:sz="12" w:space="0"/>
                    <w:bottom w:val="single" w:color="auto" w:sz="12" w:space="0"/>
                  </w:tcBorders>
                  <w:vAlign w:val="center"/>
                </w:tcPr>
                <w:p>
                  <w:pPr>
                    <w:pStyle w:val="13"/>
                    <w:tabs>
                      <w:tab w:val="left" w:pos="2830"/>
                    </w:tabs>
                    <w:jc w:val="center"/>
                    <w:rPr>
                      <w:rFonts w:ascii="Times New Roman" w:hAnsi="Times New Roman"/>
                      <w:color w:val="auto"/>
                      <w:sz w:val="21"/>
                      <w:szCs w:val="21"/>
                      <w:lang w:val="zh-CN"/>
                    </w:rPr>
                  </w:pPr>
                </w:p>
              </w:tc>
              <w:tc>
                <w:tcPr>
                  <w:tcW w:w="511" w:type="pct"/>
                  <w:vMerge w:val="continue"/>
                  <w:tcBorders>
                    <w:top w:val="single" w:color="auto" w:sz="12" w:space="0"/>
                    <w:bottom w:val="single" w:color="auto" w:sz="12" w:space="0"/>
                  </w:tcBorders>
                  <w:vAlign w:val="center"/>
                </w:tcPr>
                <w:p>
                  <w:pPr>
                    <w:pStyle w:val="13"/>
                    <w:tabs>
                      <w:tab w:val="left" w:pos="2830"/>
                    </w:tabs>
                    <w:jc w:val="center"/>
                    <w:rPr>
                      <w:rFonts w:ascii="Times New Roman" w:hAnsi="Times New Roman"/>
                      <w:color w:val="auto"/>
                      <w:sz w:val="21"/>
                      <w:szCs w:val="21"/>
                      <w:lang w:val="zh-CN"/>
                    </w:rPr>
                  </w:pPr>
                </w:p>
              </w:tc>
              <w:tc>
                <w:tcPr>
                  <w:tcW w:w="395" w:type="pct"/>
                  <w:vMerge w:val="continue"/>
                  <w:tcBorders>
                    <w:top w:val="single" w:color="auto" w:sz="12" w:space="0"/>
                    <w:bottom w:val="single" w:color="auto" w:sz="12" w:space="0"/>
                  </w:tcBorders>
                  <w:vAlign w:val="center"/>
                </w:tcPr>
                <w:p>
                  <w:pPr>
                    <w:pStyle w:val="13"/>
                    <w:tabs>
                      <w:tab w:val="left" w:pos="2830"/>
                    </w:tabs>
                    <w:jc w:val="center"/>
                    <w:rPr>
                      <w:rFonts w:ascii="Times New Roman" w:hAnsi="Times New Roman"/>
                      <w:color w:val="auto"/>
                      <w:sz w:val="21"/>
                      <w:szCs w:val="21"/>
                      <w:lang w:val="zh-CN"/>
                    </w:rPr>
                  </w:pPr>
                </w:p>
              </w:tc>
              <w:tc>
                <w:tcPr>
                  <w:tcW w:w="595" w:type="pct"/>
                  <w:tcBorders>
                    <w:top w:val="single" w:color="auto" w:sz="12" w:space="0"/>
                    <w:bottom w:val="single" w:color="auto" w:sz="12" w:space="0"/>
                  </w:tcBorders>
                  <w:vAlign w:val="center"/>
                </w:tcPr>
                <w:p>
                  <w:pPr>
                    <w:pStyle w:val="13"/>
                    <w:tabs>
                      <w:tab w:val="left" w:pos="2830"/>
                    </w:tabs>
                    <w:jc w:val="center"/>
                    <w:rPr>
                      <w:rFonts w:ascii="Times New Roman" w:hAnsi="Times New Roman"/>
                      <w:color w:val="auto"/>
                      <w:sz w:val="21"/>
                      <w:szCs w:val="21"/>
                      <w:lang w:val="zh-CN"/>
                    </w:rPr>
                  </w:pPr>
                  <w:r>
                    <w:rPr>
                      <w:rFonts w:ascii="Times New Roman" w:hAnsi="Times New Roman"/>
                      <w:color w:val="auto"/>
                      <w:sz w:val="21"/>
                      <w:szCs w:val="21"/>
                      <w:lang w:val="zh-CN"/>
                    </w:rPr>
                    <w:t>烟气量（Nm</w:t>
                  </w:r>
                  <w:r>
                    <w:rPr>
                      <w:rFonts w:ascii="Times New Roman" w:hAnsi="Times New Roman"/>
                      <w:color w:val="auto"/>
                      <w:sz w:val="21"/>
                      <w:szCs w:val="21"/>
                      <w:vertAlign w:val="superscript"/>
                      <w:lang w:val="zh-CN"/>
                    </w:rPr>
                    <w:t>3</w:t>
                  </w:r>
                  <w:r>
                    <w:rPr>
                      <w:rFonts w:ascii="Times New Roman" w:hAnsi="Times New Roman"/>
                      <w:color w:val="auto"/>
                      <w:sz w:val="21"/>
                      <w:szCs w:val="21"/>
                      <w:lang w:val="zh-CN"/>
                    </w:rPr>
                    <w:t>/h）</w:t>
                  </w:r>
                </w:p>
              </w:tc>
              <w:tc>
                <w:tcPr>
                  <w:tcW w:w="597" w:type="pct"/>
                  <w:tcBorders>
                    <w:top w:val="single" w:color="auto" w:sz="12" w:space="0"/>
                    <w:bottom w:val="single" w:color="auto" w:sz="12" w:space="0"/>
                  </w:tcBorders>
                  <w:vAlign w:val="center"/>
                </w:tcPr>
                <w:p>
                  <w:pPr>
                    <w:pStyle w:val="13"/>
                    <w:tabs>
                      <w:tab w:val="left" w:pos="2830"/>
                    </w:tabs>
                    <w:jc w:val="center"/>
                    <w:rPr>
                      <w:rFonts w:ascii="Times New Roman" w:hAnsi="Times New Roman"/>
                      <w:color w:val="auto"/>
                      <w:sz w:val="21"/>
                      <w:szCs w:val="21"/>
                      <w:lang w:val="zh-CN"/>
                    </w:rPr>
                  </w:pPr>
                  <w:r>
                    <w:rPr>
                      <w:rFonts w:ascii="Times New Roman" w:hAnsi="Times New Roman"/>
                      <w:color w:val="auto"/>
                      <w:sz w:val="21"/>
                      <w:szCs w:val="21"/>
                      <w:lang w:val="zh-CN"/>
                    </w:rPr>
                    <w:t>平均浓度（mg/m</w:t>
                  </w:r>
                  <w:r>
                    <w:rPr>
                      <w:rFonts w:ascii="Times New Roman" w:hAnsi="Times New Roman"/>
                      <w:color w:val="auto"/>
                      <w:sz w:val="21"/>
                      <w:szCs w:val="21"/>
                      <w:vertAlign w:val="superscript"/>
                      <w:lang w:val="zh-CN"/>
                    </w:rPr>
                    <w:t>3</w:t>
                  </w:r>
                  <w:r>
                    <w:rPr>
                      <w:rFonts w:ascii="Times New Roman" w:hAnsi="Times New Roman"/>
                      <w:color w:val="auto"/>
                      <w:sz w:val="21"/>
                      <w:szCs w:val="21"/>
                      <w:lang w:val="zh-CN"/>
                    </w:rPr>
                    <w:t>）</w:t>
                  </w:r>
                </w:p>
              </w:tc>
              <w:tc>
                <w:tcPr>
                  <w:tcW w:w="502" w:type="pct"/>
                  <w:tcBorders>
                    <w:top w:val="single" w:color="auto" w:sz="12" w:space="0"/>
                    <w:bottom w:val="single" w:color="auto" w:sz="12" w:space="0"/>
                  </w:tcBorders>
                  <w:vAlign w:val="center"/>
                </w:tcPr>
                <w:p>
                  <w:pPr>
                    <w:pStyle w:val="13"/>
                    <w:tabs>
                      <w:tab w:val="left" w:pos="2830"/>
                    </w:tabs>
                    <w:jc w:val="center"/>
                    <w:rPr>
                      <w:rFonts w:ascii="Times New Roman" w:hAnsi="Times New Roman"/>
                      <w:color w:val="auto"/>
                      <w:sz w:val="21"/>
                      <w:szCs w:val="21"/>
                      <w:lang w:val="zh-CN"/>
                    </w:rPr>
                  </w:pPr>
                  <w:r>
                    <w:rPr>
                      <w:rFonts w:ascii="Times New Roman" w:hAnsi="Times New Roman"/>
                      <w:color w:val="auto"/>
                      <w:sz w:val="21"/>
                      <w:szCs w:val="21"/>
                      <w:lang w:val="zh-CN"/>
                    </w:rPr>
                    <w:t>平均速率（kg/h）</w:t>
                  </w:r>
                </w:p>
              </w:tc>
              <w:tc>
                <w:tcPr>
                  <w:tcW w:w="600" w:type="pct"/>
                  <w:tcBorders>
                    <w:top w:val="single" w:color="auto" w:sz="12" w:space="0"/>
                    <w:bottom w:val="single" w:color="auto" w:sz="12" w:space="0"/>
                  </w:tcBorders>
                  <w:vAlign w:val="center"/>
                </w:tcPr>
                <w:p>
                  <w:pPr>
                    <w:pStyle w:val="13"/>
                    <w:tabs>
                      <w:tab w:val="left" w:pos="2830"/>
                    </w:tabs>
                    <w:jc w:val="center"/>
                    <w:rPr>
                      <w:rFonts w:ascii="Times New Roman" w:hAnsi="Times New Roman"/>
                      <w:color w:val="auto"/>
                      <w:sz w:val="21"/>
                      <w:szCs w:val="21"/>
                      <w:lang w:val="zh-CN"/>
                    </w:rPr>
                  </w:pPr>
                  <w:r>
                    <w:rPr>
                      <w:rFonts w:ascii="Times New Roman" w:hAnsi="Times New Roman"/>
                      <w:color w:val="auto"/>
                      <w:sz w:val="21"/>
                      <w:szCs w:val="21"/>
                      <w:lang w:val="zh-CN"/>
                    </w:rPr>
                    <w:t>烟气量（Nm</w:t>
                  </w:r>
                  <w:r>
                    <w:rPr>
                      <w:rFonts w:ascii="Times New Roman" w:hAnsi="Times New Roman"/>
                      <w:color w:val="auto"/>
                      <w:sz w:val="21"/>
                      <w:szCs w:val="21"/>
                      <w:vertAlign w:val="superscript"/>
                      <w:lang w:val="zh-CN"/>
                    </w:rPr>
                    <w:t>3</w:t>
                  </w:r>
                  <w:r>
                    <w:rPr>
                      <w:rFonts w:ascii="Times New Roman" w:hAnsi="Times New Roman"/>
                      <w:color w:val="auto"/>
                      <w:sz w:val="21"/>
                      <w:szCs w:val="21"/>
                      <w:lang w:val="zh-CN"/>
                    </w:rPr>
                    <w:t>/h）</w:t>
                  </w:r>
                </w:p>
              </w:tc>
              <w:tc>
                <w:tcPr>
                  <w:tcW w:w="606" w:type="pct"/>
                  <w:tcBorders>
                    <w:top w:val="single" w:color="auto" w:sz="12" w:space="0"/>
                    <w:bottom w:val="single" w:color="auto" w:sz="12" w:space="0"/>
                  </w:tcBorders>
                  <w:vAlign w:val="center"/>
                </w:tcPr>
                <w:p>
                  <w:pPr>
                    <w:pStyle w:val="13"/>
                    <w:tabs>
                      <w:tab w:val="left" w:pos="2830"/>
                    </w:tabs>
                    <w:jc w:val="center"/>
                    <w:rPr>
                      <w:rFonts w:ascii="Times New Roman" w:hAnsi="Times New Roman"/>
                      <w:color w:val="auto"/>
                      <w:sz w:val="21"/>
                      <w:szCs w:val="21"/>
                      <w:lang w:val="zh-CN"/>
                    </w:rPr>
                  </w:pPr>
                  <w:r>
                    <w:rPr>
                      <w:rFonts w:ascii="Times New Roman" w:hAnsi="Times New Roman"/>
                      <w:color w:val="auto"/>
                      <w:sz w:val="21"/>
                      <w:szCs w:val="21"/>
                      <w:lang w:val="zh-CN"/>
                    </w:rPr>
                    <w:t>平均浓度（mg/m</w:t>
                  </w:r>
                  <w:r>
                    <w:rPr>
                      <w:rFonts w:ascii="Times New Roman" w:hAnsi="Times New Roman"/>
                      <w:color w:val="auto"/>
                      <w:sz w:val="21"/>
                      <w:szCs w:val="21"/>
                      <w:vertAlign w:val="superscript"/>
                      <w:lang w:val="zh-CN"/>
                    </w:rPr>
                    <w:t>3</w:t>
                  </w:r>
                  <w:r>
                    <w:rPr>
                      <w:rFonts w:ascii="Times New Roman" w:hAnsi="Times New Roman"/>
                      <w:color w:val="auto"/>
                      <w:sz w:val="21"/>
                      <w:szCs w:val="21"/>
                      <w:lang w:val="zh-CN"/>
                    </w:rPr>
                    <w:t>）</w:t>
                  </w:r>
                </w:p>
              </w:tc>
              <w:tc>
                <w:tcPr>
                  <w:tcW w:w="516" w:type="pct"/>
                  <w:tcBorders>
                    <w:top w:val="single" w:color="auto" w:sz="12" w:space="0"/>
                    <w:bottom w:val="single" w:color="auto" w:sz="12" w:space="0"/>
                  </w:tcBorders>
                  <w:vAlign w:val="center"/>
                </w:tcPr>
                <w:p>
                  <w:pPr>
                    <w:pStyle w:val="13"/>
                    <w:tabs>
                      <w:tab w:val="left" w:pos="2830"/>
                    </w:tabs>
                    <w:jc w:val="center"/>
                    <w:rPr>
                      <w:rFonts w:ascii="Times New Roman" w:hAnsi="Times New Roman"/>
                      <w:color w:val="auto"/>
                      <w:sz w:val="21"/>
                      <w:szCs w:val="21"/>
                      <w:lang w:val="zh-CN"/>
                    </w:rPr>
                  </w:pPr>
                  <w:r>
                    <w:rPr>
                      <w:rFonts w:ascii="Times New Roman" w:hAnsi="Times New Roman"/>
                      <w:color w:val="auto"/>
                      <w:sz w:val="21"/>
                      <w:szCs w:val="21"/>
                      <w:lang w:val="zh-CN"/>
                    </w:rPr>
                    <w:t>平均速率（kg/h）</w:t>
                  </w:r>
                </w:p>
              </w:tc>
              <w:tc>
                <w:tcPr>
                  <w:tcW w:w="382" w:type="pct"/>
                  <w:vMerge w:val="continue"/>
                  <w:tcBorders>
                    <w:bottom w:val="single" w:color="auto" w:sz="12" w:space="0"/>
                  </w:tcBorders>
                  <w:vAlign w:val="center"/>
                </w:tcPr>
                <w:p>
                  <w:pPr>
                    <w:pStyle w:val="13"/>
                    <w:tabs>
                      <w:tab w:val="left" w:pos="2830"/>
                    </w:tabs>
                    <w:jc w:val="center"/>
                    <w:rPr>
                      <w:rFonts w:ascii="Times New Roman" w:hAnsi="Times New Roman"/>
                      <w:color w:val="auto"/>
                      <w:sz w:val="21"/>
                      <w:szCs w:val="21"/>
                      <w:lang w:val="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293" w:type="pct"/>
                  <w:vMerge w:val="restar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FQ-2</w:t>
                  </w:r>
                </w:p>
              </w:tc>
              <w:tc>
                <w:tcPr>
                  <w:tcW w:w="511"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2019.6.15</w:t>
                  </w:r>
                </w:p>
              </w:tc>
              <w:tc>
                <w:tcPr>
                  <w:tcW w:w="395"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NMHC</w:t>
                  </w:r>
                </w:p>
              </w:tc>
              <w:tc>
                <w:tcPr>
                  <w:tcW w:w="595"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4986</w:t>
                  </w:r>
                </w:p>
              </w:tc>
              <w:tc>
                <w:tcPr>
                  <w:tcW w:w="597"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12.11</w:t>
                  </w:r>
                </w:p>
              </w:tc>
              <w:tc>
                <w:tcPr>
                  <w:tcW w:w="502"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0.0604</w:t>
                  </w:r>
                </w:p>
              </w:tc>
              <w:tc>
                <w:tcPr>
                  <w:tcW w:w="600"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4840</w:t>
                  </w:r>
                </w:p>
              </w:tc>
              <w:tc>
                <w:tcPr>
                  <w:tcW w:w="606"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1.05</w:t>
                  </w:r>
                </w:p>
              </w:tc>
              <w:tc>
                <w:tcPr>
                  <w:tcW w:w="516"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0.0051</w:t>
                  </w:r>
                </w:p>
              </w:tc>
              <w:tc>
                <w:tcPr>
                  <w:tcW w:w="382"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91.6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293" w:type="pct"/>
                  <w:vMerge w:val="continue"/>
                  <w:vAlign w:val="center"/>
                </w:tcPr>
                <w:p>
                  <w:pPr>
                    <w:pStyle w:val="13"/>
                    <w:tabs>
                      <w:tab w:val="left" w:pos="2830"/>
                    </w:tabs>
                    <w:jc w:val="center"/>
                    <w:rPr>
                      <w:rFonts w:ascii="Times New Roman" w:hAnsi="Times New Roman"/>
                      <w:color w:val="auto"/>
                      <w:sz w:val="21"/>
                      <w:szCs w:val="21"/>
                    </w:rPr>
                  </w:pPr>
                </w:p>
              </w:tc>
              <w:tc>
                <w:tcPr>
                  <w:tcW w:w="511"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2019.6.16</w:t>
                  </w:r>
                </w:p>
              </w:tc>
              <w:tc>
                <w:tcPr>
                  <w:tcW w:w="395"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NMHC</w:t>
                  </w:r>
                </w:p>
              </w:tc>
              <w:tc>
                <w:tcPr>
                  <w:tcW w:w="595"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5123</w:t>
                  </w:r>
                </w:p>
              </w:tc>
              <w:tc>
                <w:tcPr>
                  <w:tcW w:w="597"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17.47</w:t>
                  </w:r>
                </w:p>
              </w:tc>
              <w:tc>
                <w:tcPr>
                  <w:tcW w:w="502"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0.0895</w:t>
                  </w:r>
                </w:p>
              </w:tc>
              <w:tc>
                <w:tcPr>
                  <w:tcW w:w="600"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5003</w:t>
                  </w:r>
                </w:p>
              </w:tc>
              <w:tc>
                <w:tcPr>
                  <w:tcW w:w="606"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1.07</w:t>
                  </w:r>
                </w:p>
              </w:tc>
              <w:tc>
                <w:tcPr>
                  <w:tcW w:w="516"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0.0054</w:t>
                  </w:r>
                </w:p>
              </w:tc>
              <w:tc>
                <w:tcPr>
                  <w:tcW w:w="382"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93.9</w:t>
                  </w:r>
                </w:p>
              </w:tc>
            </w:tr>
          </w:tbl>
          <w:p>
            <w:pPr>
              <w:adjustRightInd w:val="0"/>
              <w:snapToGrid w:val="0"/>
              <w:spacing w:line="360" w:lineRule="auto"/>
              <w:ind w:firstLine="480" w:firstLineChars="200"/>
              <w:rPr>
                <w:color w:val="auto"/>
                <w:sz w:val="24"/>
              </w:rPr>
            </w:pPr>
            <w:r>
              <w:rPr>
                <w:color w:val="auto"/>
                <w:sz w:val="24"/>
              </w:rPr>
              <w:t>有机废气处置工艺选用合理性分析：根据《挥发性有机物治理实用手册》（生态环境部大气环境司著），重点行业其他工业涂装末端治理技术中漆雾宜采用干式漆雾捕集过滤系统；喷涂、晾干废气宜采用吸附浓缩+燃烧或其他等效方式处置，小风量低浓度或不适宜浓缩脱附的废气可采用一次性活性炭吸附等工艺，且调配、流平废气可与喷涂、晾干废气一并处理。本项目喷漆、晾干废气</w:t>
            </w:r>
            <w:r>
              <w:rPr>
                <w:rFonts w:hint="eastAsia"/>
                <w:color w:val="auto"/>
                <w:sz w:val="24"/>
                <w:lang w:eastAsia="zh-CN"/>
              </w:rPr>
              <w:t>、危废库废气</w:t>
            </w:r>
            <w:r>
              <w:rPr>
                <w:color w:val="auto"/>
                <w:sz w:val="24"/>
              </w:rPr>
              <w:t>一起经干式过滤器+二级活性炭处置。本项目使用有机废气处置工艺符合《挥发性有机物治理实用手册》（生态环境部大气环境司著）相关要求，且可满足排放标准要求。</w:t>
            </w:r>
          </w:p>
          <w:p>
            <w:pPr>
              <w:adjustRightInd w:val="0"/>
              <w:snapToGrid w:val="0"/>
              <w:spacing w:line="360" w:lineRule="auto"/>
              <w:ind w:firstLine="480" w:firstLineChars="200"/>
              <w:rPr>
                <w:color w:val="auto"/>
                <w:sz w:val="24"/>
              </w:rPr>
            </w:pPr>
            <w:r>
              <w:rPr>
                <w:color w:val="auto"/>
                <w:sz w:val="24"/>
              </w:rPr>
              <w:t>活性炭是一种主要由含碳材料制成的外观呈黑色、内部空隙结构发达、比表面积大、吸附能力强的一类微晶制碳素材料。活性炭材料中有大量肉眼看不见的微孔，每克活性炭材料中的微孔将其展开后表面积可高达800-1500平方米。活性炭吸附处理有机废气，方法成熟。主要利用活性炭高孔隙率、高比表面积的性能，藉由物理性吸附(可逆反应)或化学性键结(不可逆反应)作用，将非甲烷总烃自废气中分离，以达成净化废气的目的。喷漆废气含有颗粒物，为降低进入活性炭前颗粒物的浓度，本项目采用干式过滤棉对颗粒物进行预处理。本项目使用的活性炭有机废气吸附装置符合《吸附法工业有机废气治理工程技术规范》设计要求。设计参数见表4.1-</w:t>
            </w:r>
            <w:r>
              <w:rPr>
                <w:rFonts w:hint="eastAsia"/>
                <w:color w:val="auto"/>
                <w:sz w:val="24"/>
                <w:lang w:val="en-US" w:eastAsia="zh-CN"/>
              </w:rPr>
              <w:t>11</w:t>
            </w:r>
            <w:r>
              <w:rPr>
                <w:color w:val="auto"/>
                <w:sz w:val="24"/>
              </w:rPr>
              <w:t>。</w:t>
            </w:r>
          </w:p>
          <w:p>
            <w:pPr>
              <w:wordWrap w:val="0"/>
              <w:spacing w:line="360" w:lineRule="auto"/>
              <w:jc w:val="center"/>
              <w:rPr>
                <w:color w:val="auto"/>
                <w:szCs w:val="21"/>
              </w:rPr>
            </w:pPr>
            <w:r>
              <w:rPr>
                <w:b/>
                <w:color w:val="auto"/>
                <w:szCs w:val="21"/>
              </w:rPr>
              <w:t>表4.2-1</w:t>
            </w:r>
            <w:r>
              <w:rPr>
                <w:rFonts w:hint="eastAsia"/>
                <w:b/>
                <w:color w:val="auto"/>
                <w:szCs w:val="21"/>
              </w:rPr>
              <w:t>1</w:t>
            </w:r>
            <w:r>
              <w:rPr>
                <w:b/>
                <w:color w:val="auto"/>
                <w:szCs w:val="21"/>
              </w:rPr>
              <w:t xml:space="preserve"> 活性炭吸附装置技术参数一览表</w:t>
            </w:r>
          </w:p>
          <w:tbl>
            <w:tblPr>
              <w:tblStyle w:val="20"/>
              <w:tblW w:w="8639"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520"/>
              <w:gridCol w:w="2725"/>
              <w:gridCol w:w="1559"/>
              <w:gridCol w:w="1417"/>
              <w:gridCol w:w="1209"/>
              <w:gridCol w:w="120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520" w:type="dxa"/>
                  <w:vMerge w:val="restart"/>
                  <w:tcBorders>
                    <w:top w:val="single" w:color="auto" w:sz="12" w:space="0"/>
                    <w:left w:val="nil"/>
                    <w:right w:val="single" w:color="auto" w:sz="4" w:space="0"/>
                  </w:tcBorders>
                  <w:vAlign w:val="center"/>
                </w:tcPr>
                <w:p>
                  <w:pPr>
                    <w:pStyle w:val="4"/>
                    <w:wordWrap w:val="0"/>
                    <w:ind w:firstLine="0"/>
                    <w:jc w:val="center"/>
                    <w:rPr>
                      <w:b/>
                      <w:color w:val="auto"/>
                      <w:sz w:val="21"/>
                      <w:szCs w:val="21"/>
                    </w:rPr>
                  </w:pPr>
                  <w:r>
                    <w:rPr>
                      <w:b/>
                      <w:color w:val="auto"/>
                      <w:sz w:val="21"/>
                      <w:szCs w:val="21"/>
                    </w:rPr>
                    <w:t>序号</w:t>
                  </w:r>
                </w:p>
              </w:tc>
              <w:tc>
                <w:tcPr>
                  <w:tcW w:w="2725" w:type="dxa"/>
                  <w:vMerge w:val="restart"/>
                  <w:tcBorders>
                    <w:top w:val="single" w:color="auto" w:sz="12" w:space="0"/>
                    <w:left w:val="single" w:color="auto" w:sz="4" w:space="0"/>
                    <w:right w:val="single" w:color="auto" w:sz="4" w:space="0"/>
                  </w:tcBorders>
                  <w:vAlign w:val="center"/>
                </w:tcPr>
                <w:p>
                  <w:pPr>
                    <w:pStyle w:val="4"/>
                    <w:wordWrap w:val="0"/>
                    <w:ind w:firstLine="0"/>
                    <w:jc w:val="center"/>
                    <w:rPr>
                      <w:b/>
                      <w:color w:val="auto"/>
                      <w:sz w:val="21"/>
                      <w:szCs w:val="21"/>
                    </w:rPr>
                  </w:pPr>
                  <w:r>
                    <w:rPr>
                      <w:b/>
                      <w:color w:val="auto"/>
                      <w:sz w:val="21"/>
                      <w:szCs w:val="21"/>
                    </w:rPr>
                    <w:t>项目</w:t>
                  </w:r>
                </w:p>
              </w:tc>
              <w:tc>
                <w:tcPr>
                  <w:tcW w:w="5394" w:type="dxa"/>
                  <w:gridSpan w:val="4"/>
                  <w:tcBorders>
                    <w:top w:val="single" w:color="auto" w:sz="12" w:space="0"/>
                    <w:left w:val="single" w:color="auto" w:sz="4" w:space="0"/>
                    <w:bottom w:val="single" w:color="auto" w:sz="4" w:space="0"/>
                    <w:right w:val="nil"/>
                  </w:tcBorders>
                  <w:vAlign w:val="center"/>
                </w:tcPr>
                <w:p>
                  <w:pPr>
                    <w:pStyle w:val="4"/>
                    <w:wordWrap w:val="0"/>
                    <w:ind w:firstLine="0"/>
                    <w:jc w:val="center"/>
                    <w:rPr>
                      <w:b/>
                      <w:color w:val="auto"/>
                      <w:sz w:val="21"/>
                      <w:szCs w:val="21"/>
                    </w:rPr>
                  </w:pPr>
                  <w:r>
                    <w:rPr>
                      <w:b/>
                      <w:color w:val="auto"/>
                      <w:sz w:val="21"/>
                      <w:szCs w:val="21"/>
                    </w:rPr>
                    <w:t>技术指标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520" w:type="dxa"/>
                  <w:vMerge w:val="continue"/>
                  <w:tcBorders>
                    <w:left w:val="nil"/>
                    <w:bottom w:val="single" w:color="auto" w:sz="4" w:space="0"/>
                    <w:right w:val="single" w:color="auto" w:sz="4" w:space="0"/>
                  </w:tcBorders>
                  <w:vAlign w:val="center"/>
                </w:tcPr>
                <w:p>
                  <w:pPr>
                    <w:pStyle w:val="4"/>
                    <w:wordWrap w:val="0"/>
                    <w:ind w:firstLine="0"/>
                    <w:jc w:val="center"/>
                    <w:rPr>
                      <w:b/>
                      <w:color w:val="auto"/>
                      <w:sz w:val="21"/>
                      <w:szCs w:val="21"/>
                    </w:rPr>
                  </w:pPr>
                </w:p>
              </w:tc>
              <w:tc>
                <w:tcPr>
                  <w:tcW w:w="2725" w:type="dxa"/>
                  <w:vMerge w:val="continue"/>
                  <w:tcBorders>
                    <w:left w:val="single" w:color="auto" w:sz="4" w:space="0"/>
                    <w:bottom w:val="single" w:color="auto" w:sz="4" w:space="0"/>
                    <w:right w:val="single" w:color="auto" w:sz="4" w:space="0"/>
                  </w:tcBorders>
                  <w:vAlign w:val="center"/>
                </w:tcPr>
                <w:p>
                  <w:pPr>
                    <w:pStyle w:val="4"/>
                    <w:wordWrap w:val="0"/>
                    <w:ind w:firstLine="0"/>
                    <w:jc w:val="center"/>
                    <w:rPr>
                      <w:b/>
                      <w:color w:val="auto"/>
                      <w:sz w:val="21"/>
                      <w:szCs w:val="21"/>
                    </w:rPr>
                  </w:pPr>
                </w:p>
              </w:tc>
              <w:tc>
                <w:tcPr>
                  <w:tcW w:w="1559" w:type="dxa"/>
                  <w:tcBorders>
                    <w:top w:val="single" w:color="auto" w:sz="12" w:space="0"/>
                    <w:left w:val="single" w:color="auto" w:sz="4" w:space="0"/>
                    <w:bottom w:val="single" w:color="auto" w:sz="4" w:space="0"/>
                    <w:right w:val="nil"/>
                  </w:tcBorders>
                  <w:vAlign w:val="center"/>
                </w:tcPr>
                <w:p>
                  <w:pPr>
                    <w:pStyle w:val="4"/>
                    <w:wordWrap w:val="0"/>
                    <w:ind w:firstLine="0"/>
                    <w:jc w:val="center"/>
                    <w:rPr>
                      <w:color w:val="auto"/>
                      <w:sz w:val="21"/>
                      <w:szCs w:val="21"/>
                    </w:rPr>
                  </w:pPr>
                  <w:r>
                    <w:rPr>
                      <w:rFonts w:hint="eastAsia"/>
                      <w:b/>
                      <w:color w:val="auto"/>
                      <w:sz w:val="21"/>
                      <w:szCs w:val="21"/>
                    </w:rPr>
                    <w:t>调漆废气</w:t>
                  </w:r>
                </w:p>
              </w:tc>
              <w:tc>
                <w:tcPr>
                  <w:tcW w:w="1417" w:type="dxa"/>
                  <w:tcBorders>
                    <w:top w:val="single" w:color="auto" w:sz="12" w:space="0"/>
                    <w:left w:val="single" w:color="auto" w:sz="4" w:space="0"/>
                    <w:bottom w:val="single" w:color="auto" w:sz="4" w:space="0"/>
                    <w:right w:val="nil"/>
                  </w:tcBorders>
                  <w:vAlign w:val="center"/>
                </w:tcPr>
                <w:p>
                  <w:pPr>
                    <w:pStyle w:val="4"/>
                    <w:wordWrap w:val="0"/>
                    <w:ind w:firstLine="0"/>
                    <w:jc w:val="center"/>
                    <w:rPr>
                      <w:b/>
                      <w:color w:val="auto"/>
                      <w:sz w:val="21"/>
                      <w:szCs w:val="21"/>
                    </w:rPr>
                  </w:pPr>
                  <w:r>
                    <w:rPr>
                      <w:rFonts w:hint="eastAsia"/>
                      <w:b/>
                      <w:color w:val="auto"/>
                      <w:sz w:val="21"/>
                      <w:szCs w:val="21"/>
                    </w:rPr>
                    <w:t>喷漆废气</w:t>
                  </w:r>
                </w:p>
              </w:tc>
              <w:tc>
                <w:tcPr>
                  <w:tcW w:w="1209" w:type="dxa"/>
                  <w:tcBorders>
                    <w:top w:val="single" w:color="auto" w:sz="12" w:space="0"/>
                    <w:left w:val="single" w:color="auto" w:sz="4" w:space="0"/>
                    <w:bottom w:val="single" w:color="auto" w:sz="4" w:space="0"/>
                    <w:right w:val="nil"/>
                  </w:tcBorders>
                  <w:vAlign w:val="center"/>
                </w:tcPr>
                <w:p>
                  <w:pPr>
                    <w:pStyle w:val="4"/>
                    <w:wordWrap w:val="0"/>
                    <w:ind w:firstLine="0"/>
                    <w:jc w:val="center"/>
                    <w:rPr>
                      <w:b/>
                      <w:color w:val="auto"/>
                      <w:sz w:val="21"/>
                      <w:szCs w:val="21"/>
                    </w:rPr>
                  </w:pPr>
                  <w:r>
                    <w:rPr>
                      <w:rFonts w:hint="eastAsia"/>
                      <w:b/>
                      <w:color w:val="auto"/>
                      <w:sz w:val="21"/>
                      <w:szCs w:val="21"/>
                    </w:rPr>
                    <w:t>晾干废气</w:t>
                  </w:r>
                </w:p>
              </w:tc>
              <w:tc>
                <w:tcPr>
                  <w:tcW w:w="1209" w:type="dxa"/>
                  <w:tcBorders>
                    <w:top w:val="single" w:color="auto" w:sz="12" w:space="0"/>
                    <w:left w:val="single" w:color="auto" w:sz="4" w:space="0"/>
                    <w:bottom w:val="single" w:color="auto" w:sz="4" w:space="0"/>
                    <w:right w:val="nil"/>
                  </w:tcBorders>
                  <w:vAlign w:val="center"/>
                </w:tcPr>
                <w:p>
                  <w:pPr>
                    <w:pStyle w:val="4"/>
                    <w:wordWrap w:val="0"/>
                    <w:ind w:firstLine="0"/>
                    <w:jc w:val="center"/>
                    <w:rPr>
                      <w:rFonts w:hint="eastAsia" w:eastAsia="宋体"/>
                      <w:b/>
                      <w:color w:val="auto"/>
                      <w:sz w:val="21"/>
                      <w:szCs w:val="21"/>
                      <w:lang w:eastAsia="zh-CN"/>
                    </w:rPr>
                  </w:pPr>
                  <w:r>
                    <w:rPr>
                      <w:rFonts w:hint="eastAsia"/>
                      <w:b/>
                      <w:color w:val="auto"/>
                      <w:sz w:val="21"/>
                      <w:szCs w:val="21"/>
                      <w:lang w:eastAsia="zh-CN"/>
                    </w:rPr>
                    <w:t>危废库废气</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520" w:type="dxa"/>
                  <w:tcBorders>
                    <w:top w:val="single" w:color="auto" w:sz="4" w:space="0"/>
                    <w:left w:val="nil"/>
                    <w:right w:val="single" w:color="auto" w:sz="4" w:space="0"/>
                  </w:tcBorders>
                  <w:vAlign w:val="center"/>
                </w:tcPr>
                <w:p>
                  <w:pPr>
                    <w:pStyle w:val="4"/>
                    <w:wordWrap w:val="0"/>
                    <w:ind w:firstLine="0"/>
                    <w:jc w:val="center"/>
                    <w:rPr>
                      <w:color w:val="auto"/>
                      <w:sz w:val="21"/>
                      <w:szCs w:val="21"/>
                    </w:rPr>
                  </w:pPr>
                  <w:r>
                    <w:rPr>
                      <w:color w:val="auto"/>
                      <w:sz w:val="21"/>
                      <w:szCs w:val="21"/>
                    </w:rPr>
                    <w:t>1</w:t>
                  </w:r>
                </w:p>
              </w:tc>
              <w:tc>
                <w:tcPr>
                  <w:tcW w:w="2725" w:type="dxa"/>
                  <w:tcBorders>
                    <w:top w:val="single" w:color="auto" w:sz="4" w:space="0"/>
                    <w:left w:val="single" w:color="auto" w:sz="4" w:space="0"/>
                    <w:right w:val="single" w:color="auto" w:sz="4" w:space="0"/>
                  </w:tcBorders>
                  <w:vAlign w:val="center"/>
                </w:tcPr>
                <w:p>
                  <w:pPr>
                    <w:pStyle w:val="4"/>
                    <w:wordWrap w:val="0"/>
                    <w:ind w:firstLine="0"/>
                    <w:jc w:val="center"/>
                    <w:rPr>
                      <w:color w:val="auto"/>
                      <w:sz w:val="21"/>
                      <w:szCs w:val="21"/>
                    </w:rPr>
                  </w:pPr>
                  <w:r>
                    <w:rPr>
                      <w:color w:val="auto"/>
                      <w:sz w:val="21"/>
                      <w:szCs w:val="21"/>
                    </w:rPr>
                    <w:t>配套风机风量（m</w:t>
                  </w:r>
                  <w:r>
                    <w:rPr>
                      <w:color w:val="auto"/>
                      <w:sz w:val="21"/>
                      <w:szCs w:val="21"/>
                      <w:vertAlign w:val="superscript"/>
                    </w:rPr>
                    <w:t>3</w:t>
                  </w:r>
                  <w:r>
                    <w:rPr>
                      <w:color w:val="auto"/>
                      <w:sz w:val="21"/>
                      <w:szCs w:val="21"/>
                    </w:rPr>
                    <w:t>/h）</w:t>
                  </w:r>
                </w:p>
              </w:tc>
              <w:tc>
                <w:tcPr>
                  <w:tcW w:w="5394" w:type="dxa"/>
                  <w:gridSpan w:val="4"/>
                  <w:tcBorders>
                    <w:top w:val="single" w:color="auto" w:sz="4" w:space="0"/>
                    <w:left w:val="single" w:color="auto" w:sz="4" w:space="0"/>
                    <w:right w:val="nil"/>
                  </w:tcBorders>
                  <w:vAlign w:val="center"/>
                </w:tcPr>
                <w:p>
                  <w:pPr>
                    <w:pStyle w:val="4"/>
                    <w:wordWrap w:val="0"/>
                    <w:ind w:firstLine="0"/>
                    <w:jc w:val="center"/>
                    <w:rPr>
                      <w:color w:val="auto"/>
                      <w:sz w:val="21"/>
                      <w:szCs w:val="21"/>
                    </w:rPr>
                  </w:pPr>
                  <w:r>
                    <w:rPr>
                      <w:rFonts w:hint="eastAsia"/>
                      <w:color w:val="auto"/>
                      <w:sz w:val="21"/>
                      <w:szCs w:val="21"/>
                      <w:lang w:eastAsia="zh-CN"/>
                    </w:rPr>
                    <w:t>22000</w:t>
                  </w:r>
                  <w:r>
                    <w:rPr>
                      <w:rFonts w:hint="eastAsia"/>
                      <w:color w:val="auto"/>
                      <w:sz w:val="21"/>
                      <w:szCs w:val="21"/>
                    </w:rPr>
                    <w:t>m³/h</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520" w:type="dxa"/>
                  <w:tcBorders>
                    <w:top w:val="single" w:color="auto" w:sz="4" w:space="0"/>
                    <w:left w:val="nil"/>
                    <w:bottom w:val="single" w:color="auto" w:sz="4" w:space="0"/>
                    <w:right w:val="single" w:color="auto" w:sz="4" w:space="0"/>
                  </w:tcBorders>
                  <w:vAlign w:val="center"/>
                </w:tcPr>
                <w:p>
                  <w:pPr>
                    <w:pStyle w:val="4"/>
                    <w:wordWrap w:val="0"/>
                    <w:ind w:firstLine="0"/>
                    <w:jc w:val="center"/>
                    <w:rPr>
                      <w:color w:val="auto"/>
                      <w:sz w:val="21"/>
                      <w:szCs w:val="21"/>
                    </w:rPr>
                  </w:pPr>
                  <w:r>
                    <w:rPr>
                      <w:color w:val="auto"/>
                      <w:sz w:val="21"/>
                      <w:szCs w:val="21"/>
                    </w:rPr>
                    <w:t>2</w:t>
                  </w:r>
                </w:p>
              </w:tc>
              <w:tc>
                <w:tcPr>
                  <w:tcW w:w="2725" w:type="dxa"/>
                  <w:tcBorders>
                    <w:top w:val="single" w:color="auto" w:sz="4" w:space="0"/>
                    <w:left w:val="single" w:color="auto" w:sz="4" w:space="0"/>
                    <w:bottom w:val="single" w:color="auto" w:sz="4" w:space="0"/>
                    <w:right w:val="single" w:color="auto" w:sz="4" w:space="0"/>
                  </w:tcBorders>
                  <w:vAlign w:val="center"/>
                </w:tcPr>
                <w:p>
                  <w:pPr>
                    <w:pStyle w:val="4"/>
                    <w:wordWrap w:val="0"/>
                    <w:ind w:firstLine="0"/>
                    <w:jc w:val="center"/>
                    <w:rPr>
                      <w:color w:val="auto"/>
                      <w:sz w:val="21"/>
                      <w:szCs w:val="21"/>
                    </w:rPr>
                  </w:pPr>
                  <w:r>
                    <w:rPr>
                      <w:color w:val="auto"/>
                      <w:sz w:val="21"/>
                      <w:szCs w:val="21"/>
                    </w:rPr>
                    <w:t>活性炭箱规格（mm）</w:t>
                  </w:r>
                </w:p>
                <w:p>
                  <w:pPr>
                    <w:pStyle w:val="4"/>
                    <w:wordWrap w:val="0"/>
                    <w:ind w:firstLine="0"/>
                    <w:jc w:val="center"/>
                    <w:rPr>
                      <w:color w:val="auto"/>
                      <w:sz w:val="21"/>
                      <w:szCs w:val="21"/>
                    </w:rPr>
                  </w:pPr>
                  <w:r>
                    <w:rPr>
                      <w:color w:val="auto"/>
                      <w:sz w:val="21"/>
                      <w:szCs w:val="21"/>
                    </w:rPr>
                    <w:t>（长、宽、高）</w:t>
                  </w:r>
                </w:p>
              </w:tc>
              <w:tc>
                <w:tcPr>
                  <w:tcW w:w="5394" w:type="dxa"/>
                  <w:gridSpan w:val="4"/>
                  <w:tcBorders>
                    <w:top w:val="single" w:color="auto" w:sz="4" w:space="0"/>
                    <w:left w:val="single" w:color="auto" w:sz="4" w:space="0"/>
                    <w:bottom w:val="single" w:color="auto" w:sz="4" w:space="0"/>
                    <w:right w:val="nil"/>
                  </w:tcBorders>
                  <w:vAlign w:val="center"/>
                </w:tcPr>
                <w:p>
                  <w:pPr>
                    <w:pStyle w:val="4"/>
                    <w:wordWrap w:val="0"/>
                    <w:ind w:firstLine="0"/>
                    <w:jc w:val="center"/>
                    <w:rPr>
                      <w:color w:val="auto"/>
                      <w:sz w:val="21"/>
                      <w:szCs w:val="21"/>
                    </w:rPr>
                  </w:pPr>
                  <w:r>
                    <w:rPr>
                      <w:rFonts w:hint="eastAsia"/>
                      <w:color w:val="auto"/>
                      <w:sz w:val="21"/>
                      <w:szCs w:val="21"/>
                      <w:lang w:val="en-US" w:eastAsia="zh-CN"/>
                    </w:rPr>
                    <w:t>12</w:t>
                  </w:r>
                  <w:r>
                    <w:rPr>
                      <w:color w:val="auto"/>
                      <w:sz w:val="21"/>
                      <w:szCs w:val="21"/>
                    </w:rPr>
                    <w:t>00×1500×</w:t>
                  </w:r>
                  <w:r>
                    <w:rPr>
                      <w:rFonts w:hint="eastAsia"/>
                      <w:color w:val="auto"/>
                      <w:sz w:val="21"/>
                      <w:szCs w:val="21"/>
                      <w:lang w:val="en-US" w:eastAsia="zh-CN"/>
                    </w:rPr>
                    <w:t>9</w:t>
                  </w:r>
                  <w:r>
                    <w:rPr>
                      <w:color w:val="auto"/>
                      <w:sz w:val="21"/>
                      <w:szCs w:val="21"/>
                    </w:rPr>
                    <w:t>00mm×2套</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520" w:type="dxa"/>
                  <w:tcBorders>
                    <w:top w:val="single" w:color="auto" w:sz="4" w:space="0"/>
                    <w:left w:val="nil"/>
                    <w:bottom w:val="single" w:color="auto" w:sz="4" w:space="0"/>
                    <w:right w:val="single" w:color="auto" w:sz="4" w:space="0"/>
                  </w:tcBorders>
                  <w:vAlign w:val="center"/>
                </w:tcPr>
                <w:p>
                  <w:pPr>
                    <w:pStyle w:val="4"/>
                    <w:wordWrap w:val="0"/>
                    <w:ind w:firstLine="0"/>
                    <w:jc w:val="center"/>
                    <w:rPr>
                      <w:color w:val="auto"/>
                      <w:sz w:val="21"/>
                      <w:szCs w:val="21"/>
                    </w:rPr>
                  </w:pPr>
                  <w:r>
                    <w:rPr>
                      <w:color w:val="auto"/>
                      <w:sz w:val="21"/>
                      <w:szCs w:val="21"/>
                    </w:rPr>
                    <w:t>3</w:t>
                  </w:r>
                </w:p>
              </w:tc>
              <w:tc>
                <w:tcPr>
                  <w:tcW w:w="2725" w:type="dxa"/>
                  <w:tcBorders>
                    <w:top w:val="single" w:color="auto" w:sz="4" w:space="0"/>
                    <w:left w:val="single" w:color="auto" w:sz="4" w:space="0"/>
                    <w:bottom w:val="single" w:color="auto" w:sz="4" w:space="0"/>
                    <w:right w:val="single" w:color="auto" w:sz="4" w:space="0"/>
                  </w:tcBorders>
                  <w:vAlign w:val="center"/>
                </w:tcPr>
                <w:p>
                  <w:pPr>
                    <w:pStyle w:val="4"/>
                    <w:wordWrap w:val="0"/>
                    <w:ind w:firstLine="0"/>
                    <w:jc w:val="center"/>
                    <w:rPr>
                      <w:color w:val="auto"/>
                      <w:sz w:val="21"/>
                      <w:szCs w:val="21"/>
                    </w:rPr>
                  </w:pPr>
                  <w:r>
                    <w:rPr>
                      <w:color w:val="auto"/>
                      <w:sz w:val="21"/>
                      <w:szCs w:val="21"/>
                    </w:rPr>
                    <w:t>比表面积（m</w:t>
                  </w:r>
                  <w:r>
                    <w:rPr>
                      <w:color w:val="auto"/>
                      <w:sz w:val="21"/>
                      <w:szCs w:val="21"/>
                      <w:vertAlign w:val="superscript"/>
                    </w:rPr>
                    <w:t>2</w:t>
                  </w:r>
                  <w:r>
                    <w:rPr>
                      <w:color w:val="auto"/>
                      <w:sz w:val="21"/>
                      <w:szCs w:val="21"/>
                    </w:rPr>
                    <w:t>/g）</w:t>
                  </w:r>
                </w:p>
              </w:tc>
              <w:tc>
                <w:tcPr>
                  <w:tcW w:w="5394" w:type="dxa"/>
                  <w:gridSpan w:val="4"/>
                  <w:tcBorders>
                    <w:top w:val="single" w:color="auto" w:sz="4" w:space="0"/>
                    <w:left w:val="single" w:color="auto" w:sz="4" w:space="0"/>
                    <w:bottom w:val="single" w:color="auto" w:sz="4" w:space="0"/>
                    <w:right w:val="nil"/>
                  </w:tcBorders>
                  <w:vAlign w:val="center"/>
                </w:tcPr>
                <w:p>
                  <w:pPr>
                    <w:pStyle w:val="4"/>
                    <w:wordWrap w:val="0"/>
                    <w:ind w:firstLine="0"/>
                    <w:jc w:val="center"/>
                    <w:rPr>
                      <w:color w:val="auto"/>
                      <w:sz w:val="21"/>
                      <w:szCs w:val="21"/>
                    </w:rPr>
                  </w:pPr>
                  <w:r>
                    <w:rPr>
                      <w:color w:val="auto"/>
                      <w:sz w:val="21"/>
                      <w:szCs w:val="21"/>
                    </w:rPr>
                    <w:t>≥850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520" w:type="dxa"/>
                  <w:tcBorders>
                    <w:top w:val="single" w:color="auto" w:sz="4" w:space="0"/>
                    <w:left w:val="nil"/>
                    <w:bottom w:val="single" w:color="auto" w:sz="4" w:space="0"/>
                    <w:right w:val="single" w:color="auto" w:sz="4" w:space="0"/>
                  </w:tcBorders>
                  <w:vAlign w:val="center"/>
                </w:tcPr>
                <w:p>
                  <w:pPr>
                    <w:pStyle w:val="4"/>
                    <w:wordWrap w:val="0"/>
                    <w:ind w:firstLine="0"/>
                    <w:jc w:val="center"/>
                    <w:rPr>
                      <w:color w:val="auto"/>
                      <w:sz w:val="21"/>
                      <w:szCs w:val="21"/>
                    </w:rPr>
                  </w:pPr>
                  <w:r>
                    <w:rPr>
                      <w:color w:val="auto"/>
                      <w:sz w:val="21"/>
                      <w:szCs w:val="21"/>
                    </w:rPr>
                    <w:t>4</w:t>
                  </w:r>
                </w:p>
              </w:tc>
              <w:tc>
                <w:tcPr>
                  <w:tcW w:w="2725" w:type="dxa"/>
                  <w:tcBorders>
                    <w:top w:val="single" w:color="auto" w:sz="4" w:space="0"/>
                    <w:left w:val="single" w:color="auto" w:sz="4" w:space="0"/>
                    <w:bottom w:val="single" w:color="auto" w:sz="4" w:space="0"/>
                    <w:right w:val="single" w:color="auto" w:sz="4" w:space="0"/>
                  </w:tcBorders>
                  <w:vAlign w:val="center"/>
                </w:tcPr>
                <w:p>
                  <w:pPr>
                    <w:pStyle w:val="4"/>
                    <w:wordWrap w:val="0"/>
                    <w:ind w:firstLine="0"/>
                    <w:jc w:val="center"/>
                    <w:rPr>
                      <w:color w:val="auto"/>
                      <w:sz w:val="21"/>
                      <w:szCs w:val="21"/>
                    </w:rPr>
                  </w:pPr>
                  <w:r>
                    <w:rPr>
                      <w:color w:val="auto"/>
                      <w:sz w:val="21"/>
                      <w:szCs w:val="21"/>
                    </w:rPr>
                    <w:t>活性炭类型</w:t>
                  </w:r>
                </w:p>
              </w:tc>
              <w:tc>
                <w:tcPr>
                  <w:tcW w:w="5394" w:type="dxa"/>
                  <w:gridSpan w:val="4"/>
                  <w:tcBorders>
                    <w:top w:val="single" w:color="auto" w:sz="4" w:space="0"/>
                    <w:left w:val="single" w:color="auto" w:sz="4" w:space="0"/>
                    <w:bottom w:val="single" w:color="auto" w:sz="4" w:space="0"/>
                    <w:right w:val="nil"/>
                  </w:tcBorders>
                  <w:vAlign w:val="center"/>
                </w:tcPr>
                <w:p>
                  <w:pPr>
                    <w:pStyle w:val="4"/>
                    <w:wordWrap w:val="0"/>
                    <w:ind w:firstLine="0"/>
                    <w:jc w:val="center"/>
                    <w:rPr>
                      <w:color w:val="auto"/>
                      <w:sz w:val="21"/>
                      <w:szCs w:val="21"/>
                    </w:rPr>
                  </w:pPr>
                  <w:r>
                    <w:rPr>
                      <w:color w:val="auto"/>
                      <w:sz w:val="21"/>
                      <w:szCs w:val="21"/>
                    </w:rPr>
                    <w:t>蜂窝活性炭</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520" w:type="dxa"/>
                  <w:tcBorders>
                    <w:top w:val="single" w:color="auto" w:sz="4" w:space="0"/>
                    <w:left w:val="nil"/>
                    <w:bottom w:val="single" w:color="auto" w:sz="4" w:space="0"/>
                    <w:right w:val="single" w:color="auto" w:sz="4" w:space="0"/>
                  </w:tcBorders>
                  <w:vAlign w:val="center"/>
                </w:tcPr>
                <w:p>
                  <w:pPr>
                    <w:pStyle w:val="4"/>
                    <w:wordWrap w:val="0"/>
                    <w:ind w:firstLine="0"/>
                    <w:jc w:val="center"/>
                    <w:rPr>
                      <w:color w:val="auto"/>
                      <w:sz w:val="21"/>
                      <w:szCs w:val="21"/>
                    </w:rPr>
                  </w:pPr>
                  <w:r>
                    <w:rPr>
                      <w:color w:val="auto"/>
                      <w:sz w:val="21"/>
                      <w:szCs w:val="21"/>
                    </w:rPr>
                    <w:t>5</w:t>
                  </w:r>
                </w:p>
              </w:tc>
              <w:tc>
                <w:tcPr>
                  <w:tcW w:w="2725" w:type="dxa"/>
                  <w:tcBorders>
                    <w:top w:val="single" w:color="auto" w:sz="4" w:space="0"/>
                    <w:left w:val="single" w:color="auto" w:sz="4" w:space="0"/>
                    <w:bottom w:val="single" w:color="auto" w:sz="4" w:space="0"/>
                    <w:right w:val="single" w:color="auto" w:sz="4" w:space="0"/>
                  </w:tcBorders>
                  <w:vAlign w:val="center"/>
                </w:tcPr>
                <w:p>
                  <w:pPr>
                    <w:pStyle w:val="4"/>
                    <w:wordWrap w:val="0"/>
                    <w:ind w:firstLine="0"/>
                    <w:jc w:val="center"/>
                    <w:rPr>
                      <w:color w:val="auto"/>
                      <w:sz w:val="21"/>
                      <w:szCs w:val="21"/>
                    </w:rPr>
                  </w:pPr>
                  <w:r>
                    <w:rPr>
                      <w:color w:val="auto"/>
                      <w:sz w:val="21"/>
                      <w:szCs w:val="21"/>
                    </w:rPr>
                    <w:t>水分</w:t>
                  </w:r>
                </w:p>
              </w:tc>
              <w:tc>
                <w:tcPr>
                  <w:tcW w:w="5394" w:type="dxa"/>
                  <w:gridSpan w:val="4"/>
                  <w:tcBorders>
                    <w:top w:val="single" w:color="auto" w:sz="4" w:space="0"/>
                    <w:left w:val="single" w:color="auto" w:sz="4" w:space="0"/>
                    <w:bottom w:val="single" w:color="auto" w:sz="4" w:space="0"/>
                    <w:right w:val="nil"/>
                  </w:tcBorders>
                  <w:vAlign w:val="center"/>
                </w:tcPr>
                <w:p>
                  <w:pPr>
                    <w:pStyle w:val="4"/>
                    <w:wordWrap w:val="0"/>
                    <w:ind w:firstLine="0"/>
                    <w:jc w:val="center"/>
                    <w:rPr>
                      <w:color w:val="auto"/>
                      <w:sz w:val="21"/>
                      <w:szCs w:val="21"/>
                    </w:rPr>
                  </w:pPr>
                  <w:r>
                    <w:rPr>
                      <w:color w:val="auto"/>
                      <w:sz w:val="21"/>
                      <w:szCs w:val="21"/>
                    </w:rPr>
                    <w:t>≤5%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520" w:type="dxa"/>
                  <w:tcBorders>
                    <w:top w:val="single" w:color="auto" w:sz="4" w:space="0"/>
                    <w:left w:val="nil"/>
                    <w:bottom w:val="single" w:color="auto" w:sz="4" w:space="0"/>
                    <w:right w:val="single" w:color="auto" w:sz="4" w:space="0"/>
                  </w:tcBorders>
                  <w:vAlign w:val="center"/>
                </w:tcPr>
                <w:p>
                  <w:pPr>
                    <w:pStyle w:val="4"/>
                    <w:wordWrap w:val="0"/>
                    <w:ind w:firstLine="0"/>
                    <w:jc w:val="center"/>
                    <w:rPr>
                      <w:color w:val="auto"/>
                      <w:sz w:val="21"/>
                      <w:szCs w:val="21"/>
                    </w:rPr>
                  </w:pPr>
                  <w:r>
                    <w:rPr>
                      <w:color w:val="auto"/>
                      <w:sz w:val="21"/>
                      <w:szCs w:val="21"/>
                    </w:rPr>
                    <w:t>6</w:t>
                  </w:r>
                </w:p>
              </w:tc>
              <w:tc>
                <w:tcPr>
                  <w:tcW w:w="2725" w:type="dxa"/>
                  <w:tcBorders>
                    <w:top w:val="single" w:color="auto" w:sz="4" w:space="0"/>
                    <w:left w:val="single" w:color="auto" w:sz="4" w:space="0"/>
                    <w:bottom w:val="single" w:color="auto" w:sz="4" w:space="0"/>
                    <w:right w:val="single" w:color="auto" w:sz="4" w:space="0"/>
                  </w:tcBorders>
                  <w:vAlign w:val="center"/>
                </w:tcPr>
                <w:p>
                  <w:pPr>
                    <w:pStyle w:val="4"/>
                    <w:wordWrap w:val="0"/>
                    <w:ind w:firstLine="0"/>
                    <w:jc w:val="center"/>
                    <w:rPr>
                      <w:color w:val="auto"/>
                      <w:sz w:val="21"/>
                      <w:szCs w:val="21"/>
                    </w:rPr>
                  </w:pPr>
                  <w:r>
                    <w:rPr>
                      <w:color w:val="auto"/>
                      <w:sz w:val="21"/>
                      <w:szCs w:val="21"/>
                    </w:rPr>
                    <w:t>堆体密度（kg/m</w:t>
                  </w:r>
                  <w:r>
                    <w:rPr>
                      <w:color w:val="auto"/>
                      <w:sz w:val="21"/>
                      <w:szCs w:val="21"/>
                      <w:vertAlign w:val="superscript"/>
                    </w:rPr>
                    <w:t>3</w:t>
                  </w:r>
                  <w:r>
                    <w:rPr>
                      <w:color w:val="auto"/>
                      <w:sz w:val="21"/>
                      <w:szCs w:val="21"/>
                    </w:rPr>
                    <w:t>）</w:t>
                  </w:r>
                </w:p>
              </w:tc>
              <w:tc>
                <w:tcPr>
                  <w:tcW w:w="5394" w:type="dxa"/>
                  <w:gridSpan w:val="4"/>
                  <w:tcBorders>
                    <w:top w:val="single" w:color="auto" w:sz="4" w:space="0"/>
                    <w:left w:val="single" w:color="auto" w:sz="4" w:space="0"/>
                    <w:bottom w:val="single" w:color="auto" w:sz="4" w:space="0"/>
                    <w:right w:val="nil"/>
                  </w:tcBorders>
                  <w:vAlign w:val="center"/>
                </w:tcPr>
                <w:p>
                  <w:pPr>
                    <w:pStyle w:val="4"/>
                    <w:wordWrap w:val="0"/>
                    <w:ind w:firstLine="0"/>
                    <w:jc w:val="center"/>
                    <w:rPr>
                      <w:color w:val="auto"/>
                      <w:sz w:val="21"/>
                      <w:szCs w:val="21"/>
                    </w:rPr>
                  </w:pPr>
                  <w:r>
                    <w:rPr>
                      <w:color w:val="auto"/>
                      <w:sz w:val="21"/>
                      <w:szCs w:val="21"/>
                    </w:rPr>
                    <w:t>500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520" w:type="dxa"/>
                  <w:tcBorders>
                    <w:top w:val="single" w:color="auto" w:sz="4" w:space="0"/>
                    <w:left w:val="nil"/>
                    <w:bottom w:val="single" w:color="auto" w:sz="4" w:space="0"/>
                    <w:right w:val="single" w:color="auto" w:sz="4" w:space="0"/>
                  </w:tcBorders>
                  <w:vAlign w:val="center"/>
                </w:tcPr>
                <w:p>
                  <w:pPr>
                    <w:pStyle w:val="4"/>
                    <w:wordWrap w:val="0"/>
                    <w:ind w:firstLine="0"/>
                    <w:jc w:val="center"/>
                    <w:rPr>
                      <w:color w:val="auto"/>
                      <w:kern w:val="2"/>
                      <w:sz w:val="21"/>
                      <w:szCs w:val="21"/>
                    </w:rPr>
                  </w:pPr>
                  <w:r>
                    <w:rPr>
                      <w:color w:val="auto"/>
                      <w:sz w:val="21"/>
                      <w:szCs w:val="21"/>
                    </w:rPr>
                    <w:t>7</w:t>
                  </w:r>
                </w:p>
              </w:tc>
              <w:tc>
                <w:tcPr>
                  <w:tcW w:w="2725" w:type="dxa"/>
                  <w:tcBorders>
                    <w:top w:val="single" w:color="auto" w:sz="4" w:space="0"/>
                    <w:left w:val="single" w:color="auto" w:sz="4" w:space="0"/>
                    <w:bottom w:val="single" w:color="auto" w:sz="4" w:space="0"/>
                    <w:right w:val="single" w:color="auto" w:sz="4" w:space="0"/>
                  </w:tcBorders>
                  <w:vAlign w:val="center"/>
                </w:tcPr>
                <w:p>
                  <w:pPr>
                    <w:pStyle w:val="4"/>
                    <w:wordWrap w:val="0"/>
                    <w:ind w:firstLine="0"/>
                    <w:jc w:val="center"/>
                    <w:rPr>
                      <w:color w:val="auto"/>
                      <w:sz w:val="21"/>
                      <w:szCs w:val="21"/>
                    </w:rPr>
                  </w:pPr>
                  <w:r>
                    <w:rPr>
                      <w:color w:val="auto"/>
                      <w:sz w:val="21"/>
                      <w:szCs w:val="21"/>
                    </w:rPr>
                    <w:t>碘值mg/kg</w:t>
                  </w:r>
                </w:p>
              </w:tc>
              <w:tc>
                <w:tcPr>
                  <w:tcW w:w="5394" w:type="dxa"/>
                  <w:gridSpan w:val="4"/>
                  <w:tcBorders>
                    <w:top w:val="single" w:color="auto" w:sz="4" w:space="0"/>
                    <w:left w:val="single" w:color="auto" w:sz="4" w:space="0"/>
                    <w:bottom w:val="single" w:color="auto" w:sz="4" w:space="0"/>
                    <w:right w:val="nil"/>
                  </w:tcBorders>
                  <w:vAlign w:val="center"/>
                </w:tcPr>
                <w:p>
                  <w:pPr>
                    <w:pStyle w:val="4"/>
                    <w:wordWrap w:val="0"/>
                    <w:ind w:firstLine="0"/>
                    <w:jc w:val="center"/>
                    <w:rPr>
                      <w:color w:val="auto"/>
                      <w:sz w:val="21"/>
                      <w:szCs w:val="21"/>
                    </w:rPr>
                  </w:pPr>
                  <w:r>
                    <w:rPr>
                      <w:color w:val="auto"/>
                      <w:sz w:val="21"/>
                      <w:szCs w:val="21"/>
                    </w:rPr>
                    <w:t>800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520" w:type="dxa"/>
                  <w:tcBorders>
                    <w:top w:val="single" w:color="auto" w:sz="4" w:space="0"/>
                    <w:left w:val="nil"/>
                    <w:bottom w:val="single" w:color="auto" w:sz="4" w:space="0"/>
                    <w:right w:val="single" w:color="auto" w:sz="4" w:space="0"/>
                  </w:tcBorders>
                  <w:vAlign w:val="center"/>
                </w:tcPr>
                <w:p>
                  <w:pPr>
                    <w:pStyle w:val="4"/>
                    <w:wordWrap w:val="0"/>
                    <w:ind w:firstLine="0"/>
                    <w:jc w:val="center"/>
                    <w:rPr>
                      <w:color w:val="auto"/>
                      <w:kern w:val="2"/>
                      <w:sz w:val="21"/>
                      <w:szCs w:val="21"/>
                    </w:rPr>
                  </w:pPr>
                  <w:r>
                    <w:rPr>
                      <w:color w:val="auto"/>
                      <w:sz w:val="21"/>
                      <w:szCs w:val="21"/>
                    </w:rPr>
                    <w:t>8</w:t>
                  </w:r>
                </w:p>
              </w:tc>
              <w:tc>
                <w:tcPr>
                  <w:tcW w:w="2725" w:type="dxa"/>
                  <w:tcBorders>
                    <w:top w:val="single" w:color="auto" w:sz="4" w:space="0"/>
                    <w:left w:val="single" w:color="auto" w:sz="4" w:space="0"/>
                    <w:bottom w:val="single" w:color="auto" w:sz="4" w:space="0"/>
                    <w:right w:val="single" w:color="auto" w:sz="4" w:space="0"/>
                  </w:tcBorders>
                  <w:vAlign w:val="center"/>
                </w:tcPr>
                <w:p>
                  <w:pPr>
                    <w:pStyle w:val="4"/>
                    <w:wordWrap w:val="0"/>
                    <w:ind w:firstLine="0"/>
                    <w:jc w:val="center"/>
                    <w:rPr>
                      <w:color w:val="auto"/>
                      <w:sz w:val="21"/>
                      <w:szCs w:val="21"/>
                    </w:rPr>
                  </w:pPr>
                  <w:r>
                    <w:rPr>
                      <w:color w:val="auto"/>
                      <w:sz w:val="21"/>
                      <w:szCs w:val="21"/>
                    </w:rPr>
                    <w:t>吸附阻力(Pa)</w:t>
                  </w:r>
                </w:p>
              </w:tc>
              <w:tc>
                <w:tcPr>
                  <w:tcW w:w="5394" w:type="dxa"/>
                  <w:gridSpan w:val="4"/>
                  <w:tcBorders>
                    <w:top w:val="single" w:color="auto" w:sz="4" w:space="0"/>
                    <w:left w:val="single" w:color="auto" w:sz="4" w:space="0"/>
                    <w:bottom w:val="single" w:color="auto" w:sz="4" w:space="0"/>
                    <w:right w:val="nil"/>
                  </w:tcBorders>
                  <w:vAlign w:val="center"/>
                </w:tcPr>
                <w:p>
                  <w:pPr>
                    <w:pStyle w:val="4"/>
                    <w:wordWrap w:val="0"/>
                    <w:ind w:firstLine="0"/>
                    <w:jc w:val="center"/>
                    <w:rPr>
                      <w:color w:val="auto"/>
                      <w:sz w:val="21"/>
                      <w:szCs w:val="21"/>
                    </w:rPr>
                  </w:pPr>
                  <w:r>
                    <w:rPr>
                      <w:color w:val="auto"/>
                      <w:sz w:val="21"/>
                      <w:szCs w:val="21"/>
                    </w:rPr>
                    <w:t>≤700Pa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520" w:type="dxa"/>
                  <w:tcBorders>
                    <w:top w:val="single" w:color="auto" w:sz="4" w:space="0"/>
                    <w:left w:val="nil"/>
                    <w:bottom w:val="single" w:color="auto" w:sz="4" w:space="0"/>
                    <w:right w:val="single" w:color="auto" w:sz="4" w:space="0"/>
                  </w:tcBorders>
                  <w:vAlign w:val="center"/>
                </w:tcPr>
                <w:p>
                  <w:pPr>
                    <w:pStyle w:val="4"/>
                    <w:wordWrap w:val="0"/>
                    <w:ind w:firstLine="0"/>
                    <w:jc w:val="center"/>
                    <w:rPr>
                      <w:color w:val="auto"/>
                      <w:kern w:val="2"/>
                      <w:sz w:val="21"/>
                      <w:szCs w:val="21"/>
                    </w:rPr>
                  </w:pPr>
                  <w:r>
                    <w:rPr>
                      <w:color w:val="auto"/>
                      <w:sz w:val="21"/>
                      <w:szCs w:val="21"/>
                    </w:rPr>
                    <w:t>9</w:t>
                  </w:r>
                </w:p>
              </w:tc>
              <w:tc>
                <w:tcPr>
                  <w:tcW w:w="2725" w:type="dxa"/>
                  <w:tcBorders>
                    <w:top w:val="single" w:color="auto" w:sz="4" w:space="0"/>
                    <w:left w:val="single" w:color="auto" w:sz="4" w:space="0"/>
                    <w:bottom w:val="single" w:color="auto" w:sz="4" w:space="0"/>
                    <w:right w:val="single" w:color="auto" w:sz="4" w:space="0"/>
                  </w:tcBorders>
                  <w:vAlign w:val="center"/>
                </w:tcPr>
                <w:p>
                  <w:pPr>
                    <w:pStyle w:val="4"/>
                    <w:wordWrap w:val="0"/>
                    <w:ind w:firstLine="0"/>
                    <w:jc w:val="center"/>
                    <w:rPr>
                      <w:color w:val="auto"/>
                      <w:sz w:val="21"/>
                      <w:szCs w:val="21"/>
                    </w:rPr>
                  </w:pPr>
                  <w:r>
                    <w:rPr>
                      <w:color w:val="auto"/>
                      <w:sz w:val="21"/>
                      <w:szCs w:val="21"/>
                    </w:rPr>
                    <w:t>结构形式</w:t>
                  </w:r>
                </w:p>
              </w:tc>
              <w:tc>
                <w:tcPr>
                  <w:tcW w:w="5394" w:type="dxa"/>
                  <w:gridSpan w:val="4"/>
                  <w:tcBorders>
                    <w:top w:val="single" w:color="auto" w:sz="4" w:space="0"/>
                    <w:left w:val="single" w:color="auto" w:sz="4" w:space="0"/>
                    <w:bottom w:val="single" w:color="auto" w:sz="4" w:space="0"/>
                    <w:right w:val="nil"/>
                  </w:tcBorders>
                  <w:vAlign w:val="center"/>
                </w:tcPr>
                <w:p>
                  <w:pPr>
                    <w:pStyle w:val="4"/>
                    <w:wordWrap w:val="0"/>
                    <w:ind w:firstLine="0"/>
                    <w:jc w:val="center"/>
                    <w:rPr>
                      <w:color w:val="auto"/>
                      <w:sz w:val="21"/>
                      <w:szCs w:val="21"/>
                    </w:rPr>
                  </w:pPr>
                  <w:r>
                    <w:rPr>
                      <w:color w:val="auto"/>
                      <w:sz w:val="21"/>
                      <w:szCs w:val="21"/>
                    </w:rPr>
                    <w:t>抽屉式</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520" w:type="dxa"/>
                  <w:tcBorders>
                    <w:top w:val="single" w:color="auto" w:sz="4" w:space="0"/>
                    <w:left w:val="nil"/>
                    <w:bottom w:val="single" w:color="auto" w:sz="12" w:space="0"/>
                    <w:right w:val="single" w:color="auto" w:sz="4" w:space="0"/>
                  </w:tcBorders>
                  <w:vAlign w:val="center"/>
                </w:tcPr>
                <w:p>
                  <w:pPr>
                    <w:pStyle w:val="4"/>
                    <w:wordWrap w:val="0"/>
                    <w:ind w:firstLine="0"/>
                    <w:jc w:val="center"/>
                    <w:rPr>
                      <w:color w:val="auto"/>
                      <w:kern w:val="2"/>
                      <w:sz w:val="21"/>
                      <w:szCs w:val="21"/>
                    </w:rPr>
                  </w:pPr>
                  <w:r>
                    <w:rPr>
                      <w:color w:val="auto"/>
                      <w:sz w:val="21"/>
                      <w:szCs w:val="21"/>
                    </w:rPr>
                    <w:t>10</w:t>
                  </w:r>
                </w:p>
              </w:tc>
              <w:tc>
                <w:tcPr>
                  <w:tcW w:w="2725" w:type="dxa"/>
                  <w:tcBorders>
                    <w:top w:val="single" w:color="auto" w:sz="4" w:space="0"/>
                    <w:left w:val="single" w:color="auto" w:sz="4" w:space="0"/>
                    <w:bottom w:val="single" w:color="auto" w:sz="12" w:space="0"/>
                    <w:right w:val="single" w:color="auto" w:sz="4" w:space="0"/>
                  </w:tcBorders>
                  <w:vAlign w:val="center"/>
                </w:tcPr>
                <w:p>
                  <w:pPr>
                    <w:pStyle w:val="4"/>
                    <w:wordWrap w:val="0"/>
                    <w:ind w:firstLine="0"/>
                    <w:jc w:val="center"/>
                    <w:rPr>
                      <w:color w:val="auto"/>
                      <w:sz w:val="21"/>
                      <w:szCs w:val="21"/>
                    </w:rPr>
                  </w:pPr>
                  <w:r>
                    <w:rPr>
                      <w:color w:val="auto"/>
                      <w:sz w:val="21"/>
                      <w:szCs w:val="21"/>
                    </w:rPr>
                    <w:t>吸附效率%</w:t>
                  </w:r>
                </w:p>
              </w:tc>
              <w:tc>
                <w:tcPr>
                  <w:tcW w:w="5394" w:type="dxa"/>
                  <w:gridSpan w:val="4"/>
                  <w:tcBorders>
                    <w:top w:val="single" w:color="auto" w:sz="4" w:space="0"/>
                    <w:left w:val="single" w:color="auto" w:sz="4" w:space="0"/>
                    <w:bottom w:val="single" w:color="auto" w:sz="12" w:space="0"/>
                    <w:right w:val="nil"/>
                  </w:tcBorders>
                  <w:vAlign w:val="center"/>
                </w:tcPr>
                <w:p>
                  <w:pPr>
                    <w:pStyle w:val="4"/>
                    <w:wordWrap w:val="0"/>
                    <w:ind w:firstLine="0"/>
                    <w:jc w:val="center"/>
                    <w:rPr>
                      <w:color w:val="auto"/>
                      <w:sz w:val="21"/>
                      <w:szCs w:val="21"/>
                    </w:rPr>
                  </w:pPr>
                  <w:r>
                    <w:rPr>
                      <w:color w:val="auto"/>
                      <w:sz w:val="21"/>
                      <w:szCs w:val="21"/>
                    </w:rPr>
                    <w:t>90</w:t>
                  </w:r>
                </w:p>
              </w:tc>
            </w:tr>
          </w:tbl>
          <w:p>
            <w:pPr>
              <w:wordWrap w:val="0"/>
              <w:adjustRightInd w:val="0"/>
              <w:snapToGrid w:val="0"/>
              <w:spacing w:line="360" w:lineRule="auto"/>
              <w:ind w:firstLine="482" w:firstLineChars="200"/>
              <w:rPr>
                <w:b/>
                <w:color w:val="auto"/>
                <w:sz w:val="24"/>
              </w:rPr>
            </w:pPr>
            <w:r>
              <w:rPr>
                <w:b/>
                <w:color w:val="auto"/>
                <w:sz w:val="24"/>
              </w:rPr>
              <w:t>1.2.3“活性炭吸附装置”管理要求：</w:t>
            </w:r>
          </w:p>
          <w:p>
            <w:pPr>
              <w:wordWrap w:val="0"/>
              <w:adjustRightInd w:val="0"/>
              <w:snapToGrid w:val="0"/>
              <w:spacing w:line="360" w:lineRule="auto"/>
              <w:ind w:firstLine="480" w:firstLineChars="200"/>
              <w:rPr>
                <w:color w:val="auto"/>
                <w:sz w:val="24"/>
              </w:rPr>
            </w:pPr>
            <w:r>
              <w:rPr>
                <w:color w:val="auto"/>
                <w:sz w:val="24"/>
              </w:rPr>
              <w:t>依据《省生态环境厅关于深入开展涉VOCs治理重点工作核查的通知》（苏环办〔2022〕218号），提出以下管理要求：</w:t>
            </w:r>
          </w:p>
          <w:p>
            <w:pPr>
              <w:wordWrap w:val="0"/>
              <w:adjustRightInd w:val="0"/>
              <w:snapToGrid w:val="0"/>
              <w:spacing w:line="360" w:lineRule="auto"/>
              <w:ind w:firstLine="480" w:firstLineChars="200"/>
              <w:rPr>
                <w:color w:val="auto"/>
                <w:sz w:val="24"/>
              </w:rPr>
            </w:pPr>
            <w:r>
              <w:rPr>
                <w:color w:val="auto"/>
                <w:sz w:val="24"/>
              </w:rPr>
              <w:t>①活性炭吸附处理装置应先于产生废气的生产工艺设备开启、晚于生产工艺设备停机，鼓励有条件地实现与生产装置的连锁控制。所有活性炭吸附装置应设置铭牌并张贴在装置醒目位置（可参照排污口设置规范），包含环保产品名称、型号、风量、活性炭名称、装填量、装填方式、活性炭碘值、比表面积等内容。企业应做好活性炭吸附日常运行维护台帐记录，主要包括设备运行启停时间、设备运行参数、耗材消耗（采购量、使用量、装填量、更换量和更换时间、处置记录等）及能源消耗（电耗）等，台帐记录保存期限不得少于5年。</w:t>
            </w:r>
          </w:p>
          <w:p>
            <w:pPr>
              <w:wordWrap w:val="0"/>
              <w:adjustRightInd w:val="0"/>
              <w:snapToGrid w:val="0"/>
              <w:spacing w:line="360" w:lineRule="auto"/>
              <w:ind w:firstLine="480" w:firstLineChars="200"/>
              <w:rPr>
                <w:color w:val="auto"/>
                <w:sz w:val="24"/>
              </w:rPr>
            </w:pPr>
            <w:r>
              <w:rPr>
                <w:color w:val="auto"/>
                <w:sz w:val="24"/>
              </w:rPr>
              <w:t>②按环保部门通知要求，登录江苏省污染源“一企一档”管理系统（企业“环保脸谱”）录入活性炭吸附设施相关信息、定期上传设施运行维护记录、签收活性炭状态预警及超期信息。</w:t>
            </w:r>
          </w:p>
          <w:p>
            <w:pPr>
              <w:wordWrap w:val="0"/>
              <w:adjustRightInd w:val="0"/>
              <w:snapToGrid w:val="0"/>
              <w:spacing w:line="360" w:lineRule="auto"/>
              <w:ind w:firstLine="480" w:firstLineChars="200"/>
              <w:rPr>
                <w:color w:val="auto"/>
                <w:sz w:val="24"/>
              </w:rPr>
            </w:pPr>
            <w:r>
              <w:rPr>
                <w:color w:val="auto"/>
                <w:sz w:val="24"/>
              </w:rPr>
              <w:t>③应在活性炭吸附装置进气和出气管道上设置采样口，采样口设置应符合《环境保护产品技术要求 工业废气吸附净化装置》（HJ/T386-2007）的要求，便于日常监测活性炭吸附效率。根据活性炭更换周期及时更换活性炭，更换下来的活性炭按危险废物处理。采用活性炭吸附装置的企业应配备VOCs快速监测设备。</w:t>
            </w:r>
          </w:p>
          <w:p>
            <w:pPr>
              <w:wordWrap w:val="0"/>
              <w:adjustRightInd w:val="0"/>
              <w:snapToGrid w:val="0"/>
              <w:spacing w:line="360" w:lineRule="auto"/>
              <w:ind w:firstLine="480" w:firstLineChars="200"/>
              <w:rPr>
                <w:color w:val="auto"/>
                <w:sz w:val="24"/>
              </w:rPr>
            </w:pPr>
            <w:r>
              <w:rPr>
                <w:color w:val="auto"/>
                <w:sz w:val="24"/>
              </w:rPr>
              <w:t>④企业应制定定期更换过滤材料的设备运行维护规程，保障活性炭在低颗粒物、低含水率条件下使用。</w:t>
            </w:r>
          </w:p>
          <w:p>
            <w:pPr>
              <w:wordWrap w:val="0"/>
              <w:adjustRightInd w:val="0"/>
              <w:snapToGrid w:val="0"/>
              <w:spacing w:line="360" w:lineRule="auto"/>
              <w:ind w:firstLine="480" w:firstLineChars="200"/>
              <w:rPr>
                <w:color w:val="auto"/>
                <w:sz w:val="24"/>
              </w:rPr>
            </w:pPr>
            <w:r>
              <w:rPr>
                <w:color w:val="auto"/>
                <w:sz w:val="24"/>
              </w:rPr>
              <w:t>⑤企业应备好所购活性炭厂家关于活性炭碘值、比表面积等相关证明材料，以供环保部门不定期检查使用。</w:t>
            </w:r>
          </w:p>
          <w:p>
            <w:pPr>
              <w:wordWrap w:val="0"/>
              <w:adjustRightInd w:val="0"/>
              <w:snapToGrid w:val="0"/>
              <w:spacing w:line="360" w:lineRule="auto"/>
              <w:rPr>
                <w:color w:val="auto"/>
                <w:sz w:val="24"/>
              </w:rPr>
            </w:pPr>
            <w:r>
              <w:rPr>
                <w:b/>
                <w:color w:val="auto"/>
                <w:sz w:val="24"/>
              </w:rPr>
              <w:t>1.2.4活性炭更换周期核算：</w:t>
            </w:r>
          </w:p>
          <w:p>
            <w:pPr>
              <w:wordWrap w:val="0"/>
              <w:adjustRightInd w:val="0"/>
              <w:snapToGrid w:val="0"/>
              <w:spacing w:line="360" w:lineRule="auto"/>
              <w:ind w:firstLine="480" w:firstLineChars="200"/>
              <w:rPr>
                <w:color w:val="auto"/>
                <w:sz w:val="24"/>
              </w:rPr>
            </w:pPr>
            <w:r>
              <w:rPr>
                <w:color w:val="auto"/>
                <w:sz w:val="24"/>
              </w:rPr>
              <w:t>根据《省生态环境厅关于将排污单位活性炭使用更换纳入排污许可管理的通知》（苏环办〔2021〕218号）文中《涉活性炭吸附排污单位的排污许可管理要求》参照以下公式计算活性炭更换周期：</w:t>
            </w:r>
          </w:p>
          <w:p>
            <w:pPr>
              <w:wordWrap w:val="0"/>
              <w:adjustRightInd w:val="0"/>
              <w:snapToGrid w:val="0"/>
              <w:spacing w:line="360" w:lineRule="auto"/>
              <w:ind w:firstLine="480" w:firstLineChars="200"/>
              <w:jc w:val="center"/>
              <w:rPr>
                <w:color w:val="auto"/>
                <w:sz w:val="24"/>
              </w:rPr>
            </w:pPr>
            <w:r>
              <w:rPr>
                <w:color w:val="auto"/>
                <w:sz w:val="24"/>
              </w:rPr>
              <w:t>T=m×s÷（c×10</w:t>
            </w:r>
            <w:r>
              <w:rPr>
                <w:color w:val="auto"/>
                <w:sz w:val="24"/>
                <w:vertAlign w:val="superscript"/>
              </w:rPr>
              <w:t>-6</w:t>
            </w:r>
            <w:r>
              <w:rPr>
                <w:color w:val="auto"/>
                <w:sz w:val="24"/>
              </w:rPr>
              <w:t>×Q×t）</w:t>
            </w:r>
          </w:p>
          <w:p>
            <w:pPr>
              <w:wordWrap w:val="0"/>
              <w:adjustRightInd w:val="0"/>
              <w:snapToGrid w:val="0"/>
              <w:spacing w:line="360" w:lineRule="auto"/>
              <w:rPr>
                <w:color w:val="auto"/>
                <w:sz w:val="24"/>
              </w:rPr>
            </w:pPr>
            <w:r>
              <w:rPr>
                <w:color w:val="auto"/>
                <w:sz w:val="24"/>
              </w:rPr>
              <w:t>式中：T—更换周期，天</w:t>
            </w:r>
          </w:p>
          <w:p>
            <w:pPr>
              <w:wordWrap w:val="0"/>
              <w:adjustRightInd w:val="0"/>
              <w:snapToGrid w:val="0"/>
              <w:spacing w:line="360" w:lineRule="auto"/>
              <w:ind w:firstLine="720" w:firstLineChars="300"/>
              <w:rPr>
                <w:color w:val="auto"/>
                <w:sz w:val="24"/>
              </w:rPr>
            </w:pPr>
            <w:r>
              <w:rPr>
                <w:color w:val="auto"/>
                <w:sz w:val="24"/>
              </w:rPr>
              <w:t>m—活性炭的用量，kg；</w:t>
            </w:r>
          </w:p>
          <w:p>
            <w:pPr>
              <w:wordWrap w:val="0"/>
              <w:adjustRightInd w:val="0"/>
              <w:snapToGrid w:val="0"/>
              <w:spacing w:line="360" w:lineRule="auto"/>
              <w:ind w:firstLine="720" w:firstLineChars="300"/>
              <w:rPr>
                <w:color w:val="auto"/>
                <w:sz w:val="24"/>
              </w:rPr>
            </w:pPr>
            <w:r>
              <w:rPr>
                <w:color w:val="auto"/>
                <w:sz w:val="24"/>
              </w:rPr>
              <w:t>s—动态吸附量，（本项目取10%）；</w:t>
            </w:r>
          </w:p>
          <w:p>
            <w:pPr>
              <w:wordWrap w:val="0"/>
              <w:adjustRightInd w:val="0"/>
              <w:snapToGrid w:val="0"/>
              <w:spacing w:line="360" w:lineRule="auto"/>
              <w:ind w:firstLine="720" w:firstLineChars="300"/>
              <w:rPr>
                <w:color w:val="auto"/>
                <w:sz w:val="24"/>
              </w:rPr>
            </w:pPr>
            <w:r>
              <w:rPr>
                <w:color w:val="auto"/>
                <w:sz w:val="24"/>
              </w:rPr>
              <w:t>c—活性炭削减的VOCs浓度，mg/m</w:t>
            </w:r>
            <w:r>
              <w:rPr>
                <w:color w:val="auto"/>
                <w:sz w:val="24"/>
                <w:vertAlign w:val="superscript"/>
              </w:rPr>
              <w:t>3</w:t>
            </w:r>
            <w:r>
              <w:rPr>
                <w:color w:val="auto"/>
                <w:sz w:val="24"/>
              </w:rPr>
              <w:t>；</w:t>
            </w:r>
          </w:p>
          <w:p>
            <w:pPr>
              <w:wordWrap w:val="0"/>
              <w:adjustRightInd w:val="0"/>
              <w:snapToGrid w:val="0"/>
              <w:spacing w:line="360" w:lineRule="auto"/>
              <w:ind w:left="630" w:leftChars="300" w:firstLine="10"/>
              <w:rPr>
                <w:color w:val="auto"/>
                <w:sz w:val="24"/>
              </w:rPr>
            </w:pPr>
            <w:r>
              <w:rPr>
                <w:color w:val="auto"/>
                <w:sz w:val="24"/>
              </w:rPr>
              <w:t>Q—风量，单位m</w:t>
            </w:r>
            <w:r>
              <w:rPr>
                <w:color w:val="auto"/>
                <w:sz w:val="24"/>
                <w:vertAlign w:val="superscript"/>
              </w:rPr>
              <w:t>3</w:t>
            </w:r>
            <w:r>
              <w:rPr>
                <w:color w:val="auto"/>
                <w:sz w:val="24"/>
              </w:rPr>
              <w:t>/h；</w:t>
            </w:r>
          </w:p>
          <w:p>
            <w:pPr>
              <w:wordWrap w:val="0"/>
              <w:adjustRightInd w:val="0"/>
              <w:snapToGrid w:val="0"/>
              <w:spacing w:line="360" w:lineRule="auto"/>
              <w:ind w:left="630" w:leftChars="300" w:firstLine="10"/>
              <w:rPr>
                <w:color w:val="auto"/>
                <w:sz w:val="24"/>
              </w:rPr>
            </w:pPr>
            <w:r>
              <w:rPr>
                <w:color w:val="auto"/>
                <w:sz w:val="24"/>
              </w:rPr>
              <w:t>t—运行时间，单位h/d。</w:t>
            </w:r>
          </w:p>
          <w:p>
            <w:pPr>
              <w:wordWrap w:val="0"/>
              <w:adjustRightInd w:val="0"/>
              <w:snapToGrid w:val="0"/>
              <w:spacing w:line="360" w:lineRule="auto"/>
              <w:ind w:firstLine="480" w:firstLineChars="200"/>
              <w:rPr>
                <w:color w:val="auto"/>
                <w:sz w:val="24"/>
              </w:rPr>
            </w:pPr>
            <w:r>
              <w:rPr>
                <w:color w:val="auto"/>
                <w:sz w:val="24"/>
              </w:rPr>
              <w:t>计算详见下表：</w:t>
            </w:r>
          </w:p>
          <w:p>
            <w:pPr>
              <w:wordWrap w:val="0"/>
              <w:adjustRightInd w:val="0"/>
              <w:snapToGrid w:val="0"/>
              <w:spacing w:line="360" w:lineRule="auto"/>
              <w:jc w:val="center"/>
              <w:rPr>
                <w:b/>
                <w:snapToGrid w:val="0"/>
                <w:color w:val="auto"/>
                <w:kern w:val="0"/>
                <w:sz w:val="24"/>
              </w:rPr>
            </w:pPr>
            <w:r>
              <w:rPr>
                <w:b/>
                <w:snapToGrid w:val="0"/>
                <w:color w:val="auto"/>
                <w:kern w:val="0"/>
                <w:szCs w:val="21"/>
              </w:rPr>
              <w:t>表4.2-1</w:t>
            </w:r>
            <w:r>
              <w:rPr>
                <w:rFonts w:hint="eastAsia"/>
                <w:b/>
                <w:snapToGrid w:val="0"/>
                <w:color w:val="auto"/>
                <w:kern w:val="0"/>
                <w:szCs w:val="21"/>
                <w:lang w:val="en-US" w:eastAsia="zh-CN"/>
              </w:rPr>
              <w:t>2</w:t>
            </w:r>
            <w:r>
              <w:rPr>
                <w:b/>
                <w:snapToGrid w:val="0"/>
                <w:color w:val="auto"/>
                <w:kern w:val="0"/>
                <w:szCs w:val="21"/>
              </w:rPr>
              <w:t xml:space="preserve"> 活性炭更换周期计算表</w:t>
            </w:r>
          </w:p>
          <w:tbl>
            <w:tblPr>
              <w:tblStyle w:val="20"/>
              <w:tblW w:w="4997"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Layout w:type="autofit"/>
              <w:tblCellMar>
                <w:top w:w="0" w:type="dxa"/>
                <w:left w:w="0" w:type="dxa"/>
                <w:bottom w:w="0" w:type="dxa"/>
                <w:right w:w="0" w:type="dxa"/>
              </w:tblCellMar>
            </w:tblPr>
            <w:tblGrid>
              <w:gridCol w:w="1290"/>
              <w:gridCol w:w="1082"/>
              <w:gridCol w:w="1186"/>
              <w:gridCol w:w="1855"/>
              <w:gridCol w:w="1256"/>
              <w:gridCol w:w="1082"/>
              <w:gridCol w:w="1214"/>
            </w:tblGrid>
            <w:tr>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0" w:type="dxa"/>
                  <w:bottom w:w="0" w:type="dxa"/>
                  <w:right w:w="0" w:type="dxa"/>
                </w:tblCellMar>
              </w:tblPrEx>
              <w:trPr>
                <w:trHeight w:val="90" w:hRule="atLeast"/>
              </w:trPr>
              <w:tc>
                <w:tcPr>
                  <w:tcW w:w="719" w:type="pct"/>
                  <w:tcBorders>
                    <w:tl2br w:val="nil"/>
                    <w:tr2bl w:val="nil"/>
                  </w:tcBorders>
                  <w:vAlign w:val="center"/>
                </w:tcPr>
                <w:p>
                  <w:pPr>
                    <w:wordWrap w:val="0"/>
                    <w:adjustRightInd w:val="0"/>
                    <w:snapToGrid w:val="0"/>
                    <w:jc w:val="center"/>
                    <w:rPr>
                      <w:b/>
                      <w:color w:val="auto"/>
                      <w:szCs w:val="21"/>
                    </w:rPr>
                  </w:pPr>
                  <w:r>
                    <w:rPr>
                      <w:b/>
                      <w:color w:val="auto"/>
                      <w:szCs w:val="21"/>
                    </w:rPr>
                    <w:t>工序</w:t>
                  </w:r>
                </w:p>
              </w:tc>
              <w:tc>
                <w:tcPr>
                  <w:tcW w:w="603" w:type="pct"/>
                  <w:tcBorders>
                    <w:tl2br w:val="nil"/>
                    <w:tr2bl w:val="nil"/>
                  </w:tcBorders>
                  <w:vAlign w:val="center"/>
                </w:tcPr>
                <w:p>
                  <w:pPr>
                    <w:wordWrap w:val="0"/>
                    <w:adjustRightInd w:val="0"/>
                    <w:snapToGrid w:val="0"/>
                    <w:jc w:val="center"/>
                    <w:rPr>
                      <w:b/>
                      <w:color w:val="auto"/>
                      <w:szCs w:val="21"/>
                    </w:rPr>
                  </w:pPr>
                  <w:r>
                    <w:rPr>
                      <w:b/>
                      <w:color w:val="auto"/>
                      <w:szCs w:val="21"/>
                    </w:rPr>
                    <w:t>活性炭用量（kg）</w:t>
                  </w:r>
                </w:p>
              </w:tc>
              <w:tc>
                <w:tcPr>
                  <w:tcW w:w="661" w:type="pct"/>
                  <w:tcBorders>
                    <w:tl2br w:val="nil"/>
                    <w:tr2bl w:val="nil"/>
                  </w:tcBorders>
                  <w:vAlign w:val="center"/>
                </w:tcPr>
                <w:p>
                  <w:pPr>
                    <w:wordWrap w:val="0"/>
                    <w:adjustRightInd w:val="0"/>
                    <w:snapToGrid w:val="0"/>
                    <w:jc w:val="center"/>
                    <w:rPr>
                      <w:b/>
                      <w:color w:val="auto"/>
                      <w:szCs w:val="21"/>
                    </w:rPr>
                  </w:pPr>
                  <w:r>
                    <w:rPr>
                      <w:b/>
                      <w:color w:val="auto"/>
                      <w:szCs w:val="21"/>
                    </w:rPr>
                    <w:t>动态吸附量（%）</w:t>
                  </w:r>
                </w:p>
              </w:tc>
              <w:tc>
                <w:tcPr>
                  <w:tcW w:w="1034" w:type="pct"/>
                  <w:tcBorders>
                    <w:tl2br w:val="nil"/>
                    <w:tr2bl w:val="nil"/>
                  </w:tcBorders>
                  <w:vAlign w:val="center"/>
                </w:tcPr>
                <w:p>
                  <w:pPr>
                    <w:wordWrap w:val="0"/>
                    <w:adjustRightInd w:val="0"/>
                    <w:snapToGrid w:val="0"/>
                    <w:jc w:val="center"/>
                    <w:rPr>
                      <w:b/>
                      <w:color w:val="auto"/>
                      <w:szCs w:val="21"/>
                    </w:rPr>
                  </w:pPr>
                  <w:r>
                    <w:rPr>
                      <w:b/>
                      <w:color w:val="auto"/>
                      <w:szCs w:val="21"/>
                    </w:rPr>
                    <w:t>活性炭削减VOCs浓度（mg/m</w:t>
                  </w:r>
                  <w:r>
                    <w:rPr>
                      <w:b/>
                      <w:color w:val="auto"/>
                      <w:szCs w:val="21"/>
                      <w:vertAlign w:val="superscript"/>
                    </w:rPr>
                    <w:t>3</w:t>
                  </w:r>
                  <w:r>
                    <w:rPr>
                      <w:b/>
                      <w:color w:val="auto"/>
                      <w:szCs w:val="21"/>
                    </w:rPr>
                    <w:t>）</w:t>
                  </w:r>
                </w:p>
              </w:tc>
              <w:tc>
                <w:tcPr>
                  <w:tcW w:w="700" w:type="pct"/>
                  <w:tcBorders>
                    <w:tl2br w:val="nil"/>
                    <w:tr2bl w:val="nil"/>
                  </w:tcBorders>
                  <w:vAlign w:val="center"/>
                </w:tcPr>
                <w:p>
                  <w:pPr>
                    <w:wordWrap w:val="0"/>
                    <w:adjustRightInd w:val="0"/>
                    <w:snapToGrid w:val="0"/>
                    <w:jc w:val="center"/>
                    <w:rPr>
                      <w:b/>
                      <w:color w:val="auto"/>
                      <w:szCs w:val="21"/>
                    </w:rPr>
                  </w:pPr>
                  <w:r>
                    <w:rPr>
                      <w:b/>
                      <w:color w:val="auto"/>
                      <w:szCs w:val="21"/>
                    </w:rPr>
                    <w:t>风量（m</w:t>
                  </w:r>
                  <w:r>
                    <w:rPr>
                      <w:b/>
                      <w:color w:val="auto"/>
                      <w:szCs w:val="21"/>
                      <w:vertAlign w:val="superscript"/>
                    </w:rPr>
                    <w:t>3</w:t>
                  </w:r>
                  <w:r>
                    <w:rPr>
                      <w:b/>
                      <w:color w:val="auto"/>
                      <w:szCs w:val="21"/>
                    </w:rPr>
                    <w:t>/h）</w:t>
                  </w:r>
                </w:p>
              </w:tc>
              <w:tc>
                <w:tcPr>
                  <w:tcW w:w="603" w:type="pct"/>
                  <w:tcBorders>
                    <w:tl2br w:val="nil"/>
                    <w:tr2bl w:val="nil"/>
                  </w:tcBorders>
                  <w:vAlign w:val="center"/>
                </w:tcPr>
                <w:p>
                  <w:pPr>
                    <w:wordWrap w:val="0"/>
                    <w:adjustRightInd w:val="0"/>
                    <w:snapToGrid w:val="0"/>
                    <w:jc w:val="center"/>
                    <w:rPr>
                      <w:b/>
                      <w:color w:val="auto"/>
                      <w:szCs w:val="21"/>
                    </w:rPr>
                  </w:pPr>
                  <w:r>
                    <w:rPr>
                      <w:b/>
                      <w:color w:val="auto"/>
                      <w:szCs w:val="21"/>
                    </w:rPr>
                    <w:t>运行时间（h/d）</w:t>
                  </w:r>
                </w:p>
              </w:tc>
              <w:tc>
                <w:tcPr>
                  <w:tcW w:w="676" w:type="pct"/>
                  <w:tcBorders>
                    <w:tl2br w:val="nil"/>
                    <w:tr2bl w:val="nil"/>
                  </w:tcBorders>
                  <w:vAlign w:val="center"/>
                </w:tcPr>
                <w:p>
                  <w:pPr>
                    <w:wordWrap w:val="0"/>
                    <w:adjustRightInd w:val="0"/>
                    <w:snapToGrid w:val="0"/>
                    <w:jc w:val="center"/>
                    <w:rPr>
                      <w:b/>
                      <w:color w:val="auto"/>
                      <w:szCs w:val="21"/>
                    </w:rPr>
                  </w:pPr>
                  <w:r>
                    <w:rPr>
                      <w:b/>
                      <w:color w:val="auto"/>
                      <w:szCs w:val="21"/>
                    </w:rPr>
                    <w:t>更换周期（天）</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0" w:type="dxa"/>
                  <w:bottom w:w="0" w:type="dxa"/>
                  <w:right w:w="0" w:type="dxa"/>
                </w:tblCellMar>
              </w:tblPrEx>
              <w:trPr>
                <w:trHeight w:val="90" w:hRule="atLeast"/>
              </w:trPr>
              <w:tc>
                <w:tcPr>
                  <w:tcW w:w="719" w:type="pct"/>
                  <w:tcBorders>
                    <w:tl2br w:val="nil"/>
                    <w:tr2bl w:val="nil"/>
                  </w:tcBorders>
                  <w:vAlign w:val="center"/>
                </w:tcPr>
                <w:p>
                  <w:pPr>
                    <w:wordWrap w:val="0"/>
                    <w:adjustRightInd w:val="0"/>
                    <w:snapToGrid w:val="0"/>
                    <w:jc w:val="center"/>
                    <w:rPr>
                      <w:color w:val="auto"/>
                      <w:szCs w:val="21"/>
                    </w:rPr>
                  </w:pPr>
                  <w:r>
                    <w:rPr>
                      <w:color w:val="auto"/>
                      <w:szCs w:val="21"/>
                    </w:rPr>
                    <w:t>调漆、喷漆、晾干</w:t>
                  </w:r>
                </w:p>
              </w:tc>
              <w:tc>
                <w:tcPr>
                  <w:tcW w:w="603" w:type="pct"/>
                  <w:tcBorders>
                    <w:tl2br w:val="nil"/>
                    <w:tr2bl w:val="nil"/>
                  </w:tcBorders>
                  <w:vAlign w:val="center"/>
                </w:tcPr>
                <w:p>
                  <w:pPr>
                    <w:wordWrap w:val="0"/>
                    <w:adjustRightInd w:val="0"/>
                    <w:snapToGrid w:val="0"/>
                    <w:jc w:val="center"/>
                    <w:rPr>
                      <w:rFonts w:hint="default" w:eastAsia="宋体"/>
                      <w:color w:val="auto"/>
                      <w:szCs w:val="21"/>
                      <w:lang w:val="en-US" w:eastAsia="zh-CN"/>
                    </w:rPr>
                  </w:pPr>
                  <w:r>
                    <w:rPr>
                      <w:rFonts w:hint="eastAsia"/>
                      <w:color w:val="auto"/>
                      <w:szCs w:val="21"/>
                      <w:lang w:val="en-US" w:eastAsia="zh-CN"/>
                    </w:rPr>
                    <w:t>200</w:t>
                  </w:r>
                </w:p>
              </w:tc>
              <w:tc>
                <w:tcPr>
                  <w:tcW w:w="661" w:type="pct"/>
                  <w:tcBorders>
                    <w:tl2br w:val="nil"/>
                    <w:tr2bl w:val="nil"/>
                  </w:tcBorders>
                  <w:vAlign w:val="center"/>
                </w:tcPr>
                <w:p>
                  <w:pPr>
                    <w:wordWrap w:val="0"/>
                    <w:adjustRightInd w:val="0"/>
                    <w:snapToGrid w:val="0"/>
                    <w:jc w:val="center"/>
                    <w:rPr>
                      <w:color w:val="auto"/>
                      <w:szCs w:val="21"/>
                    </w:rPr>
                  </w:pPr>
                  <w:r>
                    <w:rPr>
                      <w:color w:val="auto"/>
                      <w:szCs w:val="21"/>
                    </w:rPr>
                    <w:t>10</w:t>
                  </w:r>
                </w:p>
              </w:tc>
              <w:tc>
                <w:tcPr>
                  <w:tcW w:w="1034" w:type="pct"/>
                  <w:tcBorders>
                    <w:tl2br w:val="nil"/>
                    <w:tr2bl w:val="nil"/>
                  </w:tcBorders>
                  <w:vAlign w:val="center"/>
                </w:tcPr>
                <w:p>
                  <w:pPr>
                    <w:wordWrap w:val="0"/>
                    <w:adjustRightInd w:val="0"/>
                    <w:snapToGrid w:val="0"/>
                    <w:jc w:val="center"/>
                    <w:rPr>
                      <w:rFonts w:hint="default" w:eastAsia="宋体"/>
                      <w:color w:val="auto"/>
                      <w:szCs w:val="21"/>
                      <w:lang w:val="en-US" w:eastAsia="zh-CN"/>
                    </w:rPr>
                  </w:pPr>
                  <w:r>
                    <w:rPr>
                      <w:rFonts w:hint="eastAsia"/>
                      <w:color w:val="auto"/>
                      <w:szCs w:val="21"/>
                      <w:lang w:val="en-US" w:eastAsia="zh-CN"/>
                    </w:rPr>
                    <w:t>38.91</w:t>
                  </w:r>
                </w:p>
              </w:tc>
              <w:tc>
                <w:tcPr>
                  <w:tcW w:w="700" w:type="pct"/>
                  <w:tcBorders>
                    <w:tl2br w:val="nil"/>
                    <w:tr2bl w:val="nil"/>
                  </w:tcBorders>
                  <w:vAlign w:val="center"/>
                </w:tcPr>
                <w:p>
                  <w:pPr>
                    <w:wordWrap w:val="0"/>
                    <w:adjustRightInd w:val="0"/>
                    <w:snapToGrid w:val="0"/>
                    <w:jc w:val="center"/>
                    <w:rPr>
                      <w:rFonts w:hint="eastAsia" w:eastAsia="宋体"/>
                      <w:color w:val="auto"/>
                      <w:szCs w:val="21"/>
                      <w:lang w:eastAsia="zh-CN"/>
                    </w:rPr>
                  </w:pPr>
                  <w:r>
                    <w:rPr>
                      <w:rFonts w:hint="eastAsia"/>
                      <w:color w:val="auto"/>
                      <w:szCs w:val="21"/>
                      <w:lang w:eastAsia="zh-CN"/>
                    </w:rPr>
                    <w:t>22000</w:t>
                  </w:r>
                </w:p>
              </w:tc>
              <w:tc>
                <w:tcPr>
                  <w:tcW w:w="603" w:type="pct"/>
                  <w:tcBorders>
                    <w:tl2br w:val="nil"/>
                    <w:tr2bl w:val="nil"/>
                  </w:tcBorders>
                  <w:vAlign w:val="center"/>
                </w:tcPr>
                <w:p>
                  <w:pPr>
                    <w:wordWrap w:val="0"/>
                    <w:adjustRightInd w:val="0"/>
                    <w:snapToGrid w:val="0"/>
                    <w:jc w:val="center"/>
                    <w:rPr>
                      <w:color w:val="auto"/>
                      <w:szCs w:val="21"/>
                    </w:rPr>
                  </w:pPr>
                  <w:r>
                    <w:rPr>
                      <w:color w:val="auto"/>
                      <w:szCs w:val="21"/>
                    </w:rPr>
                    <w:t>8</w:t>
                  </w:r>
                </w:p>
              </w:tc>
              <w:tc>
                <w:tcPr>
                  <w:tcW w:w="676" w:type="pct"/>
                  <w:tcBorders>
                    <w:tl2br w:val="nil"/>
                    <w:tr2bl w:val="nil"/>
                  </w:tcBorders>
                  <w:vAlign w:val="center"/>
                </w:tcPr>
                <w:p>
                  <w:pPr>
                    <w:wordWrap w:val="0"/>
                    <w:adjustRightInd w:val="0"/>
                    <w:snapToGrid w:val="0"/>
                    <w:jc w:val="center"/>
                    <w:rPr>
                      <w:rFonts w:hint="default" w:eastAsia="宋体"/>
                      <w:color w:val="auto"/>
                      <w:szCs w:val="21"/>
                      <w:lang w:val="en-US" w:eastAsia="zh-CN"/>
                    </w:rPr>
                  </w:pPr>
                  <w:r>
                    <w:rPr>
                      <w:rFonts w:hint="eastAsia"/>
                      <w:color w:val="auto"/>
                      <w:szCs w:val="21"/>
                      <w:lang w:val="en-US" w:eastAsia="zh-CN"/>
                    </w:rPr>
                    <w:t>292</w:t>
                  </w:r>
                </w:p>
              </w:tc>
            </w:tr>
          </w:tbl>
          <w:p>
            <w:pPr>
              <w:wordWrap w:val="0"/>
              <w:adjustRightInd w:val="0"/>
              <w:snapToGrid w:val="0"/>
              <w:spacing w:line="360" w:lineRule="auto"/>
              <w:ind w:firstLine="480" w:firstLineChars="200"/>
              <w:rPr>
                <w:color w:val="auto"/>
                <w:sz w:val="24"/>
              </w:rPr>
            </w:pPr>
            <w:r>
              <w:rPr>
                <w:rFonts w:hint="eastAsia"/>
                <w:color w:val="auto"/>
                <w:sz w:val="24"/>
                <w:lang w:val="en-US"/>
              </w:rPr>
              <w:t>根据《省生态环境厅关于深</w:t>
            </w:r>
            <w:r>
              <w:rPr>
                <w:rFonts w:hint="eastAsia"/>
                <w:color w:val="auto"/>
                <w:sz w:val="24"/>
                <w:lang w:val="en-US" w:eastAsia="zh-CN"/>
              </w:rPr>
              <w:t>入</w:t>
            </w:r>
            <w:r>
              <w:rPr>
                <w:rFonts w:hint="eastAsia"/>
                <w:color w:val="auto"/>
                <w:sz w:val="24"/>
                <w:lang w:val="en-US"/>
              </w:rPr>
              <w:t>开展涉VOCs治理重点工作核查的通知》（苏环办〔2022〕218号）要求：“活性炭更换周期一般不应超过累计运行500小时或3个月”。本项目活性炭更换周期计算值大于苏环办〔2022〕218号要求，</w:t>
            </w:r>
            <w:r>
              <w:rPr>
                <w:rFonts w:hint="eastAsia"/>
                <w:color w:val="auto"/>
                <w:sz w:val="24"/>
                <w:lang w:val="en-US" w:eastAsia="zh-CN"/>
              </w:rPr>
              <w:t>对照文件相关规定，</w:t>
            </w:r>
            <w:r>
              <w:rPr>
                <w:rFonts w:hint="eastAsia"/>
                <w:color w:val="auto"/>
                <w:sz w:val="24"/>
                <w:lang w:val="en-US"/>
              </w:rPr>
              <w:t>由于活性炭在使用一定时间后会饱和，需定期进行更换</w:t>
            </w:r>
            <w:r>
              <w:rPr>
                <w:rFonts w:hAnsiTheme="minorEastAsia" w:eastAsiaTheme="minorEastAsia"/>
                <w:bCs/>
                <w:color w:val="auto"/>
                <w:sz w:val="24"/>
                <w:lang w:bidi="en-US"/>
              </w:rPr>
              <w:t>。</w:t>
            </w:r>
            <w:r>
              <w:rPr>
                <w:color w:val="auto"/>
                <w:sz w:val="24"/>
              </w:rPr>
              <w:t>建议企业调漆、喷漆、晾干等工序废气治理装置的活性炭每</w:t>
            </w:r>
            <w:r>
              <w:rPr>
                <w:rFonts w:hint="eastAsia"/>
                <w:color w:val="auto"/>
                <w:sz w:val="24"/>
              </w:rPr>
              <w:t>三</w:t>
            </w:r>
            <w:r>
              <w:rPr>
                <w:color w:val="auto"/>
                <w:sz w:val="24"/>
              </w:rPr>
              <w:t>个月更换一次</w:t>
            </w:r>
            <w:r>
              <w:rPr>
                <w:rFonts w:hint="eastAsia"/>
                <w:color w:val="auto"/>
                <w:sz w:val="24"/>
                <w:lang w:eastAsia="zh-CN"/>
              </w:rPr>
              <w:t>，一年更换</w:t>
            </w:r>
            <w:r>
              <w:rPr>
                <w:rFonts w:hint="eastAsia"/>
                <w:color w:val="auto"/>
                <w:sz w:val="24"/>
                <w:lang w:val="en-US" w:eastAsia="zh-CN"/>
              </w:rPr>
              <w:t>4次</w:t>
            </w:r>
            <w:r>
              <w:rPr>
                <w:color w:val="auto"/>
                <w:sz w:val="24"/>
              </w:rPr>
              <w:t>。根据新鲜活性炭用量</w:t>
            </w:r>
            <w:r>
              <w:rPr>
                <w:rFonts w:hint="eastAsia"/>
                <w:color w:val="auto"/>
                <w:sz w:val="24"/>
                <w:lang w:eastAsia="zh-CN"/>
              </w:rPr>
              <w:t>（</w:t>
            </w:r>
            <w:r>
              <w:rPr>
                <w:rFonts w:hint="eastAsia"/>
                <w:color w:val="auto"/>
                <w:sz w:val="24"/>
                <w:lang w:val="en-US" w:eastAsia="zh-CN"/>
              </w:rPr>
              <w:t>0.2*4=0.8</w:t>
            </w:r>
            <w:r>
              <w:rPr>
                <w:color w:val="auto"/>
                <w:sz w:val="24"/>
              </w:rPr>
              <w:t>t/a</w:t>
            </w:r>
            <w:r>
              <w:rPr>
                <w:rFonts w:hint="eastAsia"/>
                <w:color w:val="auto"/>
                <w:sz w:val="24"/>
                <w:lang w:eastAsia="zh-CN"/>
              </w:rPr>
              <w:t>）</w:t>
            </w:r>
            <w:r>
              <w:rPr>
                <w:color w:val="auto"/>
                <w:sz w:val="24"/>
              </w:rPr>
              <w:t>及吸附废气</w:t>
            </w:r>
            <w:r>
              <w:rPr>
                <w:rFonts w:hint="eastAsia"/>
                <w:color w:val="auto"/>
                <w:sz w:val="24"/>
                <w:lang w:eastAsia="zh-CN"/>
              </w:rPr>
              <w:t>（</w:t>
            </w:r>
            <w:r>
              <w:rPr>
                <w:rFonts w:hint="eastAsia"/>
                <w:color w:val="auto"/>
                <w:sz w:val="24"/>
                <w:lang w:val="en-US" w:eastAsia="zh-CN"/>
              </w:rPr>
              <w:t>1.7955</w:t>
            </w:r>
            <w:r>
              <w:rPr>
                <w:color w:val="auto"/>
                <w:sz w:val="24"/>
              </w:rPr>
              <w:t>t/a</w:t>
            </w:r>
            <w:r>
              <w:rPr>
                <w:rFonts w:hint="eastAsia"/>
                <w:color w:val="auto"/>
                <w:sz w:val="24"/>
                <w:lang w:eastAsia="zh-CN"/>
              </w:rPr>
              <w:t>）</w:t>
            </w:r>
            <w:r>
              <w:rPr>
                <w:color w:val="auto"/>
                <w:sz w:val="24"/>
              </w:rPr>
              <w:t>的量算得全厂废活性炭产生量约为</w:t>
            </w:r>
            <w:r>
              <w:rPr>
                <w:rFonts w:hint="eastAsia"/>
                <w:color w:val="auto"/>
                <w:sz w:val="24"/>
                <w:lang w:val="en-US" w:eastAsia="zh-CN"/>
              </w:rPr>
              <w:t>2.5955</w:t>
            </w:r>
            <w:r>
              <w:rPr>
                <w:color w:val="auto"/>
                <w:sz w:val="24"/>
              </w:rPr>
              <w:t>t/a，经查询属于危险废物（HW49 900-039-49）。</w:t>
            </w:r>
          </w:p>
          <w:p>
            <w:pPr>
              <w:wordWrap w:val="0"/>
              <w:spacing w:line="360" w:lineRule="auto"/>
              <w:ind w:firstLine="482" w:firstLineChars="200"/>
              <w:rPr>
                <w:color w:val="auto"/>
                <w:sz w:val="24"/>
              </w:rPr>
            </w:pPr>
            <w:r>
              <w:rPr>
                <w:b/>
                <w:color w:val="auto"/>
                <w:kern w:val="0"/>
                <w:sz w:val="24"/>
                <w:lang w:bidi="ar"/>
              </w:rPr>
              <w:t>1.4</w:t>
            </w:r>
            <w:r>
              <w:rPr>
                <w:b/>
                <w:bCs/>
                <w:color w:val="auto"/>
                <w:sz w:val="24"/>
                <w:lang w:bidi="ar"/>
              </w:rPr>
              <w:t>卫生防护距离的设置</w:t>
            </w:r>
            <w:r>
              <w:rPr>
                <w:color w:val="auto"/>
                <w:sz w:val="24"/>
                <w:lang w:bidi="ar"/>
              </w:rPr>
              <w:t>：</w:t>
            </w:r>
          </w:p>
          <w:p>
            <w:pPr>
              <w:wordWrap w:val="0"/>
              <w:autoSpaceDE w:val="0"/>
              <w:adjustRightInd w:val="0"/>
              <w:snapToGrid w:val="0"/>
              <w:spacing w:line="360" w:lineRule="auto"/>
              <w:ind w:right="105" w:rightChars="50" w:firstLine="480" w:firstLineChars="200"/>
              <w:rPr>
                <w:color w:val="auto"/>
                <w:sz w:val="24"/>
                <w:lang w:bidi="ar"/>
              </w:rPr>
            </w:pPr>
            <w:r>
              <w:rPr>
                <w:color w:val="auto"/>
                <w:sz w:val="24"/>
                <w:lang w:bidi="ar"/>
              </w:rPr>
              <w:t>根据《环境影响评价技术导则 大气环境》（HJ2.2-2018）以及《大气有害物质无组织排放卫生防护距离推导技术导则》（GB/T39499-2020），无组织排放有害气体的生产单元（生产区、车间或工段）与居住区之间应设置卫生防护距离，计算公式如下：</w:t>
            </w:r>
          </w:p>
          <w:p>
            <w:pPr>
              <w:wordWrap w:val="0"/>
              <w:spacing w:line="360" w:lineRule="auto"/>
              <w:ind w:firstLine="420" w:firstLineChars="200"/>
              <w:jc w:val="center"/>
              <w:rPr>
                <w:color w:val="auto"/>
                <w:sz w:val="24"/>
              </w:rPr>
            </w:pPr>
            <w:r>
              <w:rPr>
                <w:color w:val="auto"/>
                <w:szCs w:val="21"/>
                <w:lang w:bidi="ar"/>
              </w:rPr>
              <w:fldChar w:fldCharType="begin"/>
            </w:r>
            <w:r>
              <w:rPr>
                <w:color w:val="auto"/>
              </w:rPr>
              <w:instrText xml:space="preserve"> INCLUDEPICTURE "I:\\丽泰\\丽泰环评\\" \* MERGEFORMAT \d </w:instrText>
            </w:r>
            <w:r>
              <w:rPr>
                <w:color w:val="auto"/>
                <w:szCs w:val="21"/>
                <w:lang w:bidi="ar"/>
              </w:rPr>
              <w:fldChar w:fldCharType="separate"/>
            </w:r>
            <w:r>
              <w:rPr>
                <w:color w:val="auto"/>
                <w:szCs w:val="21"/>
                <w:lang w:bidi="ar"/>
              </w:rPr>
              <w:drawing>
                <wp:inline distT="0" distB="0" distL="114300" distR="114300">
                  <wp:extent cx="1682115" cy="422910"/>
                  <wp:effectExtent l="0" t="0" r="13335" b="15875"/>
                  <wp:docPr id="2"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descr="IMG_256"/>
                          <pic:cNvPicPr>
                            <a:picLocks noChangeAspect="1"/>
                          </pic:cNvPicPr>
                        </pic:nvPicPr>
                        <pic:blipFill>
                          <a:blip r:embed="rId20"/>
                          <a:stretch>
                            <a:fillRect/>
                          </a:stretch>
                        </pic:blipFill>
                        <pic:spPr>
                          <a:xfrm>
                            <a:off x="0" y="0"/>
                            <a:ext cx="1682115" cy="422910"/>
                          </a:xfrm>
                          <a:prstGeom prst="rect">
                            <a:avLst/>
                          </a:prstGeom>
                          <a:noFill/>
                          <a:ln>
                            <a:noFill/>
                          </a:ln>
                        </pic:spPr>
                      </pic:pic>
                    </a:graphicData>
                  </a:graphic>
                </wp:inline>
              </w:drawing>
            </w:r>
            <w:r>
              <w:rPr>
                <w:color w:val="auto"/>
                <w:szCs w:val="21"/>
                <w:lang w:bidi="ar"/>
              </w:rPr>
              <w:fldChar w:fldCharType="end"/>
            </w:r>
          </w:p>
          <w:p>
            <w:pPr>
              <w:wordWrap w:val="0"/>
              <w:autoSpaceDE w:val="0"/>
              <w:adjustRightInd w:val="0"/>
              <w:snapToGrid w:val="0"/>
              <w:spacing w:line="360" w:lineRule="auto"/>
              <w:ind w:left="105" w:leftChars="50" w:right="105" w:rightChars="50" w:firstLine="420" w:firstLineChars="200"/>
              <w:jc w:val="center"/>
              <w:rPr>
                <w:color w:val="auto"/>
                <w:sz w:val="24"/>
              </w:rPr>
            </w:pPr>
            <w:r>
              <w:rPr>
                <w:color w:val="auto"/>
                <w:szCs w:val="21"/>
                <w:lang w:bidi="ar"/>
              </w:rPr>
              <w:fldChar w:fldCharType="begin"/>
            </w:r>
            <w:r>
              <w:rPr>
                <w:color w:val="auto"/>
              </w:rPr>
              <w:instrText xml:space="preserve"> INCLUDEPICTURE "I:\\丽泰\\丽泰环评\\" \* MERGEFORMAT \d </w:instrText>
            </w:r>
            <w:r>
              <w:rPr>
                <w:color w:val="auto"/>
                <w:szCs w:val="21"/>
                <w:lang w:bidi="ar"/>
              </w:rPr>
              <w:fldChar w:fldCharType="separate"/>
            </w:r>
            <w:r>
              <w:rPr>
                <w:color w:val="auto"/>
                <w:szCs w:val="21"/>
                <w:lang w:bidi="ar"/>
              </w:rPr>
              <w:drawing>
                <wp:inline distT="0" distB="0" distL="114300" distR="114300">
                  <wp:extent cx="584200" cy="421005"/>
                  <wp:effectExtent l="0" t="0" r="6350" b="17145"/>
                  <wp:docPr id="3" name="图片 11"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1" descr="IMG_257"/>
                          <pic:cNvPicPr>
                            <a:picLocks noChangeAspect="1"/>
                          </pic:cNvPicPr>
                        </pic:nvPicPr>
                        <pic:blipFill>
                          <a:blip r:embed="rId21"/>
                          <a:stretch>
                            <a:fillRect/>
                          </a:stretch>
                        </pic:blipFill>
                        <pic:spPr>
                          <a:xfrm>
                            <a:off x="0" y="0"/>
                            <a:ext cx="584200" cy="421005"/>
                          </a:xfrm>
                          <a:prstGeom prst="rect">
                            <a:avLst/>
                          </a:prstGeom>
                          <a:noFill/>
                          <a:ln>
                            <a:noFill/>
                          </a:ln>
                        </pic:spPr>
                      </pic:pic>
                    </a:graphicData>
                  </a:graphic>
                </wp:inline>
              </w:drawing>
            </w:r>
            <w:r>
              <w:rPr>
                <w:color w:val="auto"/>
                <w:szCs w:val="21"/>
                <w:lang w:bidi="ar"/>
              </w:rPr>
              <w:fldChar w:fldCharType="end"/>
            </w:r>
          </w:p>
          <w:p>
            <w:pPr>
              <w:wordWrap w:val="0"/>
              <w:autoSpaceDE w:val="0"/>
              <w:adjustRightInd w:val="0"/>
              <w:snapToGrid w:val="0"/>
              <w:spacing w:line="360" w:lineRule="auto"/>
              <w:ind w:left="105" w:leftChars="50" w:right="105" w:rightChars="50" w:firstLine="480" w:firstLineChars="200"/>
              <w:rPr>
                <w:color w:val="auto"/>
                <w:sz w:val="24"/>
              </w:rPr>
            </w:pPr>
            <w:r>
              <w:rPr>
                <w:color w:val="auto"/>
                <w:sz w:val="24"/>
                <w:lang w:bidi="ar"/>
              </w:rPr>
              <w:t>式中：Cm--标准浓度限值（mg/m</w:t>
            </w:r>
            <w:r>
              <w:rPr>
                <w:color w:val="auto"/>
                <w:sz w:val="24"/>
                <w:vertAlign w:val="superscript"/>
                <w:lang w:bidi="ar"/>
              </w:rPr>
              <w:t>3</w:t>
            </w:r>
            <w:r>
              <w:rPr>
                <w:color w:val="auto"/>
                <w:sz w:val="24"/>
                <w:lang w:bidi="ar"/>
              </w:rPr>
              <w:t>）；</w:t>
            </w:r>
          </w:p>
          <w:p>
            <w:pPr>
              <w:wordWrap w:val="0"/>
              <w:autoSpaceDE w:val="0"/>
              <w:adjustRightInd w:val="0"/>
              <w:snapToGrid w:val="0"/>
              <w:spacing w:line="360" w:lineRule="auto"/>
              <w:ind w:left="105" w:leftChars="50" w:right="105" w:rightChars="50" w:firstLine="480" w:firstLineChars="200"/>
              <w:rPr>
                <w:color w:val="auto"/>
                <w:sz w:val="24"/>
              </w:rPr>
            </w:pPr>
            <w:r>
              <w:rPr>
                <w:color w:val="auto"/>
                <w:sz w:val="24"/>
                <w:lang w:bidi="ar"/>
              </w:rPr>
              <w:t>Qc--有害气体无组织排放量可以达到的控制水平（kg/h）；</w:t>
            </w:r>
          </w:p>
          <w:p>
            <w:pPr>
              <w:wordWrap w:val="0"/>
              <w:autoSpaceDE w:val="0"/>
              <w:adjustRightInd w:val="0"/>
              <w:snapToGrid w:val="0"/>
              <w:spacing w:line="360" w:lineRule="auto"/>
              <w:ind w:left="105" w:leftChars="50" w:right="105" w:rightChars="50" w:firstLine="480" w:firstLineChars="200"/>
              <w:rPr>
                <w:color w:val="auto"/>
                <w:sz w:val="24"/>
              </w:rPr>
            </w:pPr>
            <w:r>
              <w:rPr>
                <w:color w:val="auto"/>
                <w:sz w:val="24"/>
                <w:lang w:bidi="ar"/>
              </w:rPr>
              <w:t>r--有害气体无组织排放源所在生产单元的等效半径（m），r=（S/π）</w:t>
            </w:r>
            <w:r>
              <w:rPr>
                <w:color w:val="auto"/>
                <w:sz w:val="24"/>
                <w:vertAlign w:val="superscript"/>
                <w:lang w:bidi="ar"/>
              </w:rPr>
              <w:t>0.5</w:t>
            </w:r>
            <w:r>
              <w:rPr>
                <w:color w:val="auto"/>
                <w:sz w:val="24"/>
                <w:lang w:bidi="ar"/>
              </w:rPr>
              <w:t>；</w:t>
            </w:r>
          </w:p>
          <w:p>
            <w:pPr>
              <w:wordWrap w:val="0"/>
              <w:autoSpaceDE w:val="0"/>
              <w:adjustRightInd w:val="0"/>
              <w:snapToGrid w:val="0"/>
              <w:spacing w:line="360" w:lineRule="auto"/>
              <w:ind w:left="105" w:leftChars="50" w:right="105" w:rightChars="50" w:firstLine="480" w:firstLineChars="200"/>
              <w:rPr>
                <w:color w:val="auto"/>
                <w:sz w:val="24"/>
              </w:rPr>
            </w:pPr>
            <w:r>
              <w:rPr>
                <w:color w:val="auto"/>
                <w:sz w:val="24"/>
                <w:lang w:bidi="ar"/>
              </w:rPr>
              <w:t>L--工业企业所需的卫生防护距离（m）；</w:t>
            </w:r>
          </w:p>
          <w:p>
            <w:pPr>
              <w:wordWrap w:val="0"/>
              <w:autoSpaceDE w:val="0"/>
              <w:adjustRightInd w:val="0"/>
              <w:snapToGrid w:val="0"/>
              <w:spacing w:line="360" w:lineRule="auto"/>
              <w:ind w:left="105" w:leftChars="50" w:right="105" w:rightChars="50" w:firstLine="480" w:firstLineChars="200"/>
              <w:rPr>
                <w:color w:val="auto"/>
                <w:sz w:val="24"/>
              </w:rPr>
            </w:pPr>
            <w:r>
              <w:rPr>
                <w:color w:val="auto"/>
                <w:sz w:val="24"/>
                <w:lang w:bidi="ar"/>
              </w:rPr>
              <w:t>A、B、C、D--计算系数。</w:t>
            </w:r>
          </w:p>
          <w:p>
            <w:pPr>
              <w:wordWrap w:val="0"/>
              <w:autoSpaceDE w:val="0"/>
              <w:adjustRightInd w:val="0"/>
              <w:snapToGrid w:val="0"/>
              <w:spacing w:line="360" w:lineRule="auto"/>
              <w:ind w:left="105" w:leftChars="50" w:right="105" w:rightChars="50" w:firstLine="480" w:firstLineChars="200"/>
              <w:rPr>
                <w:color w:val="auto"/>
                <w:sz w:val="24"/>
              </w:rPr>
            </w:pPr>
            <w:r>
              <w:rPr>
                <w:color w:val="auto"/>
                <w:sz w:val="24"/>
                <w:lang w:bidi="ar"/>
              </w:rPr>
              <w:t>根据所在地平均风速及工业企业大气污染源构成类别查取。</w:t>
            </w:r>
          </w:p>
          <w:p>
            <w:pPr>
              <w:wordWrap w:val="0"/>
              <w:autoSpaceDE w:val="0"/>
              <w:adjustRightInd w:val="0"/>
              <w:snapToGrid w:val="0"/>
              <w:spacing w:line="360" w:lineRule="auto"/>
              <w:ind w:left="105" w:leftChars="50" w:right="105" w:rightChars="50" w:firstLine="480" w:firstLineChars="200"/>
              <w:rPr>
                <w:color w:val="auto"/>
                <w:sz w:val="24"/>
              </w:rPr>
            </w:pPr>
            <w:r>
              <w:rPr>
                <w:color w:val="auto"/>
                <w:sz w:val="24"/>
                <w:lang w:bidi="ar"/>
              </w:rPr>
              <w:t>无组织排放多种有害气体时，按Qc/Cm的最大值计算其所需的卫生防护距离。卫生防护距离在100m内时，级差为50m；超过100m，但小于1000m时，级差为100m。当按两种或两种以上有害气体的Qc/Cm计算卫生防护距离在同一级别时，该类工业企业的卫生防护距离提高一级。</w:t>
            </w:r>
          </w:p>
          <w:p>
            <w:pPr>
              <w:wordWrap w:val="0"/>
              <w:autoSpaceDE w:val="0"/>
              <w:adjustRightInd w:val="0"/>
              <w:snapToGrid w:val="0"/>
              <w:spacing w:line="360" w:lineRule="auto"/>
              <w:ind w:left="105" w:leftChars="50" w:right="105" w:rightChars="50" w:firstLine="480" w:firstLineChars="200"/>
              <w:rPr>
                <w:color w:val="auto"/>
                <w:sz w:val="24"/>
              </w:rPr>
            </w:pPr>
            <w:r>
              <w:rPr>
                <w:snapToGrid w:val="0"/>
                <w:color w:val="auto"/>
                <w:sz w:val="24"/>
              </w:rPr>
              <w:t>淮安市淮阴区近5年平均风速为3.2m/s，则</w:t>
            </w:r>
            <w:r>
              <w:rPr>
                <w:color w:val="auto"/>
                <w:sz w:val="24"/>
                <w:lang w:bidi="ar"/>
              </w:rPr>
              <w:t>A、B、C、D值的选取分别为470、0.021、1.85、0.84，A、B、C、D值的选取见下表。</w:t>
            </w:r>
          </w:p>
          <w:p>
            <w:pPr>
              <w:wordWrap w:val="0"/>
              <w:snapToGrid w:val="0"/>
              <w:spacing w:line="360" w:lineRule="auto"/>
              <w:jc w:val="center"/>
              <w:rPr>
                <w:b/>
                <w:color w:val="auto"/>
                <w:szCs w:val="21"/>
              </w:rPr>
            </w:pPr>
            <w:r>
              <w:rPr>
                <w:b/>
                <w:color w:val="auto"/>
                <w:szCs w:val="21"/>
                <w:lang w:bidi="ar"/>
              </w:rPr>
              <w:t>表4.2-1</w:t>
            </w:r>
            <w:r>
              <w:rPr>
                <w:rFonts w:hint="eastAsia"/>
                <w:b/>
                <w:color w:val="auto"/>
                <w:szCs w:val="21"/>
                <w:lang w:val="en-US" w:eastAsia="zh-CN" w:bidi="ar"/>
              </w:rPr>
              <w:t>3</w:t>
            </w:r>
            <w:r>
              <w:rPr>
                <w:b/>
                <w:color w:val="auto"/>
                <w:szCs w:val="21"/>
                <w:lang w:bidi="ar"/>
              </w:rPr>
              <w:t xml:space="preserve"> 卫生防护距离计算系数</w:t>
            </w:r>
          </w:p>
          <w:tbl>
            <w:tblPr>
              <w:tblStyle w:val="20"/>
              <w:tblW w:w="4996" w:type="pct"/>
              <w:jc w:val="center"/>
              <w:tblBorders>
                <w:top w:val="single" w:color="auto" w:sz="12" w:space="0"/>
                <w:left w:val="none" w:color="auto" w:sz="6" w:space="0"/>
                <w:bottom w:val="single" w:color="auto" w:sz="12" w:space="0"/>
                <w:right w:val="none" w:color="auto" w:sz="6" w:space="0"/>
                <w:insideH w:val="single" w:color="auto" w:sz="4" w:space="0"/>
                <w:insideV w:val="single" w:color="auto" w:sz="4" w:space="0"/>
              </w:tblBorders>
              <w:tblLayout w:type="autofit"/>
              <w:tblCellMar>
                <w:top w:w="0" w:type="dxa"/>
                <w:left w:w="108" w:type="dxa"/>
                <w:bottom w:w="0" w:type="dxa"/>
                <w:right w:w="108" w:type="dxa"/>
              </w:tblCellMar>
            </w:tblPr>
            <w:tblGrid>
              <w:gridCol w:w="548"/>
              <w:gridCol w:w="946"/>
              <w:gridCol w:w="828"/>
              <w:gridCol w:w="828"/>
              <w:gridCol w:w="832"/>
              <w:gridCol w:w="829"/>
              <w:gridCol w:w="829"/>
              <w:gridCol w:w="829"/>
              <w:gridCol w:w="829"/>
              <w:gridCol w:w="829"/>
              <w:gridCol w:w="836"/>
            </w:tblGrid>
            <w:tr>
              <w:tblPrEx>
                <w:tblBorders>
                  <w:top w:val="single" w:color="auto" w:sz="12" w:space="0"/>
                  <w:left w:val="none" w:color="auto" w:sz="6" w:space="0"/>
                  <w:bottom w:val="single" w:color="auto" w:sz="12" w:space="0"/>
                  <w:right w:val="none" w:color="auto" w:sz="6"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06" w:type="pct"/>
                  <w:vMerge w:val="restart"/>
                  <w:tcBorders>
                    <w:top w:val="single" w:color="auto" w:sz="12" w:space="0"/>
                    <w:left w:val="nil"/>
                    <w:bottom w:val="single" w:color="auto" w:sz="4" w:space="0"/>
                    <w:right w:val="single" w:color="auto" w:sz="4" w:space="0"/>
                  </w:tcBorders>
                  <w:vAlign w:val="center"/>
                </w:tcPr>
                <w:p>
                  <w:pPr>
                    <w:wordWrap w:val="0"/>
                    <w:snapToGrid w:val="0"/>
                    <w:jc w:val="center"/>
                    <w:rPr>
                      <w:b/>
                      <w:color w:val="auto"/>
                      <w:szCs w:val="21"/>
                    </w:rPr>
                  </w:pPr>
                  <w:r>
                    <w:rPr>
                      <w:b/>
                      <w:color w:val="auto"/>
                      <w:szCs w:val="21"/>
                      <w:lang w:bidi="ar"/>
                    </w:rPr>
                    <w:t>计</w:t>
                  </w:r>
                </w:p>
                <w:p>
                  <w:pPr>
                    <w:wordWrap w:val="0"/>
                    <w:snapToGrid w:val="0"/>
                    <w:jc w:val="center"/>
                    <w:rPr>
                      <w:b/>
                      <w:color w:val="auto"/>
                      <w:szCs w:val="21"/>
                    </w:rPr>
                  </w:pPr>
                  <w:r>
                    <w:rPr>
                      <w:b/>
                      <w:color w:val="auto"/>
                      <w:szCs w:val="21"/>
                      <w:lang w:bidi="ar"/>
                    </w:rPr>
                    <w:t>算</w:t>
                  </w:r>
                </w:p>
                <w:p>
                  <w:pPr>
                    <w:wordWrap w:val="0"/>
                    <w:snapToGrid w:val="0"/>
                    <w:jc w:val="center"/>
                    <w:rPr>
                      <w:b/>
                      <w:color w:val="auto"/>
                      <w:szCs w:val="21"/>
                    </w:rPr>
                  </w:pPr>
                  <w:r>
                    <w:rPr>
                      <w:b/>
                      <w:color w:val="auto"/>
                      <w:szCs w:val="21"/>
                      <w:lang w:bidi="ar"/>
                    </w:rPr>
                    <w:t>系</w:t>
                  </w:r>
                </w:p>
                <w:p>
                  <w:pPr>
                    <w:wordWrap w:val="0"/>
                    <w:snapToGrid w:val="0"/>
                    <w:jc w:val="center"/>
                    <w:rPr>
                      <w:b/>
                      <w:color w:val="auto"/>
                      <w:szCs w:val="21"/>
                    </w:rPr>
                  </w:pPr>
                  <w:r>
                    <w:rPr>
                      <w:b/>
                      <w:color w:val="auto"/>
                      <w:szCs w:val="21"/>
                      <w:lang w:bidi="ar"/>
                    </w:rPr>
                    <w:t>数</w:t>
                  </w:r>
                </w:p>
              </w:tc>
              <w:tc>
                <w:tcPr>
                  <w:tcW w:w="528" w:type="pct"/>
                  <w:vMerge w:val="restart"/>
                  <w:tcBorders>
                    <w:top w:val="single" w:color="auto" w:sz="12" w:space="0"/>
                    <w:left w:val="single" w:color="auto" w:sz="4" w:space="0"/>
                    <w:bottom w:val="single" w:color="auto" w:sz="4" w:space="0"/>
                    <w:right w:val="single" w:color="auto" w:sz="4" w:space="0"/>
                  </w:tcBorders>
                  <w:vAlign w:val="center"/>
                </w:tcPr>
                <w:p>
                  <w:pPr>
                    <w:wordWrap w:val="0"/>
                    <w:snapToGrid w:val="0"/>
                    <w:jc w:val="center"/>
                    <w:rPr>
                      <w:b/>
                      <w:color w:val="auto"/>
                      <w:szCs w:val="21"/>
                    </w:rPr>
                  </w:pPr>
                  <w:r>
                    <w:rPr>
                      <w:b/>
                      <w:color w:val="auto"/>
                      <w:szCs w:val="21"/>
                      <w:lang w:bidi="ar"/>
                    </w:rPr>
                    <w:t>5年平均风速</w:t>
                  </w:r>
                </w:p>
                <w:p>
                  <w:pPr>
                    <w:wordWrap w:val="0"/>
                    <w:snapToGrid w:val="0"/>
                    <w:jc w:val="center"/>
                    <w:rPr>
                      <w:b/>
                      <w:color w:val="auto"/>
                      <w:szCs w:val="21"/>
                    </w:rPr>
                  </w:pPr>
                  <w:r>
                    <w:rPr>
                      <w:b/>
                      <w:color w:val="auto"/>
                      <w:szCs w:val="21"/>
                      <w:lang w:bidi="ar"/>
                    </w:rPr>
                    <w:t>m/s</w:t>
                  </w:r>
                </w:p>
              </w:tc>
              <w:tc>
                <w:tcPr>
                  <w:tcW w:w="4164" w:type="pct"/>
                  <w:gridSpan w:val="9"/>
                  <w:tcBorders>
                    <w:top w:val="single" w:color="auto" w:sz="12" w:space="0"/>
                    <w:left w:val="single" w:color="auto" w:sz="4" w:space="0"/>
                    <w:bottom w:val="single" w:color="auto" w:sz="4" w:space="0"/>
                    <w:right w:val="nil"/>
                  </w:tcBorders>
                  <w:vAlign w:val="center"/>
                </w:tcPr>
                <w:p>
                  <w:pPr>
                    <w:wordWrap w:val="0"/>
                    <w:snapToGrid w:val="0"/>
                    <w:jc w:val="center"/>
                    <w:rPr>
                      <w:b/>
                      <w:color w:val="auto"/>
                      <w:szCs w:val="21"/>
                    </w:rPr>
                  </w:pPr>
                  <w:r>
                    <w:rPr>
                      <w:b/>
                      <w:color w:val="auto"/>
                      <w:szCs w:val="21"/>
                      <w:lang w:bidi="ar"/>
                    </w:rPr>
                    <w:t>卫生防护距离L，m</w:t>
                  </w:r>
                </w:p>
              </w:tc>
            </w:tr>
            <w:tr>
              <w:tblPrEx>
                <w:tblBorders>
                  <w:top w:val="single" w:color="auto" w:sz="12" w:space="0"/>
                  <w:left w:val="none" w:color="auto" w:sz="6" w:space="0"/>
                  <w:bottom w:val="single" w:color="auto" w:sz="12" w:space="0"/>
                  <w:right w:val="none" w:color="auto" w:sz="6"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06" w:type="pct"/>
                  <w:vMerge w:val="continue"/>
                  <w:tcBorders>
                    <w:top w:val="single" w:color="auto" w:sz="12" w:space="0"/>
                    <w:left w:val="nil"/>
                    <w:bottom w:val="single" w:color="auto" w:sz="4" w:space="0"/>
                    <w:right w:val="single" w:color="auto" w:sz="4" w:space="0"/>
                  </w:tcBorders>
                  <w:vAlign w:val="center"/>
                </w:tcPr>
                <w:p>
                  <w:pPr>
                    <w:wordWrap w:val="0"/>
                    <w:rPr>
                      <w:color w:val="auto"/>
                      <w:szCs w:val="21"/>
                    </w:rPr>
                  </w:pPr>
                </w:p>
              </w:tc>
              <w:tc>
                <w:tcPr>
                  <w:tcW w:w="528" w:type="pct"/>
                  <w:vMerge w:val="continue"/>
                  <w:tcBorders>
                    <w:top w:val="single" w:color="auto" w:sz="12" w:space="0"/>
                    <w:left w:val="single" w:color="auto" w:sz="4" w:space="0"/>
                    <w:bottom w:val="single" w:color="auto" w:sz="4" w:space="0"/>
                    <w:right w:val="single" w:color="auto" w:sz="4" w:space="0"/>
                  </w:tcBorders>
                  <w:vAlign w:val="center"/>
                </w:tcPr>
                <w:p>
                  <w:pPr>
                    <w:wordWrap w:val="0"/>
                    <w:rPr>
                      <w:color w:val="auto"/>
                      <w:szCs w:val="21"/>
                    </w:rPr>
                  </w:pPr>
                </w:p>
              </w:tc>
              <w:tc>
                <w:tcPr>
                  <w:tcW w:w="1388" w:type="pct"/>
                  <w:gridSpan w:val="3"/>
                  <w:tcBorders>
                    <w:top w:val="single" w:color="auto" w:sz="4" w:space="0"/>
                    <w:left w:val="single" w:color="auto" w:sz="4" w:space="0"/>
                    <w:bottom w:val="single" w:color="auto" w:sz="4" w:space="0"/>
                    <w:right w:val="single" w:color="auto" w:sz="4" w:space="0"/>
                  </w:tcBorders>
                  <w:vAlign w:val="center"/>
                </w:tcPr>
                <w:p>
                  <w:pPr>
                    <w:wordWrap w:val="0"/>
                    <w:snapToGrid w:val="0"/>
                    <w:jc w:val="center"/>
                    <w:rPr>
                      <w:b/>
                      <w:color w:val="auto"/>
                      <w:szCs w:val="21"/>
                    </w:rPr>
                  </w:pPr>
                  <w:r>
                    <w:rPr>
                      <w:b/>
                      <w:color w:val="auto"/>
                      <w:szCs w:val="21"/>
                      <w:lang w:bidi="ar"/>
                    </w:rPr>
                    <w:t>L≤1000</w:t>
                  </w:r>
                </w:p>
              </w:tc>
              <w:tc>
                <w:tcPr>
                  <w:tcW w:w="1386" w:type="pct"/>
                  <w:gridSpan w:val="3"/>
                  <w:tcBorders>
                    <w:top w:val="single" w:color="auto" w:sz="4" w:space="0"/>
                    <w:left w:val="single" w:color="auto" w:sz="4" w:space="0"/>
                    <w:bottom w:val="single" w:color="auto" w:sz="4" w:space="0"/>
                    <w:right w:val="single" w:color="auto" w:sz="4" w:space="0"/>
                  </w:tcBorders>
                  <w:vAlign w:val="center"/>
                </w:tcPr>
                <w:p>
                  <w:pPr>
                    <w:wordWrap w:val="0"/>
                    <w:snapToGrid w:val="0"/>
                    <w:jc w:val="center"/>
                    <w:rPr>
                      <w:b/>
                      <w:color w:val="auto"/>
                      <w:szCs w:val="21"/>
                    </w:rPr>
                  </w:pPr>
                  <w:r>
                    <w:rPr>
                      <w:b/>
                      <w:color w:val="auto"/>
                      <w:szCs w:val="21"/>
                      <w:lang w:bidi="ar"/>
                    </w:rPr>
                    <w:t>1000＜L≤2000</w:t>
                  </w:r>
                </w:p>
              </w:tc>
              <w:tc>
                <w:tcPr>
                  <w:tcW w:w="1389" w:type="pct"/>
                  <w:gridSpan w:val="3"/>
                  <w:tcBorders>
                    <w:top w:val="single" w:color="auto" w:sz="4" w:space="0"/>
                    <w:left w:val="single" w:color="auto" w:sz="4" w:space="0"/>
                    <w:bottom w:val="single" w:color="auto" w:sz="4" w:space="0"/>
                    <w:right w:val="nil"/>
                  </w:tcBorders>
                  <w:vAlign w:val="center"/>
                </w:tcPr>
                <w:p>
                  <w:pPr>
                    <w:wordWrap w:val="0"/>
                    <w:snapToGrid w:val="0"/>
                    <w:jc w:val="center"/>
                    <w:rPr>
                      <w:b/>
                      <w:color w:val="auto"/>
                      <w:szCs w:val="21"/>
                    </w:rPr>
                  </w:pPr>
                  <w:r>
                    <w:rPr>
                      <w:b/>
                      <w:color w:val="auto"/>
                      <w:szCs w:val="21"/>
                      <w:lang w:bidi="ar"/>
                    </w:rPr>
                    <w:t>L＞2000</w:t>
                  </w:r>
                </w:p>
              </w:tc>
            </w:tr>
            <w:tr>
              <w:tblPrEx>
                <w:tblBorders>
                  <w:top w:val="single" w:color="auto" w:sz="12" w:space="0"/>
                  <w:left w:val="none" w:color="auto" w:sz="6" w:space="0"/>
                  <w:bottom w:val="single" w:color="auto" w:sz="12" w:space="0"/>
                  <w:right w:val="none" w:color="auto" w:sz="6"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06" w:type="pct"/>
                  <w:vMerge w:val="continue"/>
                  <w:tcBorders>
                    <w:top w:val="single" w:color="auto" w:sz="12" w:space="0"/>
                    <w:left w:val="nil"/>
                    <w:bottom w:val="single" w:color="auto" w:sz="4" w:space="0"/>
                    <w:right w:val="single" w:color="auto" w:sz="4" w:space="0"/>
                  </w:tcBorders>
                  <w:vAlign w:val="center"/>
                </w:tcPr>
                <w:p>
                  <w:pPr>
                    <w:wordWrap w:val="0"/>
                    <w:rPr>
                      <w:color w:val="auto"/>
                      <w:szCs w:val="21"/>
                    </w:rPr>
                  </w:pPr>
                </w:p>
              </w:tc>
              <w:tc>
                <w:tcPr>
                  <w:tcW w:w="528" w:type="pct"/>
                  <w:vMerge w:val="continue"/>
                  <w:tcBorders>
                    <w:top w:val="single" w:color="auto" w:sz="12" w:space="0"/>
                    <w:left w:val="single" w:color="auto" w:sz="4" w:space="0"/>
                    <w:bottom w:val="single" w:color="auto" w:sz="4" w:space="0"/>
                    <w:right w:val="single" w:color="auto" w:sz="4" w:space="0"/>
                  </w:tcBorders>
                  <w:vAlign w:val="center"/>
                </w:tcPr>
                <w:p>
                  <w:pPr>
                    <w:wordWrap w:val="0"/>
                    <w:rPr>
                      <w:color w:val="auto"/>
                      <w:szCs w:val="21"/>
                    </w:rPr>
                  </w:pPr>
                </w:p>
              </w:tc>
              <w:tc>
                <w:tcPr>
                  <w:tcW w:w="4164" w:type="pct"/>
                  <w:gridSpan w:val="9"/>
                  <w:tcBorders>
                    <w:top w:val="single" w:color="auto" w:sz="4" w:space="0"/>
                    <w:left w:val="single" w:color="auto" w:sz="4" w:space="0"/>
                    <w:bottom w:val="single" w:color="auto" w:sz="4" w:space="0"/>
                    <w:right w:val="nil"/>
                  </w:tcBorders>
                  <w:vAlign w:val="center"/>
                </w:tcPr>
                <w:p>
                  <w:pPr>
                    <w:pStyle w:val="9"/>
                    <w:widowControl/>
                    <w:wordWrap w:val="0"/>
                    <w:ind w:firstLine="2572" w:firstLineChars="1220"/>
                    <w:rPr>
                      <w:b/>
                      <w:color w:val="auto"/>
                      <w:kern w:val="2"/>
                      <w:sz w:val="21"/>
                      <w:szCs w:val="21"/>
                    </w:rPr>
                  </w:pPr>
                  <w:r>
                    <w:rPr>
                      <w:b/>
                      <w:color w:val="auto"/>
                      <w:kern w:val="2"/>
                      <w:sz w:val="21"/>
                      <w:szCs w:val="21"/>
                    </w:rPr>
                    <w:t>工业大气污染源构成类别</w:t>
                  </w:r>
                </w:p>
              </w:tc>
            </w:tr>
            <w:tr>
              <w:tblPrEx>
                <w:tblBorders>
                  <w:top w:val="single" w:color="auto" w:sz="12" w:space="0"/>
                  <w:left w:val="none" w:color="auto" w:sz="6" w:space="0"/>
                  <w:bottom w:val="single" w:color="auto" w:sz="12" w:space="0"/>
                  <w:right w:val="none" w:color="auto" w:sz="6"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06" w:type="pct"/>
                  <w:vMerge w:val="continue"/>
                  <w:tcBorders>
                    <w:top w:val="single" w:color="auto" w:sz="12" w:space="0"/>
                    <w:left w:val="nil"/>
                    <w:bottom w:val="single" w:color="auto" w:sz="4" w:space="0"/>
                    <w:right w:val="single" w:color="auto" w:sz="4" w:space="0"/>
                  </w:tcBorders>
                  <w:vAlign w:val="center"/>
                </w:tcPr>
                <w:p>
                  <w:pPr>
                    <w:wordWrap w:val="0"/>
                    <w:rPr>
                      <w:color w:val="auto"/>
                      <w:szCs w:val="21"/>
                    </w:rPr>
                  </w:pPr>
                </w:p>
              </w:tc>
              <w:tc>
                <w:tcPr>
                  <w:tcW w:w="528" w:type="pct"/>
                  <w:vMerge w:val="continue"/>
                  <w:tcBorders>
                    <w:top w:val="single" w:color="auto" w:sz="12" w:space="0"/>
                    <w:left w:val="single" w:color="auto" w:sz="4" w:space="0"/>
                    <w:bottom w:val="single" w:color="auto" w:sz="4" w:space="0"/>
                    <w:right w:val="single" w:color="auto" w:sz="4" w:space="0"/>
                  </w:tcBorders>
                  <w:vAlign w:val="center"/>
                </w:tcPr>
                <w:p>
                  <w:pPr>
                    <w:wordWrap w:val="0"/>
                    <w:rPr>
                      <w:color w:val="auto"/>
                      <w:szCs w:val="21"/>
                    </w:rPr>
                  </w:pPr>
                </w:p>
              </w:tc>
              <w:tc>
                <w:tcPr>
                  <w:tcW w:w="462" w:type="pct"/>
                  <w:tcBorders>
                    <w:top w:val="single" w:color="auto" w:sz="4" w:space="0"/>
                    <w:left w:val="single" w:color="auto" w:sz="4" w:space="0"/>
                    <w:bottom w:val="single" w:color="auto" w:sz="4" w:space="0"/>
                    <w:right w:val="single" w:color="auto" w:sz="4" w:space="0"/>
                  </w:tcBorders>
                  <w:vAlign w:val="center"/>
                </w:tcPr>
                <w:p>
                  <w:pPr>
                    <w:wordWrap w:val="0"/>
                    <w:snapToGrid w:val="0"/>
                    <w:jc w:val="center"/>
                    <w:rPr>
                      <w:b/>
                      <w:color w:val="auto"/>
                      <w:szCs w:val="21"/>
                    </w:rPr>
                  </w:pPr>
                  <w:r>
                    <w:rPr>
                      <w:b/>
                      <w:color w:val="auto"/>
                      <w:szCs w:val="21"/>
                      <w:lang w:bidi="ar"/>
                    </w:rPr>
                    <w:t>Ⅰ</w:t>
                  </w:r>
                </w:p>
              </w:tc>
              <w:tc>
                <w:tcPr>
                  <w:tcW w:w="462" w:type="pct"/>
                  <w:tcBorders>
                    <w:top w:val="single" w:color="auto" w:sz="4" w:space="0"/>
                    <w:left w:val="single" w:color="auto" w:sz="4" w:space="0"/>
                    <w:bottom w:val="single" w:color="auto" w:sz="4" w:space="0"/>
                    <w:right w:val="single" w:color="auto" w:sz="4" w:space="0"/>
                  </w:tcBorders>
                  <w:vAlign w:val="center"/>
                </w:tcPr>
                <w:p>
                  <w:pPr>
                    <w:wordWrap w:val="0"/>
                    <w:snapToGrid w:val="0"/>
                    <w:jc w:val="center"/>
                    <w:rPr>
                      <w:b/>
                      <w:color w:val="auto"/>
                      <w:szCs w:val="21"/>
                    </w:rPr>
                  </w:pPr>
                  <w:r>
                    <w:rPr>
                      <w:b/>
                      <w:color w:val="auto"/>
                      <w:szCs w:val="21"/>
                      <w:lang w:bidi="ar"/>
                    </w:rPr>
                    <w:t>Ⅱ</w:t>
                  </w:r>
                </w:p>
              </w:tc>
              <w:tc>
                <w:tcPr>
                  <w:tcW w:w="464" w:type="pct"/>
                  <w:tcBorders>
                    <w:top w:val="single" w:color="auto" w:sz="4" w:space="0"/>
                    <w:left w:val="single" w:color="auto" w:sz="4" w:space="0"/>
                    <w:bottom w:val="single" w:color="auto" w:sz="4" w:space="0"/>
                    <w:right w:val="single" w:color="auto" w:sz="4" w:space="0"/>
                  </w:tcBorders>
                  <w:vAlign w:val="center"/>
                </w:tcPr>
                <w:p>
                  <w:pPr>
                    <w:wordWrap w:val="0"/>
                    <w:snapToGrid w:val="0"/>
                    <w:jc w:val="center"/>
                    <w:rPr>
                      <w:b/>
                      <w:color w:val="auto"/>
                      <w:szCs w:val="21"/>
                    </w:rPr>
                  </w:pPr>
                  <w:r>
                    <w:rPr>
                      <w:b/>
                      <w:color w:val="auto"/>
                      <w:szCs w:val="21"/>
                      <w:lang w:bidi="ar"/>
                    </w:rPr>
                    <w:t>Ⅲ</w:t>
                  </w:r>
                </w:p>
              </w:tc>
              <w:tc>
                <w:tcPr>
                  <w:tcW w:w="462" w:type="pct"/>
                  <w:tcBorders>
                    <w:top w:val="single" w:color="auto" w:sz="4" w:space="0"/>
                    <w:left w:val="single" w:color="auto" w:sz="4" w:space="0"/>
                    <w:bottom w:val="single" w:color="auto" w:sz="4" w:space="0"/>
                    <w:right w:val="single" w:color="auto" w:sz="4" w:space="0"/>
                  </w:tcBorders>
                  <w:vAlign w:val="center"/>
                </w:tcPr>
                <w:p>
                  <w:pPr>
                    <w:wordWrap w:val="0"/>
                    <w:snapToGrid w:val="0"/>
                    <w:jc w:val="center"/>
                    <w:rPr>
                      <w:b/>
                      <w:color w:val="auto"/>
                      <w:szCs w:val="21"/>
                    </w:rPr>
                  </w:pPr>
                  <w:r>
                    <w:rPr>
                      <w:b/>
                      <w:color w:val="auto"/>
                      <w:szCs w:val="21"/>
                      <w:lang w:bidi="ar"/>
                    </w:rPr>
                    <w:t>Ⅰ</w:t>
                  </w:r>
                </w:p>
              </w:tc>
              <w:tc>
                <w:tcPr>
                  <w:tcW w:w="462" w:type="pct"/>
                  <w:tcBorders>
                    <w:top w:val="single" w:color="auto" w:sz="4" w:space="0"/>
                    <w:left w:val="single" w:color="auto" w:sz="4" w:space="0"/>
                    <w:bottom w:val="single" w:color="auto" w:sz="4" w:space="0"/>
                    <w:right w:val="single" w:color="auto" w:sz="4" w:space="0"/>
                  </w:tcBorders>
                  <w:vAlign w:val="center"/>
                </w:tcPr>
                <w:p>
                  <w:pPr>
                    <w:wordWrap w:val="0"/>
                    <w:snapToGrid w:val="0"/>
                    <w:jc w:val="center"/>
                    <w:rPr>
                      <w:b/>
                      <w:color w:val="auto"/>
                      <w:szCs w:val="21"/>
                    </w:rPr>
                  </w:pPr>
                  <w:r>
                    <w:rPr>
                      <w:b/>
                      <w:color w:val="auto"/>
                      <w:szCs w:val="21"/>
                      <w:lang w:bidi="ar"/>
                    </w:rPr>
                    <w:t>Ⅱ</w:t>
                  </w:r>
                </w:p>
              </w:tc>
              <w:tc>
                <w:tcPr>
                  <w:tcW w:w="462" w:type="pct"/>
                  <w:tcBorders>
                    <w:top w:val="single" w:color="auto" w:sz="4" w:space="0"/>
                    <w:left w:val="single" w:color="auto" w:sz="4" w:space="0"/>
                    <w:bottom w:val="single" w:color="auto" w:sz="4" w:space="0"/>
                    <w:right w:val="single" w:color="auto" w:sz="4" w:space="0"/>
                  </w:tcBorders>
                  <w:vAlign w:val="center"/>
                </w:tcPr>
                <w:p>
                  <w:pPr>
                    <w:wordWrap w:val="0"/>
                    <w:snapToGrid w:val="0"/>
                    <w:jc w:val="center"/>
                    <w:rPr>
                      <w:b/>
                      <w:color w:val="auto"/>
                      <w:szCs w:val="21"/>
                    </w:rPr>
                  </w:pPr>
                  <w:r>
                    <w:rPr>
                      <w:b/>
                      <w:color w:val="auto"/>
                      <w:szCs w:val="21"/>
                      <w:lang w:bidi="ar"/>
                    </w:rPr>
                    <w:t>Ⅲ</w:t>
                  </w:r>
                </w:p>
              </w:tc>
              <w:tc>
                <w:tcPr>
                  <w:tcW w:w="462" w:type="pct"/>
                  <w:tcBorders>
                    <w:top w:val="single" w:color="auto" w:sz="4" w:space="0"/>
                    <w:left w:val="single" w:color="auto" w:sz="4" w:space="0"/>
                    <w:bottom w:val="single" w:color="auto" w:sz="4" w:space="0"/>
                    <w:right w:val="single" w:color="auto" w:sz="4" w:space="0"/>
                  </w:tcBorders>
                  <w:vAlign w:val="center"/>
                </w:tcPr>
                <w:p>
                  <w:pPr>
                    <w:wordWrap w:val="0"/>
                    <w:snapToGrid w:val="0"/>
                    <w:jc w:val="center"/>
                    <w:rPr>
                      <w:b/>
                      <w:color w:val="auto"/>
                      <w:szCs w:val="21"/>
                    </w:rPr>
                  </w:pPr>
                  <w:r>
                    <w:rPr>
                      <w:b/>
                      <w:color w:val="auto"/>
                      <w:szCs w:val="21"/>
                      <w:lang w:bidi="ar"/>
                    </w:rPr>
                    <w:t>Ⅰ</w:t>
                  </w:r>
                </w:p>
              </w:tc>
              <w:tc>
                <w:tcPr>
                  <w:tcW w:w="462" w:type="pct"/>
                  <w:tcBorders>
                    <w:top w:val="single" w:color="auto" w:sz="4" w:space="0"/>
                    <w:left w:val="single" w:color="auto" w:sz="4" w:space="0"/>
                    <w:bottom w:val="single" w:color="auto" w:sz="4" w:space="0"/>
                    <w:right w:val="single" w:color="auto" w:sz="4" w:space="0"/>
                  </w:tcBorders>
                  <w:vAlign w:val="center"/>
                </w:tcPr>
                <w:p>
                  <w:pPr>
                    <w:wordWrap w:val="0"/>
                    <w:snapToGrid w:val="0"/>
                    <w:jc w:val="center"/>
                    <w:rPr>
                      <w:b/>
                      <w:color w:val="auto"/>
                      <w:szCs w:val="21"/>
                    </w:rPr>
                  </w:pPr>
                  <w:r>
                    <w:rPr>
                      <w:b/>
                      <w:color w:val="auto"/>
                      <w:szCs w:val="21"/>
                      <w:lang w:bidi="ar"/>
                    </w:rPr>
                    <w:t>Ⅱ</w:t>
                  </w:r>
                </w:p>
              </w:tc>
              <w:tc>
                <w:tcPr>
                  <w:tcW w:w="465" w:type="pct"/>
                  <w:tcBorders>
                    <w:top w:val="single" w:color="auto" w:sz="4" w:space="0"/>
                    <w:left w:val="single" w:color="auto" w:sz="4" w:space="0"/>
                    <w:bottom w:val="single" w:color="auto" w:sz="4" w:space="0"/>
                    <w:right w:val="nil"/>
                  </w:tcBorders>
                  <w:vAlign w:val="center"/>
                </w:tcPr>
                <w:p>
                  <w:pPr>
                    <w:wordWrap w:val="0"/>
                    <w:snapToGrid w:val="0"/>
                    <w:jc w:val="center"/>
                    <w:rPr>
                      <w:b/>
                      <w:color w:val="auto"/>
                      <w:szCs w:val="21"/>
                    </w:rPr>
                  </w:pPr>
                  <w:r>
                    <w:rPr>
                      <w:b/>
                      <w:color w:val="auto"/>
                      <w:szCs w:val="21"/>
                      <w:lang w:bidi="ar"/>
                    </w:rPr>
                    <w:t>Ⅲ</w:t>
                  </w:r>
                </w:p>
              </w:tc>
            </w:tr>
            <w:tr>
              <w:tblPrEx>
                <w:tblBorders>
                  <w:top w:val="single" w:color="auto" w:sz="12" w:space="0"/>
                  <w:left w:val="none" w:color="auto" w:sz="6" w:space="0"/>
                  <w:bottom w:val="single" w:color="auto" w:sz="12" w:space="0"/>
                  <w:right w:val="none" w:color="auto" w:sz="6"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06" w:type="pct"/>
                  <w:vMerge w:val="restart"/>
                  <w:tcBorders>
                    <w:top w:val="single" w:color="auto" w:sz="4" w:space="0"/>
                    <w:left w:val="nil"/>
                    <w:bottom w:val="single" w:color="auto" w:sz="4" w:space="0"/>
                    <w:right w:val="single" w:color="auto" w:sz="4" w:space="0"/>
                  </w:tcBorders>
                  <w:vAlign w:val="center"/>
                </w:tcPr>
                <w:p>
                  <w:pPr>
                    <w:wordWrap w:val="0"/>
                    <w:snapToGrid w:val="0"/>
                    <w:jc w:val="center"/>
                    <w:rPr>
                      <w:color w:val="auto"/>
                      <w:szCs w:val="21"/>
                    </w:rPr>
                  </w:pPr>
                  <w:r>
                    <w:rPr>
                      <w:color w:val="auto"/>
                      <w:szCs w:val="21"/>
                      <w:lang w:bidi="ar"/>
                    </w:rPr>
                    <w:t>A</w:t>
                  </w:r>
                </w:p>
              </w:tc>
              <w:tc>
                <w:tcPr>
                  <w:tcW w:w="528" w:type="pct"/>
                  <w:tcBorders>
                    <w:top w:val="single" w:color="auto" w:sz="4" w:space="0"/>
                    <w:left w:val="single" w:color="auto" w:sz="4" w:space="0"/>
                    <w:bottom w:val="single" w:color="auto" w:sz="4" w:space="0"/>
                    <w:right w:val="single" w:color="auto" w:sz="4" w:space="0"/>
                  </w:tcBorders>
                  <w:vAlign w:val="center"/>
                </w:tcPr>
                <w:p>
                  <w:pPr>
                    <w:wordWrap w:val="0"/>
                    <w:snapToGrid w:val="0"/>
                    <w:jc w:val="center"/>
                    <w:rPr>
                      <w:color w:val="auto"/>
                      <w:szCs w:val="21"/>
                    </w:rPr>
                  </w:pPr>
                  <w:r>
                    <w:rPr>
                      <w:color w:val="auto"/>
                      <w:szCs w:val="21"/>
                      <w:lang w:bidi="ar"/>
                    </w:rPr>
                    <w:t>＜2</w:t>
                  </w:r>
                </w:p>
              </w:tc>
              <w:tc>
                <w:tcPr>
                  <w:tcW w:w="462" w:type="pct"/>
                  <w:tcBorders>
                    <w:top w:val="single" w:color="auto" w:sz="4" w:space="0"/>
                    <w:left w:val="single" w:color="auto" w:sz="4" w:space="0"/>
                    <w:bottom w:val="single" w:color="auto" w:sz="4" w:space="0"/>
                    <w:right w:val="single" w:color="auto" w:sz="4" w:space="0"/>
                  </w:tcBorders>
                  <w:vAlign w:val="center"/>
                </w:tcPr>
                <w:p>
                  <w:pPr>
                    <w:wordWrap w:val="0"/>
                    <w:snapToGrid w:val="0"/>
                    <w:jc w:val="center"/>
                    <w:rPr>
                      <w:color w:val="auto"/>
                      <w:szCs w:val="21"/>
                    </w:rPr>
                  </w:pPr>
                  <w:r>
                    <w:rPr>
                      <w:color w:val="auto"/>
                      <w:szCs w:val="21"/>
                      <w:lang w:bidi="ar"/>
                    </w:rPr>
                    <w:t>400</w:t>
                  </w:r>
                </w:p>
              </w:tc>
              <w:tc>
                <w:tcPr>
                  <w:tcW w:w="462" w:type="pct"/>
                  <w:tcBorders>
                    <w:top w:val="single" w:color="auto" w:sz="4" w:space="0"/>
                    <w:left w:val="single" w:color="auto" w:sz="4" w:space="0"/>
                    <w:bottom w:val="single" w:color="auto" w:sz="4" w:space="0"/>
                    <w:right w:val="single" w:color="auto" w:sz="4" w:space="0"/>
                  </w:tcBorders>
                  <w:vAlign w:val="center"/>
                </w:tcPr>
                <w:p>
                  <w:pPr>
                    <w:wordWrap w:val="0"/>
                    <w:snapToGrid w:val="0"/>
                    <w:jc w:val="center"/>
                    <w:rPr>
                      <w:color w:val="auto"/>
                      <w:szCs w:val="21"/>
                    </w:rPr>
                  </w:pPr>
                  <w:r>
                    <w:rPr>
                      <w:color w:val="auto"/>
                      <w:szCs w:val="21"/>
                      <w:lang w:bidi="ar"/>
                    </w:rPr>
                    <w:t>400</w:t>
                  </w:r>
                </w:p>
              </w:tc>
              <w:tc>
                <w:tcPr>
                  <w:tcW w:w="464" w:type="pct"/>
                  <w:tcBorders>
                    <w:top w:val="single" w:color="auto" w:sz="4" w:space="0"/>
                    <w:left w:val="single" w:color="auto" w:sz="4" w:space="0"/>
                    <w:bottom w:val="single" w:color="auto" w:sz="4" w:space="0"/>
                    <w:right w:val="single" w:color="auto" w:sz="4" w:space="0"/>
                  </w:tcBorders>
                  <w:vAlign w:val="center"/>
                </w:tcPr>
                <w:p>
                  <w:pPr>
                    <w:wordWrap w:val="0"/>
                    <w:snapToGrid w:val="0"/>
                    <w:jc w:val="center"/>
                    <w:rPr>
                      <w:color w:val="auto"/>
                      <w:szCs w:val="21"/>
                    </w:rPr>
                  </w:pPr>
                  <w:r>
                    <w:rPr>
                      <w:color w:val="auto"/>
                      <w:szCs w:val="21"/>
                      <w:lang w:bidi="ar"/>
                    </w:rPr>
                    <w:t>400</w:t>
                  </w:r>
                </w:p>
              </w:tc>
              <w:tc>
                <w:tcPr>
                  <w:tcW w:w="462" w:type="pct"/>
                  <w:tcBorders>
                    <w:top w:val="single" w:color="auto" w:sz="4" w:space="0"/>
                    <w:left w:val="single" w:color="auto" w:sz="4" w:space="0"/>
                    <w:bottom w:val="single" w:color="auto" w:sz="4" w:space="0"/>
                    <w:right w:val="single" w:color="auto" w:sz="4" w:space="0"/>
                  </w:tcBorders>
                  <w:vAlign w:val="center"/>
                </w:tcPr>
                <w:p>
                  <w:pPr>
                    <w:wordWrap w:val="0"/>
                    <w:snapToGrid w:val="0"/>
                    <w:jc w:val="center"/>
                    <w:rPr>
                      <w:color w:val="auto"/>
                      <w:szCs w:val="21"/>
                    </w:rPr>
                  </w:pPr>
                  <w:r>
                    <w:rPr>
                      <w:color w:val="auto"/>
                      <w:szCs w:val="21"/>
                      <w:lang w:bidi="ar"/>
                    </w:rPr>
                    <w:t>400</w:t>
                  </w:r>
                </w:p>
              </w:tc>
              <w:tc>
                <w:tcPr>
                  <w:tcW w:w="462" w:type="pct"/>
                  <w:tcBorders>
                    <w:top w:val="single" w:color="auto" w:sz="4" w:space="0"/>
                    <w:left w:val="single" w:color="auto" w:sz="4" w:space="0"/>
                    <w:bottom w:val="single" w:color="auto" w:sz="4" w:space="0"/>
                    <w:right w:val="single" w:color="auto" w:sz="4" w:space="0"/>
                  </w:tcBorders>
                  <w:vAlign w:val="center"/>
                </w:tcPr>
                <w:p>
                  <w:pPr>
                    <w:wordWrap w:val="0"/>
                    <w:snapToGrid w:val="0"/>
                    <w:jc w:val="center"/>
                    <w:rPr>
                      <w:color w:val="auto"/>
                      <w:szCs w:val="21"/>
                    </w:rPr>
                  </w:pPr>
                  <w:r>
                    <w:rPr>
                      <w:color w:val="auto"/>
                      <w:szCs w:val="21"/>
                      <w:lang w:bidi="ar"/>
                    </w:rPr>
                    <w:t>400</w:t>
                  </w:r>
                </w:p>
              </w:tc>
              <w:tc>
                <w:tcPr>
                  <w:tcW w:w="462" w:type="pct"/>
                  <w:tcBorders>
                    <w:top w:val="single" w:color="auto" w:sz="4" w:space="0"/>
                    <w:left w:val="single" w:color="auto" w:sz="4" w:space="0"/>
                    <w:bottom w:val="single" w:color="auto" w:sz="4" w:space="0"/>
                    <w:right w:val="single" w:color="auto" w:sz="4" w:space="0"/>
                  </w:tcBorders>
                  <w:vAlign w:val="center"/>
                </w:tcPr>
                <w:p>
                  <w:pPr>
                    <w:wordWrap w:val="0"/>
                    <w:snapToGrid w:val="0"/>
                    <w:jc w:val="center"/>
                    <w:rPr>
                      <w:color w:val="auto"/>
                      <w:szCs w:val="21"/>
                    </w:rPr>
                  </w:pPr>
                  <w:r>
                    <w:rPr>
                      <w:color w:val="auto"/>
                      <w:szCs w:val="21"/>
                      <w:lang w:bidi="ar"/>
                    </w:rPr>
                    <w:t>400</w:t>
                  </w:r>
                </w:p>
              </w:tc>
              <w:tc>
                <w:tcPr>
                  <w:tcW w:w="462" w:type="pct"/>
                  <w:tcBorders>
                    <w:top w:val="single" w:color="auto" w:sz="4" w:space="0"/>
                    <w:left w:val="single" w:color="auto" w:sz="4" w:space="0"/>
                    <w:bottom w:val="single" w:color="auto" w:sz="4" w:space="0"/>
                    <w:right w:val="single" w:color="auto" w:sz="4" w:space="0"/>
                  </w:tcBorders>
                  <w:vAlign w:val="center"/>
                </w:tcPr>
                <w:p>
                  <w:pPr>
                    <w:wordWrap w:val="0"/>
                    <w:snapToGrid w:val="0"/>
                    <w:jc w:val="center"/>
                    <w:rPr>
                      <w:color w:val="auto"/>
                      <w:szCs w:val="21"/>
                    </w:rPr>
                  </w:pPr>
                  <w:r>
                    <w:rPr>
                      <w:color w:val="auto"/>
                      <w:szCs w:val="21"/>
                      <w:lang w:bidi="ar"/>
                    </w:rPr>
                    <w:t>80</w:t>
                  </w:r>
                </w:p>
              </w:tc>
              <w:tc>
                <w:tcPr>
                  <w:tcW w:w="462" w:type="pct"/>
                  <w:tcBorders>
                    <w:top w:val="single" w:color="auto" w:sz="4" w:space="0"/>
                    <w:left w:val="single" w:color="auto" w:sz="4" w:space="0"/>
                    <w:bottom w:val="single" w:color="auto" w:sz="4" w:space="0"/>
                    <w:right w:val="single" w:color="auto" w:sz="4" w:space="0"/>
                  </w:tcBorders>
                  <w:vAlign w:val="center"/>
                </w:tcPr>
                <w:p>
                  <w:pPr>
                    <w:wordWrap w:val="0"/>
                    <w:snapToGrid w:val="0"/>
                    <w:jc w:val="center"/>
                    <w:rPr>
                      <w:color w:val="auto"/>
                      <w:szCs w:val="21"/>
                    </w:rPr>
                  </w:pPr>
                  <w:r>
                    <w:rPr>
                      <w:color w:val="auto"/>
                      <w:szCs w:val="21"/>
                      <w:lang w:bidi="ar"/>
                    </w:rPr>
                    <w:t>80</w:t>
                  </w:r>
                </w:p>
              </w:tc>
              <w:tc>
                <w:tcPr>
                  <w:tcW w:w="465" w:type="pct"/>
                  <w:tcBorders>
                    <w:top w:val="single" w:color="auto" w:sz="4" w:space="0"/>
                    <w:left w:val="single" w:color="auto" w:sz="4" w:space="0"/>
                    <w:bottom w:val="single" w:color="auto" w:sz="4" w:space="0"/>
                    <w:right w:val="nil"/>
                  </w:tcBorders>
                  <w:vAlign w:val="center"/>
                </w:tcPr>
                <w:p>
                  <w:pPr>
                    <w:wordWrap w:val="0"/>
                    <w:snapToGrid w:val="0"/>
                    <w:jc w:val="center"/>
                    <w:rPr>
                      <w:color w:val="auto"/>
                      <w:szCs w:val="21"/>
                    </w:rPr>
                  </w:pPr>
                  <w:r>
                    <w:rPr>
                      <w:color w:val="auto"/>
                      <w:szCs w:val="21"/>
                      <w:lang w:bidi="ar"/>
                    </w:rPr>
                    <w:t>80</w:t>
                  </w:r>
                </w:p>
              </w:tc>
            </w:tr>
            <w:tr>
              <w:tblPrEx>
                <w:tblBorders>
                  <w:top w:val="single" w:color="auto" w:sz="12" w:space="0"/>
                  <w:left w:val="none" w:color="auto" w:sz="6" w:space="0"/>
                  <w:bottom w:val="single" w:color="auto" w:sz="12" w:space="0"/>
                  <w:right w:val="none" w:color="auto" w:sz="6"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06" w:type="pct"/>
                  <w:vMerge w:val="continue"/>
                  <w:tcBorders>
                    <w:top w:val="single" w:color="auto" w:sz="4" w:space="0"/>
                    <w:left w:val="nil"/>
                    <w:bottom w:val="single" w:color="auto" w:sz="4" w:space="0"/>
                    <w:right w:val="single" w:color="auto" w:sz="4" w:space="0"/>
                  </w:tcBorders>
                  <w:shd w:val="clear" w:color="auto" w:fill="auto"/>
                  <w:vAlign w:val="center"/>
                </w:tcPr>
                <w:p>
                  <w:pPr>
                    <w:wordWrap w:val="0"/>
                    <w:rPr>
                      <w:color w:val="auto"/>
                      <w:szCs w:val="21"/>
                    </w:rPr>
                  </w:pPr>
                </w:p>
              </w:tc>
              <w:tc>
                <w:tcPr>
                  <w:tcW w:w="528" w:type="pct"/>
                  <w:tcBorders>
                    <w:top w:val="single" w:color="auto" w:sz="4" w:space="0"/>
                    <w:left w:val="single" w:color="auto" w:sz="4" w:space="0"/>
                    <w:bottom w:val="single" w:color="auto" w:sz="4" w:space="0"/>
                    <w:right w:val="single" w:color="auto" w:sz="4" w:space="0"/>
                  </w:tcBorders>
                  <w:shd w:val="clear" w:color="auto" w:fill="auto"/>
                  <w:vAlign w:val="center"/>
                </w:tcPr>
                <w:p>
                  <w:pPr>
                    <w:wordWrap w:val="0"/>
                    <w:snapToGrid w:val="0"/>
                    <w:jc w:val="center"/>
                    <w:rPr>
                      <w:color w:val="auto"/>
                      <w:szCs w:val="21"/>
                    </w:rPr>
                  </w:pPr>
                  <w:r>
                    <w:rPr>
                      <w:color w:val="auto"/>
                      <w:szCs w:val="21"/>
                      <w:lang w:bidi="ar"/>
                    </w:rPr>
                    <w:t>2～4</w:t>
                  </w:r>
                </w:p>
              </w:tc>
              <w:tc>
                <w:tcPr>
                  <w:tcW w:w="462" w:type="pct"/>
                  <w:tcBorders>
                    <w:top w:val="single" w:color="auto" w:sz="4" w:space="0"/>
                    <w:left w:val="single" w:color="auto" w:sz="4" w:space="0"/>
                    <w:bottom w:val="single" w:color="auto" w:sz="4" w:space="0"/>
                    <w:right w:val="single" w:color="auto" w:sz="4" w:space="0"/>
                  </w:tcBorders>
                  <w:shd w:val="clear" w:color="auto" w:fill="auto"/>
                  <w:vAlign w:val="center"/>
                </w:tcPr>
                <w:p>
                  <w:pPr>
                    <w:wordWrap w:val="0"/>
                    <w:snapToGrid w:val="0"/>
                    <w:jc w:val="center"/>
                    <w:rPr>
                      <w:color w:val="auto"/>
                      <w:szCs w:val="21"/>
                    </w:rPr>
                  </w:pPr>
                  <w:r>
                    <w:rPr>
                      <w:color w:val="auto"/>
                      <w:szCs w:val="21"/>
                      <w:lang w:bidi="ar"/>
                    </w:rPr>
                    <w:t>700</w:t>
                  </w:r>
                </w:p>
              </w:tc>
              <w:tc>
                <w:tcPr>
                  <w:tcW w:w="462" w:type="pct"/>
                  <w:tcBorders>
                    <w:top w:val="single" w:color="auto" w:sz="4" w:space="0"/>
                    <w:left w:val="single" w:color="auto" w:sz="4" w:space="0"/>
                    <w:bottom w:val="single" w:color="auto" w:sz="4" w:space="0"/>
                    <w:right w:val="single" w:color="auto" w:sz="4" w:space="0"/>
                  </w:tcBorders>
                  <w:shd w:val="clear" w:color="auto" w:fill="A6A6A6"/>
                  <w:vAlign w:val="center"/>
                </w:tcPr>
                <w:p>
                  <w:pPr>
                    <w:wordWrap w:val="0"/>
                    <w:snapToGrid w:val="0"/>
                    <w:jc w:val="center"/>
                    <w:rPr>
                      <w:color w:val="auto"/>
                      <w:szCs w:val="21"/>
                    </w:rPr>
                  </w:pPr>
                  <w:r>
                    <w:rPr>
                      <w:color w:val="auto"/>
                      <w:szCs w:val="21"/>
                      <w:lang w:bidi="ar"/>
                    </w:rPr>
                    <w:t>470</w:t>
                  </w:r>
                </w:p>
              </w:tc>
              <w:tc>
                <w:tcPr>
                  <w:tcW w:w="464" w:type="pct"/>
                  <w:tcBorders>
                    <w:top w:val="single" w:color="auto" w:sz="4" w:space="0"/>
                    <w:left w:val="single" w:color="auto" w:sz="4" w:space="0"/>
                    <w:bottom w:val="single" w:color="auto" w:sz="4" w:space="0"/>
                    <w:right w:val="single" w:color="auto" w:sz="4" w:space="0"/>
                  </w:tcBorders>
                  <w:vAlign w:val="center"/>
                </w:tcPr>
                <w:p>
                  <w:pPr>
                    <w:wordWrap w:val="0"/>
                    <w:snapToGrid w:val="0"/>
                    <w:jc w:val="center"/>
                    <w:rPr>
                      <w:color w:val="auto"/>
                      <w:szCs w:val="21"/>
                    </w:rPr>
                  </w:pPr>
                  <w:r>
                    <w:rPr>
                      <w:color w:val="auto"/>
                      <w:szCs w:val="21"/>
                      <w:lang w:bidi="ar"/>
                    </w:rPr>
                    <w:t>350</w:t>
                  </w:r>
                </w:p>
              </w:tc>
              <w:tc>
                <w:tcPr>
                  <w:tcW w:w="462" w:type="pct"/>
                  <w:tcBorders>
                    <w:top w:val="single" w:color="auto" w:sz="4" w:space="0"/>
                    <w:left w:val="single" w:color="auto" w:sz="4" w:space="0"/>
                    <w:bottom w:val="single" w:color="auto" w:sz="4" w:space="0"/>
                    <w:right w:val="single" w:color="auto" w:sz="4" w:space="0"/>
                  </w:tcBorders>
                  <w:vAlign w:val="center"/>
                </w:tcPr>
                <w:p>
                  <w:pPr>
                    <w:wordWrap w:val="0"/>
                    <w:snapToGrid w:val="0"/>
                    <w:jc w:val="center"/>
                    <w:rPr>
                      <w:color w:val="auto"/>
                      <w:szCs w:val="21"/>
                    </w:rPr>
                  </w:pPr>
                  <w:r>
                    <w:rPr>
                      <w:color w:val="auto"/>
                      <w:szCs w:val="21"/>
                      <w:lang w:bidi="ar"/>
                    </w:rPr>
                    <w:t>700</w:t>
                  </w:r>
                </w:p>
              </w:tc>
              <w:tc>
                <w:tcPr>
                  <w:tcW w:w="462" w:type="pct"/>
                  <w:tcBorders>
                    <w:top w:val="single" w:color="auto" w:sz="4" w:space="0"/>
                    <w:left w:val="single" w:color="auto" w:sz="4" w:space="0"/>
                    <w:bottom w:val="single" w:color="auto" w:sz="4" w:space="0"/>
                    <w:right w:val="single" w:color="auto" w:sz="4" w:space="0"/>
                  </w:tcBorders>
                  <w:vAlign w:val="center"/>
                </w:tcPr>
                <w:p>
                  <w:pPr>
                    <w:wordWrap w:val="0"/>
                    <w:snapToGrid w:val="0"/>
                    <w:jc w:val="center"/>
                    <w:rPr>
                      <w:color w:val="auto"/>
                      <w:szCs w:val="21"/>
                    </w:rPr>
                  </w:pPr>
                  <w:r>
                    <w:rPr>
                      <w:color w:val="auto"/>
                      <w:szCs w:val="21"/>
                      <w:lang w:bidi="ar"/>
                    </w:rPr>
                    <w:t>470</w:t>
                  </w:r>
                </w:p>
              </w:tc>
              <w:tc>
                <w:tcPr>
                  <w:tcW w:w="462" w:type="pct"/>
                  <w:tcBorders>
                    <w:top w:val="single" w:color="auto" w:sz="4" w:space="0"/>
                    <w:left w:val="single" w:color="auto" w:sz="4" w:space="0"/>
                    <w:bottom w:val="single" w:color="auto" w:sz="4" w:space="0"/>
                    <w:right w:val="single" w:color="auto" w:sz="4" w:space="0"/>
                  </w:tcBorders>
                  <w:vAlign w:val="center"/>
                </w:tcPr>
                <w:p>
                  <w:pPr>
                    <w:wordWrap w:val="0"/>
                    <w:snapToGrid w:val="0"/>
                    <w:jc w:val="center"/>
                    <w:rPr>
                      <w:color w:val="auto"/>
                      <w:szCs w:val="21"/>
                    </w:rPr>
                  </w:pPr>
                  <w:r>
                    <w:rPr>
                      <w:color w:val="auto"/>
                      <w:szCs w:val="21"/>
                      <w:lang w:bidi="ar"/>
                    </w:rPr>
                    <w:t>350</w:t>
                  </w:r>
                </w:p>
              </w:tc>
              <w:tc>
                <w:tcPr>
                  <w:tcW w:w="462" w:type="pct"/>
                  <w:tcBorders>
                    <w:top w:val="single" w:color="auto" w:sz="4" w:space="0"/>
                    <w:left w:val="single" w:color="auto" w:sz="4" w:space="0"/>
                    <w:bottom w:val="single" w:color="auto" w:sz="4" w:space="0"/>
                    <w:right w:val="single" w:color="auto" w:sz="4" w:space="0"/>
                  </w:tcBorders>
                  <w:vAlign w:val="center"/>
                </w:tcPr>
                <w:p>
                  <w:pPr>
                    <w:wordWrap w:val="0"/>
                    <w:snapToGrid w:val="0"/>
                    <w:jc w:val="center"/>
                    <w:rPr>
                      <w:color w:val="auto"/>
                      <w:szCs w:val="21"/>
                    </w:rPr>
                  </w:pPr>
                  <w:r>
                    <w:rPr>
                      <w:color w:val="auto"/>
                      <w:szCs w:val="21"/>
                      <w:lang w:bidi="ar"/>
                    </w:rPr>
                    <w:t>380</w:t>
                  </w:r>
                </w:p>
              </w:tc>
              <w:tc>
                <w:tcPr>
                  <w:tcW w:w="462" w:type="pct"/>
                  <w:tcBorders>
                    <w:top w:val="single" w:color="auto" w:sz="4" w:space="0"/>
                    <w:left w:val="single" w:color="auto" w:sz="4" w:space="0"/>
                    <w:bottom w:val="single" w:color="auto" w:sz="4" w:space="0"/>
                    <w:right w:val="single" w:color="auto" w:sz="4" w:space="0"/>
                  </w:tcBorders>
                  <w:vAlign w:val="center"/>
                </w:tcPr>
                <w:p>
                  <w:pPr>
                    <w:wordWrap w:val="0"/>
                    <w:snapToGrid w:val="0"/>
                    <w:jc w:val="center"/>
                    <w:rPr>
                      <w:color w:val="auto"/>
                      <w:szCs w:val="21"/>
                    </w:rPr>
                  </w:pPr>
                  <w:r>
                    <w:rPr>
                      <w:color w:val="auto"/>
                      <w:szCs w:val="21"/>
                      <w:lang w:bidi="ar"/>
                    </w:rPr>
                    <w:t>250</w:t>
                  </w:r>
                </w:p>
              </w:tc>
              <w:tc>
                <w:tcPr>
                  <w:tcW w:w="465" w:type="pct"/>
                  <w:tcBorders>
                    <w:top w:val="single" w:color="auto" w:sz="4" w:space="0"/>
                    <w:left w:val="single" w:color="auto" w:sz="4" w:space="0"/>
                    <w:bottom w:val="single" w:color="auto" w:sz="4" w:space="0"/>
                    <w:right w:val="nil"/>
                  </w:tcBorders>
                  <w:vAlign w:val="center"/>
                </w:tcPr>
                <w:p>
                  <w:pPr>
                    <w:wordWrap w:val="0"/>
                    <w:snapToGrid w:val="0"/>
                    <w:jc w:val="center"/>
                    <w:rPr>
                      <w:color w:val="auto"/>
                      <w:szCs w:val="21"/>
                    </w:rPr>
                  </w:pPr>
                  <w:r>
                    <w:rPr>
                      <w:color w:val="auto"/>
                      <w:szCs w:val="21"/>
                      <w:lang w:bidi="ar"/>
                    </w:rPr>
                    <w:t>190</w:t>
                  </w:r>
                </w:p>
              </w:tc>
            </w:tr>
            <w:tr>
              <w:tblPrEx>
                <w:tblBorders>
                  <w:top w:val="single" w:color="auto" w:sz="12" w:space="0"/>
                  <w:left w:val="none" w:color="auto" w:sz="6" w:space="0"/>
                  <w:bottom w:val="single" w:color="auto" w:sz="12" w:space="0"/>
                  <w:right w:val="none" w:color="auto" w:sz="6"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06" w:type="pct"/>
                  <w:vMerge w:val="continue"/>
                  <w:tcBorders>
                    <w:top w:val="single" w:color="auto" w:sz="4" w:space="0"/>
                    <w:left w:val="nil"/>
                    <w:bottom w:val="single" w:color="auto" w:sz="4" w:space="0"/>
                    <w:right w:val="single" w:color="auto" w:sz="4" w:space="0"/>
                  </w:tcBorders>
                  <w:vAlign w:val="center"/>
                </w:tcPr>
                <w:p>
                  <w:pPr>
                    <w:wordWrap w:val="0"/>
                    <w:rPr>
                      <w:color w:val="auto"/>
                      <w:szCs w:val="21"/>
                    </w:rPr>
                  </w:pPr>
                </w:p>
              </w:tc>
              <w:tc>
                <w:tcPr>
                  <w:tcW w:w="528" w:type="pct"/>
                  <w:tcBorders>
                    <w:top w:val="single" w:color="auto" w:sz="4" w:space="0"/>
                    <w:left w:val="single" w:color="auto" w:sz="4" w:space="0"/>
                    <w:bottom w:val="single" w:color="auto" w:sz="4" w:space="0"/>
                    <w:right w:val="single" w:color="auto" w:sz="4" w:space="0"/>
                  </w:tcBorders>
                  <w:vAlign w:val="center"/>
                </w:tcPr>
                <w:p>
                  <w:pPr>
                    <w:wordWrap w:val="0"/>
                    <w:snapToGrid w:val="0"/>
                    <w:jc w:val="center"/>
                    <w:rPr>
                      <w:color w:val="auto"/>
                      <w:szCs w:val="21"/>
                    </w:rPr>
                  </w:pPr>
                  <w:r>
                    <w:rPr>
                      <w:color w:val="auto"/>
                      <w:szCs w:val="21"/>
                      <w:lang w:bidi="ar"/>
                    </w:rPr>
                    <w:t>＞4</w:t>
                  </w:r>
                </w:p>
              </w:tc>
              <w:tc>
                <w:tcPr>
                  <w:tcW w:w="462" w:type="pct"/>
                  <w:tcBorders>
                    <w:top w:val="single" w:color="auto" w:sz="4" w:space="0"/>
                    <w:left w:val="single" w:color="auto" w:sz="4" w:space="0"/>
                    <w:bottom w:val="single" w:color="auto" w:sz="4" w:space="0"/>
                    <w:right w:val="single" w:color="auto" w:sz="4" w:space="0"/>
                  </w:tcBorders>
                  <w:vAlign w:val="center"/>
                </w:tcPr>
                <w:p>
                  <w:pPr>
                    <w:wordWrap w:val="0"/>
                    <w:snapToGrid w:val="0"/>
                    <w:jc w:val="center"/>
                    <w:rPr>
                      <w:color w:val="auto"/>
                      <w:szCs w:val="21"/>
                    </w:rPr>
                  </w:pPr>
                  <w:r>
                    <w:rPr>
                      <w:color w:val="auto"/>
                      <w:szCs w:val="21"/>
                      <w:lang w:bidi="ar"/>
                    </w:rPr>
                    <w:t>530</w:t>
                  </w:r>
                </w:p>
              </w:tc>
              <w:tc>
                <w:tcPr>
                  <w:tcW w:w="462" w:type="pct"/>
                  <w:tcBorders>
                    <w:top w:val="single" w:color="auto" w:sz="4" w:space="0"/>
                    <w:left w:val="single" w:color="auto" w:sz="4" w:space="0"/>
                    <w:bottom w:val="single" w:color="auto" w:sz="4" w:space="0"/>
                    <w:right w:val="single" w:color="auto" w:sz="4" w:space="0"/>
                  </w:tcBorders>
                  <w:vAlign w:val="center"/>
                </w:tcPr>
                <w:p>
                  <w:pPr>
                    <w:wordWrap w:val="0"/>
                    <w:snapToGrid w:val="0"/>
                    <w:jc w:val="center"/>
                    <w:rPr>
                      <w:color w:val="auto"/>
                      <w:szCs w:val="21"/>
                    </w:rPr>
                  </w:pPr>
                  <w:r>
                    <w:rPr>
                      <w:color w:val="auto"/>
                      <w:szCs w:val="21"/>
                      <w:lang w:bidi="ar"/>
                    </w:rPr>
                    <w:t>350</w:t>
                  </w:r>
                </w:p>
              </w:tc>
              <w:tc>
                <w:tcPr>
                  <w:tcW w:w="464" w:type="pct"/>
                  <w:tcBorders>
                    <w:top w:val="single" w:color="auto" w:sz="4" w:space="0"/>
                    <w:left w:val="single" w:color="auto" w:sz="4" w:space="0"/>
                    <w:bottom w:val="single" w:color="auto" w:sz="4" w:space="0"/>
                    <w:right w:val="single" w:color="auto" w:sz="4" w:space="0"/>
                  </w:tcBorders>
                  <w:vAlign w:val="center"/>
                </w:tcPr>
                <w:p>
                  <w:pPr>
                    <w:wordWrap w:val="0"/>
                    <w:snapToGrid w:val="0"/>
                    <w:jc w:val="center"/>
                    <w:rPr>
                      <w:color w:val="auto"/>
                      <w:szCs w:val="21"/>
                    </w:rPr>
                  </w:pPr>
                  <w:r>
                    <w:rPr>
                      <w:color w:val="auto"/>
                      <w:szCs w:val="21"/>
                      <w:lang w:bidi="ar"/>
                    </w:rPr>
                    <w:t>260</w:t>
                  </w:r>
                </w:p>
              </w:tc>
              <w:tc>
                <w:tcPr>
                  <w:tcW w:w="462" w:type="pct"/>
                  <w:tcBorders>
                    <w:top w:val="single" w:color="auto" w:sz="4" w:space="0"/>
                    <w:left w:val="single" w:color="auto" w:sz="4" w:space="0"/>
                    <w:bottom w:val="single" w:color="auto" w:sz="4" w:space="0"/>
                    <w:right w:val="single" w:color="auto" w:sz="4" w:space="0"/>
                  </w:tcBorders>
                  <w:vAlign w:val="center"/>
                </w:tcPr>
                <w:p>
                  <w:pPr>
                    <w:wordWrap w:val="0"/>
                    <w:snapToGrid w:val="0"/>
                    <w:jc w:val="center"/>
                    <w:rPr>
                      <w:color w:val="auto"/>
                      <w:szCs w:val="21"/>
                    </w:rPr>
                  </w:pPr>
                  <w:r>
                    <w:rPr>
                      <w:color w:val="auto"/>
                      <w:szCs w:val="21"/>
                      <w:lang w:bidi="ar"/>
                    </w:rPr>
                    <w:t>530</w:t>
                  </w:r>
                </w:p>
              </w:tc>
              <w:tc>
                <w:tcPr>
                  <w:tcW w:w="462" w:type="pct"/>
                  <w:tcBorders>
                    <w:top w:val="single" w:color="auto" w:sz="4" w:space="0"/>
                    <w:left w:val="single" w:color="auto" w:sz="4" w:space="0"/>
                    <w:bottom w:val="single" w:color="auto" w:sz="4" w:space="0"/>
                    <w:right w:val="single" w:color="auto" w:sz="4" w:space="0"/>
                  </w:tcBorders>
                  <w:vAlign w:val="center"/>
                </w:tcPr>
                <w:p>
                  <w:pPr>
                    <w:wordWrap w:val="0"/>
                    <w:snapToGrid w:val="0"/>
                    <w:jc w:val="center"/>
                    <w:rPr>
                      <w:color w:val="auto"/>
                      <w:szCs w:val="21"/>
                    </w:rPr>
                  </w:pPr>
                  <w:r>
                    <w:rPr>
                      <w:color w:val="auto"/>
                      <w:szCs w:val="21"/>
                      <w:lang w:bidi="ar"/>
                    </w:rPr>
                    <w:t>350</w:t>
                  </w:r>
                </w:p>
              </w:tc>
              <w:tc>
                <w:tcPr>
                  <w:tcW w:w="462" w:type="pct"/>
                  <w:tcBorders>
                    <w:top w:val="single" w:color="auto" w:sz="4" w:space="0"/>
                    <w:left w:val="single" w:color="auto" w:sz="4" w:space="0"/>
                    <w:bottom w:val="single" w:color="auto" w:sz="4" w:space="0"/>
                    <w:right w:val="single" w:color="auto" w:sz="4" w:space="0"/>
                  </w:tcBorders>
                  <w:vAlign w:val="center"/>
                </w:tcPr>
                <w:p>
                  <w:pPr>
                    <w:wordWrap w:val="0"/>
                    <w:snapToGrid w:val="0"/>
                    <w:jc w:val="center"/>
                    <w:rPr>
                      <w:color w:val="auto"/>
                      <w:szCs w:val="21"/>
                    </w:rPr>
                  </w:pPr>
                  <w:r>
                    <w:rPr>
                      <w:color w:val="auto"/>
                      <w:szCs w:val="21"/>
                      <w:lang w:bidi="ar"/>
                    </w:rPr>
                    <w:t>260</w:t>
                  </w:r>
                </w:p>
              </w:tc>
              <w:tc>
                <w:tcPr>
                  <w:tcW w:w="462" w:type="pct"/>
                  <w:tcBorders>
                    <w:top w:val="single" w:color="auto" w:sz="4" w:space="0"/>
                    <w:left w:val="single" w:color="auto" w:sz="4" w:space="0"/>
                    <w:bottom w:val="single" w:color="auto" w:sz="4" w:space="0"/>
                    <w:right w:val="single" w:color="auto" w:sz="4" w:space="0"/>
                  </w:tcBorders>
                  <w:vAlign w:val="center"/>
                </w:tcPr>
                <w:p>
                  <w:pPr>
                    <w:wordWrap w:val="0"/>
                    <w:snapToGrid w:val="0"/>
                    <w:jc w:val="center"/>
                    <w:rPr>
                      <w:color w:val="auto"/>
                      <w:szCs w:val="21"/>
                    </w:rPr>
                  </w:pPr>
                  <w:r>
                    <w:rPr>
                      <w:color w:val="auto"/>
                      <w:szCs w:val="21"/>
                      <w:lang w:bidi="ar"/>
                    </w:rPr>
                    <w:t>290</w:t>
                  </w:r>
                </w:p>
              </w:tc>
              <w:tc>
                <w:tcPr>
                  <w:tcW w:w="462" w:type="pct"/>
                  <w:tcBorders>
                    <w:top w:val="single" w:color="auto" w:sz="4" w:space="0"/>
                    <w:left w:val="single" w:color="auto" w:sz="4" w:space="0"/>
                    <w:bottom w:val="single" w:color="auto" w:sz="4" w:space="0"/>
                    <w:right w:val="single" w:color="auto" w:sz="4" w:space="0"/>
                  </w:tcBorders>
                  <w:vAlign w:val="center"/>
                </w:tcPr>
                <w:p>
                  <w:pPr>
                    <w:wordWrap w:val="0"/>
                    <w:snapToGrid w:val="0"/>
                    <w:jc w:val="center"/>
                    <w:rPr>
                      <w:color w:val="auto"/>
                      <w:szCs w:val="21"/>
                    </w:rPr>
                  </w:pPr>
                  <w:r>
                    <w:rPr>
                      <w:color w:val="auto"/>
                      <w:szCs w:val="21"/>
                      <w:lang w:bidi="ar"/>
                    </w:rPr>
                    <w:t>190</w:t>
                  </w:r>
                </w:p>
              </w:tc>
              <w:tc>
                <w:tcPr>
                  <w:tcW w:w="465" w:type="pct"/>
                  <w:tcBorders>
                    <w:top w:val="single" w:color="auto" w:sz="4" w:space="0"/>
                    <w:left w:val="single" w:color="auto" w:sz="4" w:space="0"/>
                    <w:bottom w:val="single" w:color="auto" w:sz="4" w:space="0"/>
                    <w:right w:val="nil"/>
                  </w:tcBorders>
                  <w:vAlign w:val="center"/>
                </w:tcPr>
                <w:p>
                  <w:pPr>
                    <w:wordWrap w:val="0"/>
                    <w:snapToGrid w:val="0"/>
                    <w:jc w:val="center"/>
                    <w:rPr>
                      <w:color w:val="auto"/>
                      <w:szCs w:val="21"/>
                    </w:rPr>
                  </w:pPr>
                  <w:r>
                    <w:rPr>
                      <w:color w:val="auto"/>
                      <w:szCs w:val="21"/>
                      <w:lang w:bidi="ar"/>
                    </w:rPr>
                    <w:t>140</w:t>
                  </w:r>
                </w:p>
              </w:tc>
            </w:tr>
            <w:tr>
              <w:tblPrEx>
                <w:tblBorders>
                  <w:top w:val="single" w:color="auto" w:sz="12" w:space="0"/>
                  <w:left w:val="none" w:color="auto" w:sz="6" w:space="0"/>
                  <w:bottom w:val="single" w:color="auto" w:sz="12" w:space="0"/>
                  <w:right w:val="none" w:color="auto" w:sz="6"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06" w:type="pct"/>
                  <w:vMerge w:val="restart"/>
                  <w:tcBorders>
                    <w:top w:val="single" w:color="auto" w:sz="4" w:space="0"/>
                    <w:left w:val="nil"/>
                    <w:bottom w:val="single" w:color="auto" w:sz="4" w:space="0"/>
                    <w:right w:val="single" w:color="auto" w:sz="4" w:space="0"/>
                  </w:tcBorders>
                  <w:vAlign w:val="center"/>
                </w:tcPr>
                <w:p>
                  <w:pPr>
                    <w:wordWrap w:val="0"/>
                    <w:snapToGrid w:val="0"/>
                    <w:jc w:val="center"/>
                    <w:rPr>
                      <w:color w:val="auto"/>
                      <w:szCs w:val="21"/>
                    </w:rPr>
                  </w:pPr>
                  <w:r>
                    <w:rPr>
                      <w:color w:val="auto"/>
                      <w:szCs w:val="21"/>
                      <w:lang w:bidi="ar"/>
                    </w:rPr>
                    <w:t>B</w:t>
                  </w:r>
                </w:p>
              </w:tc>
              <w:tc>
                <w:tcPr>
                  <w:tcW w:w="528" w:type="pct"/>
                  <w:tcBorders>
                    <w:top w:val="single" w:color="auto" w:sz="4" w:space="0"/>
                    <w:left w:val="single" w:color="auto" w:sz="4" w:space="0"/>
                    <w:bottom w:val="single" w:color="auto" w:sz="4" w:space="0"/>
                    <w:right w:val="single" w:color="auto" w:sz="4" w:space="0"/>
                  </w:tcBorders>
                  <w:vAlign w:val="center"/>
                </w:tcPr>
                <w:p>
                  <w:pPr>
                    <w:wordWrap w:val="0"/>
                    <w:snapToGrid w:val="0"/>
                    <w:jc w:val="center"/>
                    <w:rPr>
                      <w:color w:val="auto"/>
                      <w:szCs w:val="21"/>
                    </w:rPr>
                  </w:pPr>
                  <w:r>
                    <w:rPr>
                      <w:color w:val="auto"/>
                      <w:szCs w:val="21"/>
                      <w:lang w:bidi="ar"/>
                    </w:rPr>
                    <w:t>＜2</w:t>
                  </w:r>
                </w:p>
              </w:tc>
              <w:tc>
                <w:tcPr>
                  <w:tcW w:w="1388" w:type="pct"/>
                  <w:gridSpan w:val="3"/>
                  <w:tcBorders>
                    <w:top w:val="single" w:color="auto" w:sz="4" w:space="0"/>
                    <w:left w:val="single" w:color="auto" w:sz="4" w:space="0"/>
                    <w:bottom w:val="single" w:color="auto" w:sz="4" w:space="0"/>
                    <w:right w:val="single" w:color="auto" w:sz="4" w:space="0"/>
                  </w:tcBorders>
                  <w:vAlign w:val="center"/>
                </w:tcPr>
                <w:p>
                  <w:pPr>
                    <w:wordWrap w:val="0"/>
                    <w:snapToGrid w:val="0"/>
                    <w:jc w:val="center"/>
                    <w:rPr>
                      <w:color w:val="auto"/>
                      <w:szCs w:val="21"/>
                    </w:rPr>
                  </w:pPr>
                  <w:r>
                    <w:rPr>
                      <w:color w:val="auto"/>
                      <w:szCs w:val="21"/>
                      <w:lang w:bidi="ar"/>
                    </w:rPr>
                    <w:t>0.01</w:t>
                  </w:r>
                </w:p>
              </w:tc>
              <w:tc>
                <w:tcPr>
                  <w:tcW w:w="1386" w:type="pct"/>
                  <w:gridSpan w:val="3"/>
                  <w:tcBorders>
                    <w:top w:val="single" w:color="auto" w:sz="4" w:space="0"/>
                    <w:left w:val="single" w:color="auto" w:sz="4" w:space="0"/>
                    <w:bottom w:val="single" w:color="auto" w:sz="4" w:space="0"/>
                    <w:right w:val="single" w:color="auto" w:sz="4" w:space="0"/>
                  </w:tcBorders>
                  <w:vAlign w:val="center"/>
                </w:tcPr>
                <w:p>
                  <w:pPr>
                    <w:wordWrap w:val="0"/>
                    <w:snapToGrid w:val="0"/>
                    <w:jc w:val="center"/>
                    <w:rPr>
                      <w:color w:val="auto"/>
                      <w:szCs w:val="21"/>
                    </w:rPr>
                  </w:pPr>
                  <w:r>
                    <w:rPr>
                      <w:color w:val="auto"/>
                      <w:szCs w:val="21"/>
                      <w:lang w:bidi="ar"/>
                    </w:rPr>
                    <w:t>0.015</w:t>
                  </w:r>
                </w:p>
              </w:tc>
              <w:tc>
                <w:tcPr>
                  <w:tcW w:w="1389" w:type="pct"/>
                  <w:gridSpan w:val="3"/>
                  <w:tcBorders>
                    <w:top w:val="single" w:color="auto" w:sz="4" w:space="0"/>
                    <w:left w:val="single" w:color="auto" w:sz="4" w:space="0"/>
                    <w:bottom w:val="single" w:color="auto" w:sz="4" w:space="0"/>
                    <w:right w:val="nil"/>
                  </w:tcBorders>
                  <w:vAlign w:val="center"/>
                </w:tcPr>
                <w:p>
                  <w:pPr>
                    <w:wordWrap w:val="0"/>
                    <w:snapToGrid w:val="0"/>
                    <w:jc w:val="center"/>
                    <w:rPr>
                      <w:color w:val="auto"/>
                      <w:szCs w:val="21"/>
                    </w:rPr>
                  </w:pPr>
                  <w:r>
                    <w:rPr>
                      <w:color w:val="auto"/>
                      <w:szCs w:val="21"/>
                      <w:lang w:bidi="ar"/>
                    </w:rPr>
                    <w:t>0.015</w:t>
                  </w:r>
                </w:p>
              </w:tc>
            </w:tr>
            <w:tr>
              <w:tblPrEx>
                <w:tblBorders>
                  <w:top w:val="single" w:color="auto" w:sz="12" w:space="0"/>
                  <w:left w:val="none" w:color="auto" w:sz="6" w:space="0"/>
                  <w:bottom w:val="single" w:color="auto" w:sz="12" w:space="0"/>
                  <w:right w:val="none" w:color="auto" w:sz="6"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06" w:type="pct"/>
                  <w:vMerge w:val="continue"/>
                  <w:tcBorders>
                    <w:top w:val="single" w:color="auto" w:sz="4" w:space="0"/>
                    <w:left w:val="nil"/>
                    <w:bottom w:val="single" w:color="auto" w:sz="4" w:space="0"/>
                    <w:right w:val="single" w:color="auto" w:sz="4" w:space="0"/>
                  </w:tcBorders>
                  <w:shd w:val="clear" w:color="auto" w:fill="auto"/>
                  <w:vAlign w:val="center"/>
                </w:tcPr>
                <w:p>
                  <w:pPr>
                    <w:wordWrap w:val="0"/>
                    <w:rPr>
                      <w:color w:val="auto"/>
                      <w:szCs w:val="21"/>
                    </w:rPr>
                  </w:pPr>
                </w:p>
              </w:tc>
              <w:tc>
                <w:tcPr>
                  <w:tcW w:w="528" w:type="pct"/>
                  <w:tcBorders>
                    <w:top w:val="single" w:color="auto" w:sz="4" w:space="0"/>
                    <w:left w:val="single" w:color="auto" w:sz="4" w:space="0"/>
                    <w:bottom w:val="single" w:color="auto" w:sz="4" w:space="0"/>
                    <w:right w:val="single" w:color="auto" w:sz="4" w:space="0"/>
                  </w:tcBorders>
                  <w:shd w:val="clear" w:color="auto" w:fill="auto"/>
                  <w:vAlign w:val="center"/>
                </w:tcPr>
                <w:p>
                  <w:pPr>
                    <w:wordWrap w:val="0"/>
                    <w:snapToGrid w:val="0"/>
                    <w:jc w:val="center"/>
                    <w:rPr>
                      <w:color w:val="auto"/>
                      <w:szCs w:val="21"/>
                    </w:rPr>
                  </w:pPr>
                  <w:r>
                    <w:rPr>
                      <w:color w:val="auto"/>
                      <w:szCs w:val="21"/>
                      <w:lang w:bidi="ar"/>
                    </w:rPr>
                    <w:t>＞2</w:t>
                  </w:r>
                </w:p>
              </w:tc>
              <w:tc>
                <w:tcPr>
                  <w:tcW w:w="1388" w:type="pct"/>
                  <w:gridSpan w:val="3"/>
                  <w:tcBorders>
                    <w:top w:val="single" w:color="auto" w:sz="4" w:space="0"/>
                    <w:left w:val="single" w:color="auto" w:sz="4" w:space="0"/>
                    <w:bottom w:val="single" w:color="auto" w:sz="4" w:space="0"/>
                    <w:right w:val="single" w:color="auto" w:sz="4" w:space="0"/>
                  </w:tcBorders>
                  <w:shd w:val="clear" w:color="auto" w:fill="A0A0A0"/>
                  <w:vAlign w:val="center"/>
                </w:tcPr>
                <w:p>
                  <w:pPr>
                    <w:wordWrap w:val="0"/>
                    <w:snapToGrid w:val="0"/>
                    <w:jc w:val="center"/>
                    <w:rPr>
                      <w:color w:val="auto"/>
                      <w:szCs w:val="21"/>
                    </w:rPr>
                  </w:pPr>
                  <w:r>
                    <w:rPr>
                      <w:color w:val="auto"/>
                      <w:szCs w:val="21"/>
                      <w:lang w:bidi="ar"/>
                    </w:rPr>
                    <w:t>0.021</w:t>
                  </w:r>
                </w:p>
              </w:tc>
              <w:tc>
                <w:tcPr>
                  <w:tcW w:w="1386" w:type="pct"/>
                  <w:gridSpan w:val="3"/>
                  <w:tcBorders>
                    <w:top w:val="single" w:color="auto" w:sz="4" w:space="0"/>
                    <w:left w:val="single" w:color="auto" w:sz="4" w:space="0"/>
                    <w:bottom w:val="single" w:color="auto" w:sz="4" w:space="0"/>
                    <w:right w:val="single" w:color="auto" w:sz="4" w:space="0"/>
                  </w:tcBorders>
                  <w:vAlign w:val="center"/>
                </w:tcPr>
                <w:p>
                  <w:pPr>
                    <w:wordWrap w:val="0"/>
                    <w:snapToGrid w:val="0"/>
                    <w:jc w:val="center"/>
                    <w:rPr>
                      <w:color w:val="auto"/>
                      <w:szCs w:val="21"/>
                    </w:rPr>
                  </w:pPr>
                  <w:r>
                    <w:rPr>
                      <w:color w:val="auto"/>
                      <w:szCs w:val="21"/>
                      <w:lang w:bidi="ar"/>
                    </w:rPr>
                    <w:t>0.036</w:t>
                  </w:r>
                </w:p>
              </w:tc>
              <w:tc>
                <w:tcPr>
                  <w:tcW w:w="1389" w:type="pct"/>
                  <w:gridSpan w:val="3"/>
                  <w:tcBorders>
                    <w:top w:val="single" w:color="auto" w:sz="4" w:space="0"/>
                    <w:left w:val="single" w:color="auto" w:sz="4" w:space="0"/>
                    <w:bottom w:val="single" w:color="auto" w:sz="4" w:space="0"/>
                    <w:right w:val="nil"/>
                  </w:tcBorders>
                  <w:vAlign w:val="center"/>
                </w:tcPr>
                <w:p>
                  <w:pPr>
                    <w:wordWrap w:val="0"/>
                    <w:snapToGrid w:val="0"/>
                    <w:jc w:val="center"/>
                    <w:rPr>
                      <w:color w:val="auto"/>
                      <w:szCs w:val="21"/>
                    </w:rPr>
                  </w:pPr>
                  <w:r>
                    <w:rPr>
                      <w:color w:val="auto"/>
                      <w:szCs w:val="21"/>
                      <w:lang w:bidi="ar"/>
                    </w:rPr>
                    <w:t>0.036</w:t>
                  </w:r>
                </w:p>
              </w:tc>
            </w:tr>
            <w:tr>
              <w:tblPrEx>
                <w:tblBorders>
                  <w:top w:val="single" w:color="auto" w:sz="12" w:space="0"/>
                  <w:left w:val="none" w:color="auto" w:sz="6" w:space="0"/>
                  <w:bottom w:val="single" w:color="auto" w:sz="12" w:space="0"/>
                  <w:right w:val="none" w:color="auto" w:sz="6"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06" w:type="pct"/>
                  <w:vMerge w:val="restart"/>
                  <w:tcBorders>
                    <w:top w:val="single" w:color="auto" w:sz="4" w:space="0"/>
                    <w:left w:val="nil"/>
                    <w:bottom w:val="single" w:color="auto" w:sz="4" w:space="0"/>
                    <w:right w:val="single" w:color="auto" w:sz="4" w:space="0"/>
                  </w:tcBorders>
                  <w:vAlign w:val="center"/>
                </w:tcPr>
                <w:p>
                  <w:pPr>
                    <w:wordWrap w:val="0"/>
                    <w:snapToGrid w:val="0"/>
                    <w:jc w:val="center"/>
                    <w:rPr>
                      <w:color w:val="auto"/>
                      <w:szCs w:val="21"/>
                    </w:rPr>
                  </w:pPr>
                  <w:r>
                    <w:rPr>
                      <w:color w:val="auto"/>
                      <w:szCs w:val="21"/>
                      <w:lang w:bidi="ar"/>
                    </w:rPr>
                    <w:t>C</w:t>
                  </w:r>
                </w:p>
              </w:tc>
              <w:tc>
                <w:tcPr>
                  <w:tcW w:w="528" w:type="pct"/>
                  <w:tcBorders>
                    <w:top w:val="single" w:color="auto" w:sz="4" w:space="0"/>
                    <w:left w:val="single" w:color="auto" w:sz="4" w:space="0"/>
                    <w:bottom w:val="single" w:color="auto" w:sz="4" w:space="0"/>
                    <w:right w:val="single" w:color="auto" w:sz="4" w:space="0"/>
                  </w:tcBorders>
                  <w:vAlign w:val="center"/>
                </w:tcPr>
                <w:p>
                  <w:pPr>
                    <w:wordWrap w:val="0"/>
                    <w:snapToGrid w:val="0"/>
                    <w:jc w:val="center"/>
                    <w:rPr>
                      <w:color w:val="auto"/>
                      <w:szCs w:val="21"/>
                    </w:rPr>
                  </w:pPr>
                  <w:r>
                    <w:rPr>
                      <w:color w:val="auto"/>
                      <w:szCs w:val="21"/>
                      <w:lang w:bidi="ar"/>
                    </w:rPr>
                    <w:t>＜2</w:t>
                  </w:r>
                </w:p>
              </w:tc>
              <w:tc>
                <w:tcPr>
                  <w:tcW w:w="1388" w:type="pct"/>
                  <w:gridSpan w:val="3"/>
                  <w:tcBorders>
                    <w:top w:val="single" w:color="auto" w:sz="4" w:space="0"/>
                    <w:left w:val="single" w:color="auto" w:sz="4" w:space="0"/>
                    <w:bottom w:val="single" w:color="auto" w:sz="4" w:space="0"/>
                    <w:right w:val="single" w:color="auto" w:sz="4" w:space="0"/>
                  </w:tcBorders>
                  <w:vAlign w:val="center"/>
                </w:tcPr>
                <w:p>
                  <w:pPr>
                    <w:wordWrap w:val="0"/>
                    <w:snapToGrid w:val="0"/>
                    <w:jc w:val="center"/>
                    <w:rPr>
                      <w:color w:val="auto"/>
                      <w:szCs w:val="21"/>
                    </w:rPr>
                  </w:pPr>
                  <w:r>
                    <w:rPr>
                      <w:color w:val="auto"/>
                      <w:szCs w:val="21"/>
                      <w:lang w:bidi="ar"/>
                    </w:rPr>
                    <w:t>1.85</w:t>
                  </w:r>
                </w:p>
              </w:tc>
              <w:tc>
                <w:tcPr>
                  <w:tcW w:w="1386" w:type="pct"/>
                  <w:gridSpan w:val="3"/>
                  <w:tcBorders>
                    <w:top w:val="single" w:color="auto" w:sz="4" w:space="0"/>
                    <w:left w:val="single" w:color="auto" w:sz="4" w:space="0"/>
                    <w:bottom w:val="single" w:color="auto" w:sz="4" w:space="0"/>
                    <w:right w:val="single" w:color="auto" w:sz="4" w:space="0"/>
                  </w:tcBorders>
                  <w:vAlign w:val="center"/>
                </w:tcPr>
                <w:p>
                  <w:pPr>
                    <w:wordWrap w:val="0"/>
                    <w:snapToGrid w:val="0"/>
                    <w:jc w:val="center"/>
                    <w:rPr>
                      <w:color w:val="auto"/>
                      <w:szCs w:val="21"/>
                    </w:rPr>
                  </w:pPr>
                  <w:r>
                    <w:rPr>
                      <w:color w:val="auto"/>
                      <w:szCs w:val="21"/>
                      <w:lang w:bidi="ar"/>
                    </w:rPr>
                    <w:t>1.79</w:t>
                  </w:r>
                </w:p>
              </w:tc>
              <w:tc>
                <w:tcPr>
                  <w:tcW w:w="1389" w:type="pct"/>
                  <w:gridSpan w:val="3"/>
                  <w:tcBorders>
                    <w:top w:val="single" w:color="auto" w:sz="4" w:space="0"/>
                    <w:left w:val="single" w:color="auto" w:sz="4" w:space="0"/>
                    <w:bottom w:val="single" w:color="auto" w:sz="4" w:space="0"/>
                    <w:right w:val="nil"/>
                  </w:tcBorders>
                  <w:vAlign w:val="center"/>
                </w:tcPr>
                <w:p>
                  <w:pPr>
                    <w:wordWrap w:val="0"/>
                    <w:snapToGrid w:val="0"/>
                    <w:jc w:val="center"/>
                    <w:rPr>
                      <w:color w:val="auto"/>
                      <w:szCs w:val="21"/>
                    </w:rPr>
                  </w:pPr>
                  <w:r>
                    <w:rPr>
                      <w:color w:val="auto"/>
                      <w:szCs w:val="21"/>
                      <w:lang w:bidi="ar"/>
                    </w:rPr>
                    <w:t>1.79</w:t>
                  </w:r>
                </w:p>
              </w:tc>
            </w:tr>
            <w:tr>
              <w:tblPrEx>
                <w:tblBorders>
                  <w:top w:val="single" w:color="auto" w:sz="12" w:space="0"/>
                  <w:left w:val="none" w:color="auto" w:sz="6" w:space="0"/>
                  <w:bottom w:val="single" w:color="auto" w:sz="12" w:space="0"/>
                  <w:right w:val="none" w:color="auto" w:sz="6"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06" w:type="pct"/>
                  <w:vMerge w:val="continue"/>
                  <w:tcBorders>
                    <w:top w:val="single" w:color="auto" w:sz="4" w:space="0"/>
                    <w:left w:val="nil"/>
                    <w:bottom w:val="single" w:color="auto" w:sz="4" w:space="0"/>
                    <w:right w:val="single" w:color="auto" w:sz="4" w:space="0"/>
                  </w:tcBorders>
                  <w:shd w:val="clear" w:color="auto" w:fill="auto"/>
                  <w:vAlign w:val="center"/>
                </w:tcPr>
                <w:p>
                  <w:pPr>
                    <w:wordWrap w:val="0"/>
                    <w:rPr>
                      <w:color w:val="auto"/>
                      <w:szCs w:val="21"/>
                    </w:rPr>
                  </w:pPr>
                </w:p>
              </w:tc>
              <w:tc>
                <w:tcPr>
                  <w:tcW w:w="528" w:type="pct"/>
                  <w:tcBorders>
                    <w:top w:val="single" w:color="auto" w:sz="4" w:space="0"/>
                    <w:left w:val="single" w:color="auto" w:sz="4" w:space="0"/>
                    <w:bottom w:val="single" w:color="auto" w:sz="4" w:space="0"/>
                    <w:right w:val="single" w:color="auto" w:sz="4" w:space="0"/>
                  </w:tcBorders>
                  <w:shd w:val="clear" w:color="auto" w:fill="auto"/>
                  <w:vAlign w:val="center"/>
                </w:tcPr>
                <w:p>
                  <w:pPr>
                    <w:wordWrap w:val="0"/>
                    <w:snapToGrid w:val="0"/>
                    <w:jc w:val="center"/>
                    <w:rPr>
                      <w:color w:val="auto"/>
                      <w:szCs w:val="21"/>
                    </w:rPr>
                  </w:pPr>
                  <w:r>
                    <w:rPr>
                      <w:color w:val="auto"/>
                      <w:szCs w:val="21"/>
                      <w:lang w:bidi="ar"/>
                    </w:rPr>
                    <w:t>＞2</w:t>
                  </w:r>
                </w:p>
              </w:tc>
              <w:tc>
                <w:tcPr>
                  <w:tcW w:w="1388" w:type="pct"/>
                  <w:gridSpan w:val="3"/>
                  <w:tcBorders>
                    <w:top w:val="single" w:color="auto" w:sz="4" w:space="0"/>
                    <w:left w:val="single" w:color="auto" w:sz="4" w:space="0"/>
                    <w:bottom w:val="single" w:color="auto" w:sz="4" w:space="0"/>
                    <w:right w:val="single" w:color="auto" w:sz="4" w:space="0"/>
                  </w:tcBorders>
                  <w:shd w:val="clear" w:color="auto" w:fill="A0A0A0"/>
                  <w:vAlign w:val="center"/>
                </w:tcPr>
                <w:p>
                  <w:pPr>
                    <w:wordWrap w:val="0"/>
                    <w:snapToGrid w:val="0"/>
                    <w:jc w:val="center"/>
                    <w:rPr>
                      <w:color w:val="auto"/>
                      <w:szCs w:val="21"/>
                    </w:rPr>
                  </w:pPr>
                  <w:r>
                    <w:rPr>
                      <w:color w:val="auto"/>
                      <w:szCs w:val="21"/>
                      <w:lang w:bidi="ar"/>
                    </w:rPr>
                    <w:t>1.85</w:t>
                  </w:r>
                </w:p>
              </w:tc>
              <w:tc>
                <w:tcPr>
                  <w:tcW w:w="1386" w:type="pct"/>
                  <w:gridSpan w:val="3"/>
                  <w:tcBorders>
                    <w:top w:val="single" w:color="auto" w:sz="4" w:space="0"/>
                    <w:left w:val="single" w:color="auto" w:sz="4" w:space="0"/>
                    <w:bottom w:val="single" w:color="auto" w:sz="4" w:space="0"/>
                    <w:right w:val="single" w:color="auto" w:sz="4" w:space="0"/>
                  </w:tcBorders>
                  <w:vAlign w:val="center"/>
                </w:tcPr>
                <w:p>
                  <w:pPr>
                    <w:wordWrap w:val="0"/>
                    <w:snapToGrid w:val="0"/>
                    <w:jc w:val="center"/>
                    <w:rPr>
                      <w:color w:val="auto"/>
                      <w:szCs w:val="21"/>
                    </w:rPr>
                  </w:pPr>
                  <w:r>
                    <w:rPr>
                      <w:color w:val="auto"/>
                      <w:szCs w:val="21"/>
                      <w:lang w:bidi="ar"/>
                    </w:rPr>
                    <w:t>1.77</w:t>
                  </w:r>
                </w:p>
              </w:tc>
              <w:tc>
                <w:tcPr>
                  <w:tcW w:w="1389" w:type="pct"/>
                  <w:gridSpan w:val="3"/>
                  <w:tcBorders>
                    <w:top w:val="single" w:color="auto" w:sz="4" w:space="0"/>
                    <w:left w:val="single" w:color="auto" w:sz="4" w:space="0"/>
                    <w:bottom w:val="single" w:color="auto" w:sz="4" w:space="0"/>
                    <w:right w:val="nil"/>
                  </w:tcBorders>
                  <w:vAlign w:val="center"/>
                </w:tcPr>
                <w:p>
                  <w:pPr>
                    <w:wordWrap w:val="0"/>
                    <w:snapToGrid w:val="0"/>
                    <w:jc w:val="center"/>
                    <w:rPr>
                      <w:color w:val="auto"/>
                      <w:szCs w:val="21"/>
                    </w:rPr>
                  </w:pPr>
                  <w:r>
                    <w:rPr>
                      <w:color w:val="auto"/>
                      <w:szCs w:val="21"/>
                      <w:lang w:bidi="ar"/>
                    </w:rPr>
                    <w:t>1.77</w:t>
                  </w:r>
                </w:p>
              </w:tc>
            </w:tr>
            <w:tr>
              <w:tblPrEx>
                <w:tblBorders>
                  <w:top w:val="single" w:color="auto" w:sz="12" w:space="0"/>
                  <w:left w:val="none" w:color="auto" w:sz="6" w:space="0"/>
                  <w:bottom w:val="single" w:color="auto" w:sz="12" w:space="0"/>
                  <w:right w:val="none" w:color="auto" w:sz="6"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06" w:type="pct"/>
                  <w:vMerge w:val="restart"/>
                  <w:tcBorders>
                    <w:top w:val="single" w:color="auto" w:sz="4" w:space="0"/>
                    <w:left w:val="nil"/>
                    <w:bottom w:val="single" w:color="auto" w:sz="4" w:space="0"/>
                    <w:right w:val="single" w:color="auto" w:sz="4" w:space="0"/>
                  </w:tcBorders>
                  <w:vAlign w:val="center"/>
                </w:tcPr>
                <w:p>
                  <w:pPr>
                    <w:wordWrap w:val="0"/>
                    <w:snapToGrid w:val="0"/>
                    <w:jc w:val="center"/>
                    <w:rPr>
                      <w:color w:val="auto"/>
                      <w:szCs w:val="21"/>
                    </w:rPr>
                  </w:pPr>
                  <w:r>
                    <w:rPr>
                      <w:color w:val="auto"/>
                      <w:szCs w:val="21"/>
                      <w:lang w:bidi="ar"/>
                    </w:rPr>
                    <w:t>D</w:t>
                  </w:r>
                </w:p>
              </w:tc>
              <w:tc>
                <w:tcPr>
                  <w:tcW w:w="528" w:type="pct"/>
                  <w:tcBorders>
                    <w:top w:val="single" w:color="auto" w:sz="4" w:space="0"/>
                    <w:left w:val="single" w:color="auto" w:sz="4" w:space="0"/>
                    <w:bottom w:val="single" w:color="auto" w:sz="4" w:space="0"/>
                    <w:right w:val="single" w:color="auto" w:sz="4" w:space="0"/>
                  </w:tcBorders>
                  <w:vAlign w:val="center"/>
                </w:tcPr>
                <w:p>
                  <w:pPr>
                    <w:wordWrap w:val="0"/>
                    <w:snapToGrid w:val="0"/>
                    <w:jc w:val="center"/>
                    <w:rPr>
                      <w:color w:val="auto"/>
                      <w:szCs w:val="21"/>
                    </w:rPr>
                  </w:pPr>
                  <w:r>
                    <w:rPr>
                      <w:color w:val="auto"/>
                      <w:szCs w:val="21"/>
                      <w:lang w:bidi="ar"/>
                    </w:rPr>
                    <w:t>＜2</w:t>
                  </w:r>
                </w:p>
              </w:tc>
              <w:tc>
                <w:tcPr>
                  <w:tcW w:w="1388" w:type="pct"/>
                  <w:gridSpan w:val="3"/>
                  <w:tcBorders>
                    <w:top w:val="single" w:color="auto" w:sz="4" w:space="0"/>
                    <w:left w:val="single" w:color="auto" w:sz="4" w:space="0"/>
                    <w:bottom w:val="single" w:color="auto" w:sz="4" w:space="0"/>
                    <w:right w:val="single" w:color="auto" w:sz="4" w:space="0"/>
                  </w:tcBorders>
                  <w:vAlign w:val="center"/>
                </w:tcPr>
                <w:p>
                  <w:pPr>
                    <w:wordWrap w:val="0"/>
                    <w:snapToGrid w:val="0"/>
                    <w:jc w:val="center"/>
                    <w:rPr>
                      <w:color w:val="auto"/>
                      <w:szCs w:val="21"/>
                    </w:rPr>
                  </w:pPr>
                  <w:r>
                    <w:rPr>
                      <w:color w:val="auto"/>
                      <w:szCs w:val="21"/>
                      <w:lang w:bidi="ar"/>
                    </w:rPr>
                    <w:t>0.78</w:t>
                  </w:r>
                </w:p>
              </w:tc>
              <w:tc>
                <w:tcPr>
                  <w:tcW w:w="1386" w:type="pct"/>
                  <w:gridSpan w:val="3"/>
                  <w:tcBorders>
                    <w:top w:val="single" w:color="auto" w:sz="4" w:space="0"/>
                    <w:left w:val="single" w:color="auto" w:sz="4" w:space="0"/>
                    <w:bottom w:val="single" w:color="auto" w:sz="4" w:space="0"/>
                    <w:right w:val="single" w:color="auto" w:sz="4" w:space="0"/>
                  </w:tcBorders>
                  <w:vAlign w:val="center"/>
                </w:tcPr>
                <w:p>
                  <w:pPr>
                    <w:wordWrap w:val="0"/>
                    <w:snapToGrid w:val="0"/>
                    <w:jc w:val="center"/>
                    <w:rPr>
                      <w:color w:val="auto"/>
                      <w:szCs w:val="21"/>
                    </w:rPr>
                  </w:pPr>
                  <w:r>
                    <w:rPr>
                      <w:color w:val="auto"/>
                      <w:szCs w:val="21"/>
                      <w:lang w:bidi="ar"/>
                    </w:rPr>
                    <w:t>0.78</w:t>
                  </w:r>
                </w:p>
              </w:tc>
              <w:tc>
                <w:tcPr>
                  <w:tcW w:w="1389" w:type="pct"/>
                  <w:gridSpan w:val="3"/>
                  <w:tcBorders>
                    <w:top w:val="single" w:color="auto" w:sz="4" w:space="0"/>
                    <w:left w:val="single" w:color="auto" w:sz="4" w:space="0"/>
                    <w:bottom w:val="single" w:color="auto" w:sz="4" w:space="0"/>
                    <w:right w:val="nil"/>
                  </w:tcBorders>
                  <w:vAlign w:val="center"/>
                </w:tcPr>
                <w:p>
                  <w:pPr>
                    <w:wordWrap w:val="0"/>
                    <w:snapToGrid w:val="0"/>
                    <w:jc w:val="center"/>
                    <w:rPr>
                      <w:color w:val="auto"/>
                      <w:szCs w:val="21"/>
                    </w:rPr>
                  </w:pPr>
                  <w:r>
                    <w:rPr>
                      <w:color w:val="auto"/>
                      <w:szCs w:val="21"/>
                      <w:lang w:bidi="ar"/>
                    </w:rPr>
                    <w:t>0.57</w:t>
                  </w:r>
                </w:p>
              </w:tc>
            </w:tr>
            <w:tr>
              <w:tblPrEx>
                <w:tblBorders>
                  <w:top w:val="single" w:color="auto" w:sz="12" w:space="0"/>
                  <w:left w:val="none" w:color="auto" w:sz="6" w:space="0"/>
                  <w:bottom w:val="single" w:color="auto" w:sz="12" w:space="0"/>
                  <w:right w:val="none" w:color="auto" w:sz="6"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06" w:type="pct"/>
                  <w:vMerge w:val="continue"/>
                  <w:tcBorders>
                    <w:top w:val="single" w:color="auto" w:sz="4" w:space="0"/>
                    <w:left w:val="nil"/>
                    <w:right w:val="single" w:color="auto" w:sz="4" w:space="0"/>
                  </w:tcBorders>
                  <w:shd w:val="clear" w:color="auto" w:fill="auto"/>
                  <w:vAlign w:val="center"/>
                </w:tcPr>
                <w:p>
                  <w:pPr>
                    <w:wordWrap w:val="0"/>
                    <w:rPr>
                      <w:color w:val="auto"/>
                      <w:szCs w:val="21"/>
                    </w:rPr>
                  </w:pPr>
                </w:p>
              </w:tc>
              <w:tc>
                <w:tcPr>
                  <w:tcW w:w="528" w:type="pct"/>
                  <w:tcBorders>
                    <w:top w:val="single" w:color="auto" w:sz="4" w:space="0"/>
                    <w:left w:val="single" w:color="auto" w:sz="4" w:space="0"/>
                    <w:right w:val="single" w:color="auto" w:sz="4" w:space="0"/>
                  </w:tcBorders>
                  <w:shd w:val="clear" w:color="auto" w:fill="auto"/>
                  <w:vAlign w:val="center"/>
                </w:tcPr>
                <w:p>
                  <w:pPr>
                    <w:wordWrap w:val="0"/>
                    <w:snapToGrid w:val="0"/>
                    <w:jc w:val="center"/>
                    <w:rPr>
                      <w:color w:val="auto"/>
                      <w:szCs w:val="21"/>
                    </w:rPr>
                  </w:pPr>
                  <w:r>
                    <w:rPr>
                      <w:color w:val="auto"/>
                      <w:szCs w:val="21"/>
                      <w:lang w:bidi="ar"/>
                    </w:rPr>
                    <w:t>＞2</w:t>
                  </w:r>
                </w:p>
              </w:tc>
              <w:tc>
                <w:tcPr>
                  <w:tcW w:w="1388" w:type="pct"/>
                  <w:gridSpan w:val="3"/>
                  <w:tcBorders>
                    <w:top w:val="single" w:color="auto" w:sz="4" w:space="0"/>
                    <w:left w:val="single" w:color="auto" w:sz="4" w:space="0"/>
                    <w:right w:val="single" w:color="auto" w:sz="4" w:space="0"/>
                  </w:tcBorders>
                  <w:shd w:val="clear" w:color="auto" w:fill="A0A0A0"/>
                  <w:vAlign w:val="center"/>
                </w:tcPr>
                <w:p>
                  <w:pPr>
                    <w:wordWrap w:val="0"/>
                    <w:snapToGrid w:val="0"/>
                    <w:jc w:val="center"/>
                    <w:rPr>
                      <w:color w:val="auto"/>
                      <w:szCs w:val="21"/>
                    </w:rPr>
                  </w:pPr>
                  <w:r>
                    <w:rPr>
                      <w:color w:val="auto"/>
                      <w:szCs w:val="21"/>
                      <w:lang w:bidi="ar"/>
                    </w:rPr>
                    <w:t>0.84</w:t>
                  </w:r>
                </w:p>
              </w:tc>
              <w:tc>
                <w:tcPr>
                  <w:tcW w:w="1386" w:type="pct"/>
                  <w:gridSpan w:val="3"/>
                  <w:tcBorders>
                    <w:top w:val="single" w:color="auto" w:sz="4" w:space="0"/>
                    <w:left w:val="single" w:color="auto" w:sz="4" w:space="0"/>
                    <w:right w:val="single" w:color="auto" w:sz="4" w:space="0"/>
                  </w:tcBorders>
                  <w:vAlign w:val="center"/>
                </w:tcPr>
                <w:p>
                  <w:pPr>
                    <w:wordWrap w:val="0"/>
                    <w:snapToGrid w:val="0"/>
                    <w:jc w:val="center"/>
                    <w:rPr>
                      <w:color w:val="auto"/>
                      <w:szCs w:val="21"/>
                    </w:rPr>
                  </w:pPr>
                  <w:r>
                    <w:rPr>
                      <w:color w:val="auto"/>
                      <w:szCs w:val="21"/>
                      <w:lang w:bidi="ar"/>
                    </w:rPr>
                    <w:t>0.84</w:t>
                  </w:r>
                </w:p>
              </w:tc>
              <w:tc>
                <w:tcPr>
                  <w:tcW w:w="1389" w:type="pct"/>
                  <w:gridSpan w:val="3"/>
                  <w:tcBorders>
                    <w:top w:val="single" w:color="auto" w:sz="4" w:space="0"/>
                    <w:left w:val="single" w:color="auto" w:sz="4" w:space="0"/>
                    <w:right w:val="nil"/>
                  </w:tcBorders>
                  <w:vAlign w:val="center"/>
                </w:tcPr>
                <w:p>
                  <w:pPr>
                    <w:wordWrap w:val="0"/>
                    <w:snapToGrid w:val="0"/>
                    <w:jc w:val="center"/>
                    <w:rPr>
                      <w:color w:val="auto"/>
                      <w:szCs w:val="21"/>
                    </w:rPr>
                  </w:pPr>
                  <w:r>
                    <w:rPr>
                      <w:color w:val="auto"/>
                      <w:szCs w:val="21"/>
                      <w:lang w:bidi="ar"/>
                    </w:rPr>
                    <w:t>0.76</w:t>
                  </w:r>
                </w:p>
              </w:tc>
            </w:tr>
          </w:tbl>
          <w:p>
            <w:pPr>
              <w:wordWrap w:val="0"/>
              <w:spacing w:line="360" w:lineRule="auto"/>
              <w:ind w:firstLine="480" w:firstLineChars="200"/>
              <w:rPr>
                <w:color w:val="auto"/>
                <w:sz w:val="24"/>
              </w:rPr>
            </w:pPr>
            <w:r>
              <w:rPr>
                <w:color w:val="auto"/>
                <w:sz w:val="24"/>
                <w:lang w:bidi="ar"/>
              </w:rPr>
              <w:t>项目无组织排放卫生防护距离计算结果详见下表：</w:t>
            </w:r>
          </w:p>
          <w:p>
            <w:pPr>
              <w:wordWrap w:val="0"/>
              <w:snapToGrid w:val="0"/>
              <w:spacing w:line="360" w:lineRule="auto"/>
              <w:ind w:firstLine="422" w:firstLineChars="200"/>
              <w:jc w:val="center"/>
              <w:rPr>
                <w:b/>
                <w:color w:val="auto"/>
                <w:szCs w:val="21"/>
                <w:lang w:bidi="ar"/>
              </w:rPr>
            </w:pPr>
          </w:p>
          <w:p>
            <w:pPr>
              <w:wordWrap w:val="0"/>
              <w:snapToGrid w:val="0"/>
              <w:spacing w:line="360" w:lineRule="auto"/>
              <w:ind w:firstLine="422" w:firstLineChars="200"/>
              <w:jc w:val="center"/>
              <w:rPr>
                <w:b/>
                <w:color w:val="auto"/>
                <w:szCs w:val="21"/>
                <w:lang w:bidi="ar"/>
              </w:rPr>
            </w:pPr>
          </w:p>
          <w:p>
            <w:pPr>
              <w:wordWrap w:val="0"/>
              <w:snapToGrid w:val="0"/>
              <w:spacing w:line="360" w:lineRule="auto"/>
              <w:ind w:firstLine="422" w:firstLineChars="200"/>
              <w:jc w:val="center"/>
              <w:rPr>
                <w:b/>
                <w:color w:val="auto"/>
                <w:szCs w:val="21"/>
                <w:lang w:bidi="ar"/>
              </w:rPr>
            </w:pPr>
          </w:p>
          <w:p>
            <w:pPr>
              <w:wordWrap w:val="0"/>
              <w:snapToGrid w:val="0"/>
              <w:spacing w:line="360" w:lineRule="auto"/>
              <w:ind w:firstLine="422" w:firstLineChars="200"/>
              <w:jc w:val="center"/>
              <w:rPr>
                <w:b/>
                <w:color w:val="auto"/>
                <w:szCs w:val="21"/>
                <w:lang w:bidi="ar"/>
              </w:rPr>
            </w:pPr>
          </w:p>
          <w:p>
            <w:pPr>
              <w:wordWrap w:val="0"/>
              <w:snapToGrid w:val="0"/>
              <w:spacing w:line="360" w:lineRule="auto"/>
              <w:ind w:firstLine="422" w:firstLineChars="200"/>
              <w:jc w:val="center"/>
              <w:rPr>
                <w:b/>
                <w:color w:val="auto"/>
                <w:szCs w:val="21"/>
                <w:lang w:bidi="ar"/>
              </w:rPr>
            </w:pPr>
          </w:p>
          <w:p>
            <w:pPr>
              <w:wordWrap w:val="0"/>
              <w:snapToGrid w:val="0"/>
              <w:spacing w:line="360" w:lineRule="auto"/>
              <w:ind w:firstLine="422" w:firstLineChars="200"/>
              <w:jc w:val="center"/>
              <w:rPr>
                <w:b/>
                <w:color w:val="auto"/>
                <w:szCs w:val="21"/>
              </w:rPr>
            </w:pPr>
            <w:r>
              <w:rPr>
                <w:b/>
                <w:color w:val="auto"/>
                <w:szCs w:val="21"/>
                <w:lang w:bidi="ar"/>
              </w:rPr>
              <w:t>表4.2-1</w:t>
            </w:r>
            <w:r>
              <w:rPr>
                <w:rFonts w:hint="eastAsia"/>
                <w:b/>
                <w:color w:val="auto"/>
                <w:szCs w:val="21"/>
                <w:lang w:val="en-US" w:eastAsia="zh-CN" w:bidi="ar"/>
              </w:rPr>
              <w:t>4</w:t>
            </w:r>
            <w:r>
              <w:rPr>
                <w:b/>
                <w:color w:val="auto"/>
                <w:szCs w:val="21"/>
                <w:lang w:bidi="ar"/>
              </w:rPr>
              <w:t xml:space="preserve">  卫生防护距离计算结果一览表</w:t>
            </w:r>
          </w:p>
          <w:tbl>
            <w:tblPr>
              <w:tblStyle w:val="20"/>
              <w:tblW w:w="0" w:type="auto"/>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28" w:type="dxa"/>
                <w:bottom w:w="0" w:type="dxa"/>
                <w:right w:w="28" w:type="dxa"/>
              </w:tblCellMar>
            </w:tblPr>
            <w:tblGrid>
              <w:gridCol w:w="2135"/>
              <w:gridCol w:w="706"/>
              <w:gridCol w:w="1098"/>
              <w:gridCol w:w="1179"/>
              <w:gridCol w:w="1325"/>
              <w:gridCol w:w="1301"/>
              <w:gridCol w:w="895"/>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59" w:hRule="atLeast"/>
              </w:trPr>
              <w:tc>
                <w:tcPr>
                  <w:tcW w:w="2841" w:type="dxa"/>
                  <w:gridSpan w:val="2"/>
                  <w:vMerge w:val="restart"/>
                  <w:vAlign w:val="center"/>
                </w:tcPr>
                <w:p>
                  <w:pPr>
                    <w:adjustRightInd w:val="0"/>
                    <w:snapToGrid w:val="0"/>
                    <w:jc w:val="center"/>
                    <w:rPr>
                      <w:b/>
                      <w:bCs/>
                      <w:color w:val="auto"/>
                      <w:szCs w:val="21"/>
                    </w:rPr>
                  </w:pPr>
                  <w:r>
                    <w:rPr>
                      <w:b/>
                      <w:bCs/>
                      <w:color w:val="auto"/>
                      <w:szCs w:val="21"/>
                    </w:rPr>
                    <w:t>污染源及污染物</w:t>
                  </w:r>
                </w:p>
              </w:tc>
              <w:tc>
                <w:tcPr>
                  <w:tcW w:w="1098" w:type="dxa"/>
                  <w:vMerge w:val="restart"/>
                  <w:vAlign w:val="center"/>
                </w:tcPr>
                <w:p>
                  <w:pPr>
                    <w:adjustRightInd w:val="0"/>
                    <w:snapToGrid w:val="0"/>
                    <w:jc w:val="center"/>
                    <w:rPr>
                      <w:b/>
                      <w:bCs/>
                      <w:color w:val="auto"/>
                      <w:szCs w:val="21"/>
                    </w:rPr>
                  </w:pPr>
                  <w:r>
                    <w:rPr>
                      <w:b/>
                      <w:bCs/>
                      <w:color w:val="auto"/>
                      <w:szCs w:val="21"/>
                    </w:rPr>
                    <w:t>源强Q</w:t>
                  </w:r>
                  <w:r>
                    <w:rPr>
                      <w:b/>
                      <w:bCs/>
                      <w:color w:val="auto"/>
                      <w:szCs w:val="21"/>
                      <w:vertAlign w:val="subscript"/>
                    </w:rPr>
                    <w:t>c</w:t>
                  </w:r>
                  <w:r>
                    <w:rPr>
                      <w:b/>
                      <w:bCs/>
                      <w:color w:val="auto"/>
                      <w:szCs w:val="21"/>
                    </w:rPr>
                    <w:t>（kg/h）</w:t>
                  </w:r>
                </w:p>
              </w:tc>
              <w:tc>
                <w:tcPr>
                  <w:tcW w:w="1179" w:type="dxa"/>
                  <w:vMerge w:val="restart"/>
                  <w:vAlign w:val="center"/>
                </w:tcPr>
                <w:p>
                  <w:pPr>
                    <w:adjustRightInd w:val="0"/>
                    <w:snapToGrid w:val="0"/>
                    <w:jc w:val="center"/>
                    <w:rPr>
                      <w:b/>
                      <w:bCs/>
                      <w:color w:val="auto"/>
                      <w:szCs w:val="21"/>
                    </w:rPr>
                  </w:pPr>
                  <w:r>
                    <w:rPr>
                      <w:b/>
                      <w:bCs/>
                      <w:color w:val="auto"/>
                      <w:szCs w:val="21"/>
                    </w:rPr>
                    <w:t>排放源面积</w:t>
                  </w:r>
                </w:p>
                <w:p>
                  <w:pPr>
                    <w:adjustRightInd w:val="0"/>
                    <w:snapToGrid w:val="0"/>
                    <w:jc w:val="center"/>
                    <w:rPr>
                      <w:b/>
                      <w:bCs/>
                      <w:color w:val="auto"/>
                      <w:szCs w:val="21"/>
                    </w:rPr>
                  </w:pPr>
                  <w:r>
                    <w:rPr>
                      <w:b/>
                      <w:bCs/>
                      <w:color w:val="auto"/>
                      <w:szCs w:val="21"/>
                    </w:rPr>
                    <w:t>（m</w:t>
                  </w:r>
                  <w:r>
                    <w:rPr>
                      <w:b/>
                      <w:bCs/>
                      <w:color w:val="auto"/>
                      <w:szCs w:val="21"/>
                      <w:vertAlign w:val="superscript"/>
                    </w:rPr>
                    <w:t>2</w:t>
                  </w:r>
                  <w:r>
                    <w:rPr>
                      <w:b/>
                      <w:bCs/>
                      <w:color w:val="auto"/>
                      <w:szCs w:val="21"/>
                    </w:rPr>
                    <w:t>）</w:t>
                  </w:r>
                </w:p>
              </w:tc>
              <w:tc>
                <w:tcPr>
                  <w:tcW w:w="1325" w:type="dxa"/>
                  <w:vMerge w:val="restart"/>
                  <w:vAlign w:val="center"/>
                </w:tcPr>
                <w:p>
                  <w:pPr>
                    <w:adjustRightInd w:val="0"/>
                    <w:snapToGrid w:val="0"/>
                    <w:jc w:val="center"/>
                    <w:rPr>
                      <w:b/>
                      <w:bCs/>
                      <w:color w:val="auto"/>
                      <w:szCs w:val="21"/>
                    </w:rPr>
                  </w:pPr>
                  <w:r>
                    <w:rPr>
                      <w:b/>
                      <w:bCs/>
                      <w:color w:val="auto"/>
                      <w:szCs w:val="21"/>
                    </w:rPr>
                    <w:t>标准限值C</w:t>
                  </w:r>
                  <w:r>
                    <w:rPr>
                      <w:b/>
                      <w:bCs/>
                      <w:color w:val="auto"/>
                      <w:szCs w:val="21"/>
                      <w:vertAlign w:val="subscript"/>
                    </w:rPr>
                    <w:t>m</w:t>
                  </w:r>
                  <w:r>
                    <w:rPr>
                      <w:b/>
                      <w:bCs/>
                      <w:color w:val="auto"/>
                      <w:szCs w:val="21"/>
                      <w:vertAlign w:val="superscript"/>
                    </w:rPr>
                    <w:t>*</w:t>
                  </w:r>
                </w:p>
                <w:p>
                  <w:pPr>
                    <w:adjustRightInd w:val="0"/>
                    <w:snapToGrid w:val="0"/>
                    <w:jc w:val="center"/>
                    <w:rPr>
                      <w:b/>
                      <w:bCs/>
                      <w:color w:val="auto"/>
                      <w:szCs w:val="21"/>
                    </w:rPr>
                  </w:pPr>
                  <w:r>
                    <w:rPr>
                      <w:b/>
                      <w:bCs/>
                      <w:color w:val="auto"/>
                      <w:szCs w:val="21"/>
                    </w:rPr>
                    <w:t>（mg/m</w:t>
                  </w:r>
                  <w:r>
                    <w:rPr>
                      <w:b/>
                      <w:bCs/>
                      <w:color w:val="auto"/>
                      <w:szCs w:val="21"/>
                      <w:vertAlign w:val="superscript"/>
                    </w:rPr>
                    <w:t>3</w:t>
                  </w:r>
                  <w:r>
                    <w:rPr>
                      <w:b/>
                      <w:bCs/>
                      <w:color w:val="auto"/>
                      <w:szCs w:val="21"/>
                    </w:rPr>
                    <w:t>）</w:t>
                  </w:r>
                </w:p>
              </w:tc>
              <w:tc>
                <w:tcPr>
                  <w:tcW w:w="2196" w:type="dxa"/>
                  <w:gridSpan w:val="2"/>
                  <w:vAlign w:val="center"/>
                </w:tcPr>
                <w:p>
                  <w:pPr>
                    <w:adjustRightInd w:val="0"/>
                    <w:snapToGrid w:val="0"/>
                    <w:jc w:val="center"/>
                    <w:rPr>
                      <w:b/>
                      <w:bCs/>
                      <w:color w:val="auto"/>
                      <w:szCs w:val="21"/>
                    </w:rPr>
                  </w:pPr>
                  <w:r>
                    <w:rPr>
                      <w:b/>
                      <w:bCs/>
                      <w:color w:val="auto"/>
                      <w:szCs w:val="21"/>
                    </w:rPr>
                    <w:t>卫生防护距离L（m）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15" w:hRule="atLeast"/>
              </w:trPr>
              <w:tc>
                <w:tcPr>
                  <w:tcW w:w="2841" w:type="dxa"/>
                  <w:gridSpan w:val="2"/>
                  <w:vMerge w:val="continue"/>
                  <w:vAlign w:val="center"/>
                </w:tcPr>
                <w:p>
                  <w:pPr>
                    <w:adjustRightInd w:val="0"/>
                    <w:snapToGrid w:val="0"/>
                    <w:jc w:val="center"/>
                    <w:rPr>
                      <w:b/>
                      <w:bCs/>
                      <w:color w:val="auto"/>
                      <w:szCs w:val="21"/>
                    </w:rPr>
                  </w:pPr>
                </w:p>
              </w:tc>
              <w:tc>
                <w:tcPr>
                  <w:tcW w:w="1098" w:type="dxa"/>
                  <w:vMerge w:val="continue"/>
                  <w:vAlign w:val="center"/>
                </w:tcPr>
                <w:p>
                  <w:pPr>
                    <w:adjustRightInd w:val="0"/>
                    <w:snapToGrid w:val="0"/>
                    <w:jc w:val="center"/>
                    <w:rPr>
                      <w:b/>
                      <w:bCs/>
                      <w:color w:val="auto"/>
                      <w:szCs w:val="21"/>
                    </w:rPr>
                  </w:pPr>
                </w:p>
              </w:tc>
              <w:tc>
                <w:tcPr>
                  <w:tcW w:w="1179" w:type="dxa"/>
                  <w:vMerge w:val="continue"/>
                  <w:vAlign w:val="center"/>
                </w:tcPr>
                <w:p>
                  <w:pPr>
                    <w:adjustRightInd w:val="0"/>
                    <w:snapToGrid w:val="0"/>
                    <w:jc w:val="center"/>
                    <w:rPr>
                      <w:b/>
                      <w:bCs/>
                      <w:color w:val="auto"/>
                      <w:szCs w:val="21"/>
                    </w:rPr>
                  </w:pPr>
                </w:p>
              </w:tc>
              <w:tc>
                <w:tcPr>
                  <w:tcW w:w="1325" w:type="dxa"/>
                  <w:vMerge w:val="continue"/>
                  <w:vAlign w:val="center"/>
                </w:tcPr>
                <w:p>
                  <w:pPr>
                    <w:adjustRightInd w:val="0"/>
                    <w:snapToGrid w:val="0"/>
                    <w:jc w:val="center"/>
                    <w:rPr>
                      <w:b/>
                      <w:bCs/>
                      <w:color w:val="auto"/>
                      <w:szCs w:val="21"/>
                    </w:rPr>
                  </w:pPr>
                </w:p>
              </w:tc>
              <w:tc>
                <w:tcPr>
                  <w:tcW w:w="1301" w:type="dxa"/>
                  <w:vAlign w:val="center"/>
                </w:tcPr>
                <w:p>
                  <w:pPr>
                    <w:adjustRightInd w:val="0"/>
                    <w:snapToGrid w:val="0"/>
                    <w:jc w:val="center"/>
                    <w:rPr>
                      <w:b/>
                      <w:bCs/>
                      <w:color w:val="auto"/>
                      <w:szCs w:val="21"/>
                    </w:rPr>
                  </w:pPr>
                  <w:r>
                    <w:rPr>
                      <w:b/>
                      <w:bCs/>
                      <w:color w:val="auto"/>
                      <w:szCs w:val="21"/>
                    </w:rPr>
                    <w:t>计算值</w:t>
                  </w:r>
                </w:p>
              </w:tc>
              <w:tc>
                <w:tcPr>
                  <w:tcW w:w="895" w:type="dxa"/>
                  <w:vAlign w:val="center"/>
                </w:tcPr>
                <w:p>
                  <w:pPr>
                    <w:adjustRightInd w:val="0"/>
                    <w:snapToGrid w:val="0"/>
                    <w:jc w:val="center"/>
                    <w:rPr>
                      <w:b/>
                      <w:bCs/>
                      <w:color w:val="auto"/>
                      <w:szCs w:val="21"/>
                    </w:rPr>
                  </w:pPr>
                  <w:r>
                    <w:rPr>
                      <w:b/>
                      <w:bCs/>
                      <w:color w:val="auto"/>
                      <w:szCs w:val="21"/>
                    </w:rPr>
                    <w:t>取值</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473" w:hRule="atLeast"/>
              </w:trPr>
              <w:tc>
                <w:tcPr>
                  <w:tcW w:w="2135" w:type="dxa"/>
                  <w:vAlign w:val="center"/>
                </w:tcPr>
                <w:p>
                  <w:pPr>
                    <w:adjustRightInd w:val="0"/>
                    <w:snapToGrid w:val="0"/>
                    <w:jc w:val="center"/>
                    <w:rPr>
                      <w:color w:val="auto"/>
                      <w:szCs w:val="21"/>
                    </w:rPr>
                  </w:pPr>
                  <w:r>
                    <w:rPr>
                      <w:rFonts w:hint="eastAsia"/>
                      <w:color w:val="auto"/>
                      <w:szCs w:val="21"/>
                    </w:rPr>
                    <w:t>车间一</w:t>
                  </w:r>
                  <w:r>
                    <w:rPr>
                      <w:color w:val="auto"/>
                      <w:szCs w:val="21"/>
                    </w:rPr>
                    <w:t>（</w:t>
                  </w:r>
                  <w:r>
                    <w:rPr>
                      <w:rFonts w:hint="eastAsia"/>
                      <w:color w:val="auto"/>
                      <w:szCs w:val="21"/>
                    </w:rPr>
                    <w:t>切割、</w:t>
                  </w:r>
                  <w:r>
                    <w:rPr>
                      <w:color w:val="auto"/>
                      <w:szCs w:val="21"/>
                    </w:rPr>
                    <w:t>打磨、抛丸、焊接）</w:t>
                  </w:r>
                </w:p>
              </w:tc>
              <w:tc>
                <w:tcPr>
                  <w:tcW w:w="706" w:type="dxa"/>
                  <w:vAlign w:val="center"/>
                </w:tcPr>
                <w:p>
                  <w:pPr>
                    <w:jc w:val="center"/>
                    <w:rPr>
                      <w:color w:val="auto"/>
                      <w:szCs w:val="21"/>
                    </w:rPr>
                  </w:pPr>
                  <w:r>
                    <w:rPr>
                      <w:color w:val="auto"/>
                      <w:szCs w:val="21"/>
                    </w:rPr>
                    <w:t>颗粒物</w:t>
                  </w:r>
                </w:p>
              </w:tc>
              <w:tc>
                <w:tcPr>
                  <w:tcW w:w="1098" w:type="dxa"/>
                  <w:vAlign w:val="center"/>
                </w:tcPr>
                <w:p>
                  <w:pPr>
                    <w:adjustRightInd w:val="0"/>
                    <w:snapToGrid w:val="0"/>
                    <w:jc w:val="center"/>
                    <w:rPr>
                      <w:rFonts w:hint="default" w:eastAsia="宋体"/>
                      <w:bCs/>
                      <w:color w:val="auto"/>
                      <w:szCs w:val="21"/>
                      <w:lang w:val="en-US" w:eastAsia="zh-CN"/>
                    </w:rPr>
                  </w:pPr>
                  <w:r>
                    <w:rPr>
                      <w:rFonts w:hint="eastAsia"/>
                      <w:bCs/>
                      <w:color w:val="auto"/>
                      <w:szCs w:val="21"/>
                      <w:lang w:val="en-US" w:eastAsia="zh-CN"/>
                    </w:rPr>
                    <w:t>0.289</w:t>
                  </w:r>
                </w:p>
              </w:tc>
              <w:tc>
                <w:tcPr>
                  <w:tcW w:w="1179" w:type="dxa"/>
                  <w:vAlign w:val="center"/>
                </w:tcPr>
                <w:p>
                  <w:pPr>
                    <w:widowControl/>
                    <w:jc w:val="center"/>
                    <w:rPr>
                      <w:rFonts w:hint="default" w:eastAsia="宋体"/>
                      <w:bCs/>
                      <w:color w:val="auto"/>
                      <w:szCs w:val="21"/>
                      <w:lang w:val="en-US" w:eastAsia="zh-CN"/>
                    </w:rPr>
                  </w:pPr>
                  <w:r>
                    <w:rPr>
                      <w:rFonts w:hint="eastAsia"/>
                      <w:bCs/>
                      <w:color w:val="auto"/>
                      <w:szCs w:val="21"/>
                      <w:lang w:val="en-US" w:eastAsia="zh-CN"/>
                    </w:rPr>
                    <w:t>14500</w:t>
                  </w:r>
                </w:p>
              </w:tc>
              <w:tc>
                <w:tcPr>
                  <w:tcW w:w="1325" w:type="dxa"/>
                  <w:vAlign w:val="center"/>
                </w:tcPr>
                <w:p>
                  <w:pPr>
                    <w:adjustRightInd w:val="0"/>
                    <w:snapToGrid w:val="0"/>
                    <w:jc w:val="center"/>
                    <w:rPr>
                      <w:bCs/>
                      <w:color w:val="auto"/>
                      <w:szCs w:val="21"/>
                    </w:rPr>
                  </w:pPr>
                  <w:r>
                    <w:rPr>
                      <w:bCs/>
                      <w:color w:val="auto"/>
                      <w:szCs w:val="21"/>
                    </w:rPr>
                    <w:t>20</w:t>
                  </w:r>
                </w:p>
              </w:tc>
              <w:tc>
                <w:tcPr>
                  <w:tcW w:w="1301" w:type="dxa"/>
                  <w:vAlign w:val="center"/>
                </w:tcPr>
                <w:p>
                  <w:pPr>
                    <w:adjustRightInd w:val="0"/>
                    <w:snapToGrid w:val="0"/>
                    <w:jc w:val="center"/>
                    <w:rPr>
                      <w:rFonts w:hint="default" w:eastAsia="宋体"/>
                      <w:bCs/>
                      <w:color w:val="auto"/>
                      <w:szCs w:val="21"/>
                      <w:lang w:val="en-US" w:eastAsia="zh-CN"/>
                    </w:rPr>
                  </w:pPr>
                  <w:r>
                    <w:rPr>
                      <w:rFonts w:hint="eastAsia"/>
                      <w:bCs/>
                      <w:color w:val="auto"/>
                      <w:szCs w:val="21"/>
                      <w:lang w:val="en-US" w:eastAsia="zh-CN"/>
                    </w:rPr>
                    <w:t>0.235</w:t>
                  </w:r>
                </w:p>
              </w:tc>
              <w:tc>
                <w:tcPr>
                  <w:tcW w:w="895" w:type="dxa"/>
                  <w:vAlign w:val="center"/>
                </w:tcPr>
                <w:p>
                  <w:pPr>
                    <w:adjustRightInd w:val="0"/>
                    <w:snapToGrid w:val="0"/>
                    <w:jc w:val="center"/>
                    <w:rPr>
                      <w:bCs/>
                      <w:color w:val="auto"/>
                      <w:szCs w:val="21"/>
                    </w:rPr>
                  </w:pPr>
                  <w:r>
                    <w:rPr>
                      <w:bCs/>
                      <w:color w:val="auto"/>
                      <w:szCs w:val="21"/>
                    </w:rPr>
                    <w:t>50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84" w:hRule="atLeast"/>
              </w:trPr>
              <w:tc>
                <w:tcPr>
                  <w:tcW w:w="2135" w:type="dxa"/>
                  <w:vMerge w:val="restart"/>
                  <w:vAlign w:val="center"/>
                </w:tcPr>
                <w:p>
                  <w:pPr>
                    <w:adjustRightInd w:val="0"/>
                    <w:snapToGrid w:val="0"/>
                    <w:jc w:val="center"/>
                    <w:rPr>
                      <w:color w:val="auto"/>
                      <w:szCs w:val="21"/>
                    </w:rPr>
                  </w:pPr>
                  <w:r>
                    <w:rPr>
                      <w:rFonts w:hint="eastAsia"/>
                      <w:color w:val="auto"/>
                      <w:szCs w:val="21"/>
                    </w:rPr>
                    <w:t>车间二</w:t>
                  </w:r>
                  <w:r>
                    <w:rPr>
                      <w:color w:val="auto"/>
                      <w:szCs w:val="21"/>
                    </w:rPr>
                    <w:t>（调漆、喷漆、晾干）</w:t>
                  </w:r>
                </w:p>
              </w:tc>
              <w:tc>
                <w:tcPr>
                  <w:tcW w:w="706" w:type="dxa"/>
                  <w:vAlign w:val="center"/>
                </w:tcPr>
                <w:p>
                  <w:pPr>
                    <w:jc w:val="center"/>
                    <w:rPr>
                      <w:color w:val="auto"/>
                      <w:szCs w:val="21"/>
                    </w:rPr>
                  </w:pPr>
                  <w:r>
                    <w:rPr>
                      <w:color w:val="auto"/>
                      <w:szCs w:val="21"/>
                    </w:rPr>
                    <w:t>颗粒物</w:t>
                  </w:r>
                </w:p>
              </w:tc>
              <w:tc>
                <w:tcPr>
                  <w:tcW w:w="1098" w:type="dxa"/>
                  <w:vAlign w:val="center"/>
                </w:tcPr>
                <w:p>
                  <w:pPr>
                    <w:adjustRightInd w:val="0"/>
                    <w:snapToGrid w:val="0"/>
                    <w:jc w:val="center"/>
                    <w:rPr>
                      <w:rFonts w:hint="default" w:eastAsia="宋体"/>
                      <w:bCs/>
                      <w:color w:val="auto"/>
                      <w:szCs w:val="21"/>
                      <w:lang w:val="en-US" w:eastAsia="zh-CN"/>
                    </w:rPr>
                  </w:pPr>
                  <w:r>
                    <w:rPr>
                      <w:rFonts w:hint="eastAsia"/>
                      <w:bCs/>
                      <w:color w:val="auto"/>
                      <w:szCs w:val="21"/>
                      <w:lang w:val="en-US" w:eastAsia="zh-CN"/>
                    </w:rPr>
                    <w:t>0.112</w:t>
                  </w:r>
                </w:p>
              </w:tc>
              <w:tc>
                <w:tcPr>
                  <w:tcW w:w="1179" w:type="dxa"/>
                  <w:vAlign w:val="center"/>
                </w:tcPr>
                <w:p>
                  <w:pPr>
                    <w:widowControl/>
                    <w:jc w:val="center"/>
                    <w:rPr>
                      <w:rFonts w:hint="default" w:eastAsia="宋体"/>
                      <w:bCs/>
                      <w:color w:val="auto"/>
                      <w:szCs w:val="21"/>
                      <w:lang w:val="en-US" w:eastAsia="zh-CN"/>
                    </w:rPr>
                  </w:pPr>
                  <w:r>
                    <w:rPr>
                      <w:rFonts w:hint="eastAsia"/>
                      <w:bCs/>
                      <w:color w:val="auto"/>
                      <w:szCs w:val="21"/>
                      <w:lang w:val="en-US" w:eastAsia="zh-CN"/>
                    </w:rPr>
                    <w:t>7100</w:t>
                  </w:r>
                </w:p>
              </w:tc>
              <w:tc>
                <w:tcPr>
                  <w:tcW w:w="1325" w:type="dxa"/>
                  <w:vAlign w:val="center"/>
                </w:tcPr>
                <w:p>
                  <w:pPr>
                    <w:adjustRightInd w:val="0"/>
                    <w:snapToGrid w:val="0"/>
                    <w:jc w:val="center"/>
                    <w:rPr>
                      <w:bCs/>
                      <w:color w:val="auto"/>
                      <w:szCs w:val="21"/>
                    </w:rPr>
                  </w:pPr>
                  <w:r>
                    <w:rPr>
                      <w:bCs/>
                      <w:color w:val="auto"/>
                      <w:szCs w:val="21"/>
                    </w:rPr>
                    <w:t>10</w:t>
                  </w:r>
                </w:p>
              </w:tc>
              <w:tc>
                <w:tcPr>
                  <w:tcW w:w="1301" w:type="dxa"/>
                  <w:vAlign w:val="center"/>
                </w:tcPr>
                <w:p>
                  <w:pPr>
                    <w:adjustRightInd w:val="0"/>
                    <w:snapToGrid w:val="0"/>
                    <w:jc w:val="center"/>
                    <w:rPr>
                      <w:rFonts w:hint="default" w:eastAsia="宋体"/>
                      <w:bCs/>
                      <w:color w:val="auto"/>
                      <w:szCs w:val="21"/>
                      <w:lang w:val="en-US" w:eastAsia="zh-CN"/>
                    </w:rPr>
                  </w:pPr>
                  <w:r>
                    <w:rPr>
                      <w:rFonts w:hint="eastAsia"/>
                      <w:bCs/>
                      <w:color w:val="auto"/>
                      <w:szCs w:val="21"/>
                      <w:lang w:val="en-US" w:eastAsia="zh-CN"/>
                    </w:rPr>
                    <w:t>0.267</w:t>
                  </w:r>
                </w:p>
              </w:tc>
              <w:tc>
                <w:tcPr>
                  <w:tcW w:w="895" w:type="dxa"/>
                  <w:vAlign w:val="center"/>
                </w:tcPr>
                <w:p>
                  <w:pPr>
                    <w:adjustRightInd w:val="0"/>
                    <w:snapToGrid w:val="0"/>
                    <w:jc w:val="center"/>
                    <w:rPr>
                      <w:bCs/>
                      <w:color w:val="auto"/>
                      <w:szCs w:val="21"/>
                    </w:rPr>
                  </w:pPr>
                  <w:r>
                    <w:rPr>
                      <w:bCs/>
                      <w:color w:val="auto"/>
                      <w:szCs w:val="21"/>
                    </w:rPr>
                    <w:t>50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84" w:hRule="atLeast"/>
              </w:trPr>
              <w:tc>
                <w:tcPr>
                  <w:tcW w:w="2135" w:type="dxa"/>
                  <w:vMerge w:val="continue"/>
                  <w:vAlign w:val="center"/>
                </w:tcPr>
                <w:p>
                  <w:pPr>
                    <w:adjustRightInd w:val="0"/>
                    <w:snapToGrid w:val="0"/>
                    <w:jc w:val="center"/>
                    <w:rPr>
                      <w:color w:val="auto"/>
                      <w:szCs w:val="21"/>
                    </w:rPr>
                  </w:pPr>
                </w:p>
              </w:tc>
              <w:tc>
                <w:tcPr>
                  <w:tcW w:w="706" w:type="dxa"/>
                  <w:vAlign w:val="center"/>
                </w:tcPr>
                <w:p>
                  <w:pPr>
                    <w:jc w:val="center"/>
                    <w:rPr>
                      <w:color w:val="auto"/>
                      <w:szCs w:val="21"/>
                    </w:rPr>
                  </w:pPr>
                  <w:r>
                    <w:rPr>
                      <w:color w:val="auto"/>
                      <w:szCs w:val="21"/>
                    </w:rPr>
                    <w:t>非甲烷总烃</w:t>
                  </w:r>
                </w:p>
              </w:tc>
              <w:tc>
                <w:tcPr>
                  <w:tcW w:w="1098" w:type="dxa"/>
                  <w:vAlign w:val="center"/>
                </w:tcPr>
                <w:p>
                  <w:pPr>
                    <w:adjustRightInd w:val="0"/>
                    <w:snapToGrid w:val="0"/>
                    <w:jc w:val="center"/>
                    <w:rPr>
                      <w:rFonts w:hint="default" w:eastAsia="宋体"/>
                      <w:color w:val="auto"/>
                      <w:szCs w:val="21"/>
                      <w:lang w:val="en-US" w:eastAsia="zh-CN"/>
                    </w:rPr>
                  </w:pPr>
                  <w:r>
                    <w:rPr>
                      <w:rFonts w:hint="eastAsia"/>
                      <w:color w:val="auto"/>
                      <w:szCs w:val="21"/>
                      <w:lang w:val="en-US" w:eastAsia="zh-CN"/>
                    </w:rPr>
                    <w:t>0.0441</w:t>
                  </w:r>
                </w:p>
              </w:tc>
              <w:tc>
                <w:tcPr>
                  <w:tcW w:w="1179" w:type="dxa"/>
                  <w:vAlign w:val="center"/>
                </w:tcPr>
                <w:p>
                  <w:pPr>
                    <w:widowControl/>
                    <w:jc w:val="center"/>
                    <w:rPr>
                      <w:rFonts w:hint="default" w:eastAsia="宋体"/>
                      <w:color w:val="auto"/>
                      <w:szCs w:val="21"/>
                      <w:lang w:val="en-US" w:eastAsia="zh-CN"/>
                    </w:rPr>
                  </w:pPr>
                  <w:r>
                    <w:rPr>
                      <w:rFonts w:hint="eastAsia"/>
                      <w:bCs/>
                      <w:color w:val="auto"/>
                      <w:szCs w:val="21"/>
                      <w:lang w:val="en-US" w:eastAsia="zh-CN"/>
                    </w:rPr>
                    <w:t>7100</w:t>
                  </w:r>
                </w:p>
              </w:tc>
              <w:tc>
                <w:tcPr>
                  <w:tcW w:w="1325" w:type="dxa"/>
                  <w:vAlign w:val="center"/>
                </w:tcPr>
                <w:p>
                  <w:pPr>
                    <w:adjustRightInd w:val="0"/>
                    <w:snapToGrid w:val="0"/>
                    <w:jc w:val="center"/>
                    <w:rPr>
                      <w:bCs/>
                      <w:color w:val="auto"/>
                      <w:szCs w:val="21"/>
                    </w:rPr>
                  </w:pPr>
                  <w:r>
                    <w:rPr>
                      <w:bCs/>
                      <w:color w:val="auto"/>
                      <w:szCs w:val="21"/>
                    </w:rPr>
                    <w:t>50</w:t>
                  </w:r>
                </w:p>
              </w:tc>
              <w:tc>
                <w:tcPr>
                  <w:tcW w:w="1301" w:type="dxa"/>
                  <w:vAlign w:val="center"/>
                </w:tcPr>
                <w:p>
                  <w:pPr>
                    <w:adjustRightInd w:val="0"/>
                    <w:snapToGrid w:val="0"/>
                    <w:jc w:val="center"/>
                    <w:rPr>
                      <w:rFonts w:hint="default" w:eastAsia="宋体"/>
                      <w:bCs/>
                      <w:color w:val="auto"/>
                      <w:szCs w:val="21"/>
                      <w:lang w:val="en-US" w:eastAsia="zh-CN"/>
                    </w:rPr>
                  </w:pPr>
                  <w:r>
                    <w:rPr>
                      <w:rFonts w:hint="eastAsia"/>
                      <w:bCs/>
                      <w:color w:val="auto"/>
                      <w:szCs w:val="21"/>
                      <w:lang w:val="en-US" w:eastAsia="zh-CN"/>
                    </w:rPr>
                    <w:t>0.013</w:t>
                  </w:r>
                </w:p>
              </w:tc>
              <w:tc>
                <w:tcPr>
                  <w:tcW w:w="895" w:type="dxa"/>
                  <w:vAlign w:val="center"/>
                </w:tcPr>
                <w:p>
                  <w:pPr>
                    <w:adjustRightInd w:val="0"/>
                    <w:snapToGrid w:val="0"/>
                    <w:jc w:val="center"/>
                    <w:rPr>
                      <w:bCs/>
                      <w:color w:val="auto"/>
                      <w:szCs w:val="21"/>
                    </w:rPr>
                  </w:pPr>
                  <w:r>
                    <w:rPr>
                      <w:rFonts w:hint="eastAsia"/>
                      <w:bCs/>
                      <w:color w:val="auto"/>
                      <w:szCs w:val="21"/>
                      <w:lang w:val="en-US" w:eastAsia="zh-CN"/>
                    </w:rPr>
                    <w:t>5</w:t>
                  </w:r>
                  <w:r>
                    <w:rPr>
                      <w:bCs/>
                      <w:color w:val="auto"/>
                      <w:szCs w:val="21"/>
                    </w:rPr>
                    <w:t>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403" w:hRule="atLeast"/>
              </w:trPr>
              <w:tc>
                <w:tcPr>
                  <w:tcW w:w="8639" w:type="dxa"/>
                  <w:gridSpan w:val="7"/>
                  <w:vAlign w:val="center"/>
                </w:tcPr>
                <w:p>
                  <w:pPr>
                    <w:widowControl/>
                    <w:jc w:val="left"/>
                    <w:rPr>
                      <w:bCs/>
                      <w:color w:val="auto"/>
                      <w:szCs w:val="21"/>
                    </w:rPr>
                  </w:pPr>
                  <w:r>
                    <w:rPr>
                      <w:bCs/>
                      <w:color w:val="auto"/>
                      <w:szCs w:val="21"/>
                    </w:rPr>
                    <w:t>注*：</w:t>
                  </w:r>
                  <w:r>
                    <w:rPr>
                      <w:color w:val="auto"/>
                      <w:kern w:val="0"/>
                      <w:szCs w:val="21"/>
                      <w:lang w:bidi="ar"/>
                    </w:rPr>
                    <w:t>由《大气污染物综合排放标准详解》P244可知，非甲烷总烃的标准限值Cm为2mg/N</w:t>
                  </w:r>
                  <w:r>
                    <w:rPr>
                      <w:color w:val="auto"/>
                      <w:szCs w:val="21"/>
                    </w:rPr>
                    <w:t>m</w:t>
                  </w:r>
                  <w:r>
                    <w:rPr>
                      <w:color w:val="auto"/>
                      <w:szCs w:val="21"/>
                      <w:vertAlign w:val="superscript"/>
                    </w:rPr>
                    <w:t>3</w:t>
                  </w:r>
                  <w:r>
                    <w:rPr>
                      <w:color w:val="auto"/>
                      <w:kern w:val="0"/>
                      <w:szCs w:val="21"/>
                      <w:lang w:bidi="ar"/>
                    </w:rPr>
                    <w:t>。</w:t>
                  </w:r>
                </w:p>
              </w:tc>
            </w:tr>
          </w:tbl>
          <w:p>
            <w:pPr>
              <w:widowControl/>
              <w:spacing w:line="360" w:lineRule="auto"/>
              <w:ind w:firstLine="720" w:firstLineChars="300"/>
              <w:jc w:val="left"/>
              <w:rPr>
                <w:color w:val="auto"/>
                <w:kern w:val="0"/>
                <w:sz w:val="24"/>
                <w:lang w:bidi="ar"/>
              </w:rPr>
            </w:pPr>
            <w:r>
              <w:rPr>
                <w:bCs/>
                <w:color w:val="auto"/>
                <w:sz w:val="24"/>
              </w:rPr>
              <w:t>根据《大气有害物质无组织排放卫生防护距离推导技术导则》（GB/T39499-2020），卫生防护距离初值小于50米时，级差为50米，如初值小于50米，卫生防护距离终值取50米。因此，建设项目分别以1#、2#</w:t>
            </w:r>
            <w:r>
              <w:rPr>
                <w:rFonts w:hint="eastAsia"/>
                <w:bCs/>
                <w:color w:val="auto"/>
                <w:sz w:val="24"/>
                <w:lang w:eastAsia="zh-CN"/>
              </w:rPr>
              <w:t>车间</w:t>
            </w:r>
            <w:r>
              <w:rPr>
                <w:bCs/>
                <w:color w:val="auto"/>
                <w:sz w:val="24"/>
              </w:rPr>
              <w:t>边界为起点设置50m卫生防护距离包络线。经现场勘查，1#、2#</w:t>
            </w:r>
            <w:r>
              <w:rPr>
                <w:rFonts w:hint="eastAsia"/>
                <w:bCs/>
                <w:color w:val="auto"/>
                <w:sz w:val="24"/>
                <w:lang w:eastAsia="zh-CN"/>
              </w:rPr>
              <w:t>车间</w:t>
            </w:r>
            <w:r>
              <w:rPr>
                <w:bCs/>
                <w:color w:val="auto"/>
                <w:sz w:val="24"/>
              </w:rPr>
              <w:t>50m卫生防护距离内无居民、学校等大气环境保护目标。为合理规划项目周边的用地，本次评价要求该卫生防护距离内，今后不得建设对环境空气质量要求较高的居民等环境敏感目标。</w:t>
            </w:r>
          </w:p>
          <w:p>
            <w:pPr>
              <w:wordWrap w:val="0"/>
              <w:autoSpaceDE w:val="0"/>
              <w:adjustRightInd w:val="0"/>
              <w:snapToGrid w:val="0"/>
              <w:spacing w:line="360" w:lineRule="auto"/>
              <w:ind w:right="105" w:rightChars="50" w:firstLine="482" w:firstLineChars="200"/>
              <w:rPr>
                <w:b/>
                <w:bCs/>
                <w:color w:val="auto"/>
                <w:sz w:val="24"/>
                <w:lang w:bidi="ar"/>
              </w:rPr>
            </w:pPr>
            <w:r>
              <w:rPr>
                <w:b/>
                <w:bCs/>
                <w:color w:val="auto"/>
                <w:sz w:val="24"/>
                <w:lang w:bidi="ar"/>
              </w:rPr>
              <w:t>1.5废气环境影响分析结论</w:t>
            </w:r>
          </w:p>
          <w:p>
            <w:pPr>
              <w:wordWrap w:val="0"/>
              <w:autoSpaceDE w:val="0"/>
              <w:adjustRightInd w:val="0"/>
              <w:snapToGrid w:val="0"/>
              <w:spacing w:line="360" w:lineRule="auto"/>
              <w:ind w:right="105" w:rightChars="50" w:firstLine="480" w:firstLineChars="200"/>
              <w:rPr>
                <w:color w:val="auto"/>
                <w:sz w:val="24"/>
                <w:lang w:bidi="ar"/>
              </w:rPr>
            </w:pPr>
            <w:r>
              <w:rPr>
                <w:color w:val="auto"/>
                <w:sz w:val="24"/>
                <w:lang w:bidi="ar"/>
              </w:rPr>
              <w:t>（1）有组织废气</w:t>
            </w:r>
          </w:p>
          <w:p>
            <w:pPr>
              <w:wordWrap w:val="0"/>
              <w:autoSpaceDE w:val="0"/>
              <w:adjustRightInd w:val="0"/>
              <w:snapToGrid w:val="0"/>
              <w:spacing w:line="360" w:lineRule="auto"/>
              <w:ind w:right="105" w:rightChars="50" w:firstLine="480" w:firstLineChars="200"/>
              <w:rPr>
                <w:color w:val="auto"/>
                <w:sz w:val="24"/>
                <w:lang w:bidi="ar"/>
              </w:rPr>
            </w:pPr>
            <w:r>
              <w:rPr>
                <w:color w:val="auto"/>
                <w:sz w:val="24"/>
                <w:lang w:bidi="ar"/>
              </w:rPr>
              <w:t>项目有组织废气主要为切割废气、</w:t>
            </w:r>
            <w:r>
              <w:rPr>
                <w:color w:val="auto"/>
                <w:sz w:val="24"/>
              </w:rPr>
              <w:t>焊接废气、打磨废气、抛丸废气、调漆废气、喷漆废气、晾干废气</w:t>
            </w:r>
            <w:r>
              <w:rPr>
                <w:rFonts w:hint="eastAsia"/>
                <w:color w:val="auto"/>
                <w:sz w:val="24"/>
                <w:lang w:eastAsia="zh-CN"/>
              </w:rPr>
              <w:t>、</w:t>
            </w:r>
            <w:r>
              <w:rPr>
                <w:rFonts w:hint="eastAsia"/>
                <w:color w:val="auto"/>
                <w:kern w:val="0"/>
                <w:sz w:val="24"/>
                <w:lang w:eastAsia="zh-CN"/>
              </w:rPr>
              <w:t>危废库有机废气</w:t>
            </w:r>
            <w:r>
              <w:rPr>
                <w:color w:val="auto"/>
                <w:sz w:val="24"/>
              </w:rPr>
              <w:t>。打磨废气、抛丸废气、焊接废气的颗粒物废气集气罩收集后经布袋除尘器处理后，由15m高的排气筒DA001排放</w:t>
            </w:r>
            <w:r>
              <w:rPr>
                <w:color w:val="auto"/>
                <w:sz w:val="24"/>
                <w:lang w:bidi="ar"/>
              </w:rPr>
              <w:t>，废气能够满足大气污染物综合排放标准（DB32/4041-2021）表1规定的大气污染物有组织排放限值；调漆废气、喷漆废气、晾干废气</w:t>
            </w:r>
            <w:r>
              <w:rPr>
                <w:rFonts w:hint="eastAsia"/>
                <w:color w:val="auto"/>
                <w:sz w:val="24"/>
                <w:lang w:eastAsia="zh-CN" w:bidi="ar"/>
              </w:rPr>
              <w:t>、</w:t>
            </w:r>
            <w:r>
              <w:rPr>
                <w:rFonts w:hint="eastAsia"/>
                <w:color w:val="auto"/>
                <w:kern w:val="0"/>
                <w:sz w:val="24"/>
                <w:lang w:eastAsia="zh-CN"/>
              </w:rPr>
              <w:t>危废库有机废气</w:t>
            </w:r>
            <w:r>
              <w:rPr>
                <w:color w:val="auto"/>
                <w:sz w:val="24"/>
                <w:lang w:bidi="ar"/>
              </w:rPr>
              <w:t>密闭车间</w:t>
            </w:r>
            <w:r>
              <w:rPr>
                <w:rFonts w:hint="eastAsia"/>
                <w:color w:val="auto"/>
                <w:sz w:val="24"/>
                <w:lang w:eastAsia="zh-CN" w:bidi="ar"/>
              </w:rPr>
              <w:t>收集</w:t>
            </w:r>
            <w:r>
              <w:rPr>
                <w:color w:val="auto"/>
                <w:sz w:val="24"/>
                <w:lang w:bidi="ar"/>
              </w:rPr>
              <w:t>后经干式过滤棉+二级活性炭吸附处理后，由15m高的排气筒DA002排放，废气能够满足表面涂装（工程机械和钢结构行业）大气污染物排放标准（DB32/4147-2021）表1排放标准限值及大气污染物综合排放标准（DB324041-2021）表3排放标准限值。</w:t>
            </w:r>
          </w:p>
          <w:p>
            <w:pPr>
              <w:wordWrap w:val="0"/>
              <w:autoSpaceDE w:val="0"/>
              <w:adjustRightInd w:val="0"/>
              <w:snapToGrid w:val="0"/>
              <w:spacing w:line="360" w:lineRule="auto"/>
              <w:ind w:right="105" w:rightChars="50" w:firstLine="480" w:firstLineChars="200"/>
              <w:rPr>
                <w:color w:val="auto"/>
                <w:sz w:val="24"/>
                <w:lang w:bidi="ar"/>
              </w:rPr>
            </w:pPr>
            <w:r>
              <w:rPr>
                <w:color w:val="auto"/>
                <w:sz w:val="24"/>
                <w:lang w:bidi="ar"/>
              </w:rPr>
              <w:t>（2）无组织废气</w:t>
            </w:r>
          </w:p>
          <w:p>
            <w:pPr>
              <w:wordWrap w:val="0"/>
              <w:autoSpaceDE w:val="0"/>
              <w:adjustRightInd w:val="0"/>
              <w:snapToGrid w:val="0"/>
              <w:spacing w:line="360" w:lineRule="auto"/>
              <w:ind w:right="105" w:rightChars="50" w:firstLine="480" w:firstLineChars="200"/>
              <w:rPr>
                <w:color w:val="auto"/>
                <w:sz w:val="24"/>
                <w:lang w:bidi="ar"/>
              </w:rPr>
            </w:pPr>
            <w:r>
              <w:rPr>
                <w:color w:val="auto"/>
                <w:sz w:val="24"/>
                <w:lang w:bidi="ar"/>
              </w:rPr>
              <w:t>项目无组织废气主要为未有效收集的颗粒物、非甲烷总烃，建设单位拟通过以下措施加强无组织排放废气控制：</w:t>
            </w:r>
          </w:p>
          <w:p>
            <w:pPr>
              <w:widowControl/>
              <w:adjustRightInd w:val="0"/>
              <w:snapToGrid w:val="0"/>
              <w:spacing w:line="360" w:lineRule="auto"/>
              <w:ind w:firstLine="480" w:firstLineChars="200"/>
              <w:rPr>
                <w:color w:val="auto"/>
                <w:kern w:val="0"/>
                <w:sz w:val="24"/>
              </w:rPr>
            </w:pPr>
            <w:r>
              <w:rPr>
                <w:color w:val="auto"/>
                <w:kern w:val="0"/>
                <w:sz w:val="24"/>
              </w:rPr>
              <w:t>①尽可能采取密闭性措施，有效避免废气的外逸，尽可能使无组织排放转化为有组织排放；</w:t>
            </w:r>
          </w:p>
          <w:p>
            <w:pPr>
              <w:widowControl/>
              <w:adjustRightInd w:val="0"/>
              <w:snapToGrid w:val="0"/>
              <w:spacing w:line="360" w:lineRule="auto"/>
              <w:ind w:firstLine="480" w:firstLineChars="200"/>
              <w:rPr>
                <w:color w:val="auto"/>
                <w:kern w:val="0"/>
                <w:sz w:val="24"/>
              </w:rPr>
            </w:pPr>
            <w:r>
              <w:rPr>
                <w:color w:val="auto"/>
                <w:kern w:val="0"/>
                <w:sz w:val="24"/>
              </w:rPr>
              <w:t>②提高设备的密封性能，并严格控制系统的负压指标，有效避免废气的外逸；</w:t>
            </w:r>
          </w:p>
          <w:p>
            <w:pPr>
              <w:widowControl/>
              <w:adjustRightInd w:val="0"/>
              <w:snapToGrid w:val="0"/>
              <w:spacing w:line="360" w:lineRule="auto"/>
              <w:ind w:firstLine="480" w:firstLineChars="200"/>
              <w:rPr>
                <w:color w:val="auto"/>
                <w:kern w:val="0"/>
                <w:sz w:val="24"/>
              </w:rPr>
            </w:pPr>
            <w:r>
              <w:rPr>
                <w:color w:val="auto"/>
                <w:kern w:val="0"/>
                <w:sz w:val="24"/>
              </w:rPr>
              <w:t>③加强运行管理和环境管理，提高工人操作水平，通过宣传增强职工环保意识，积极推行清洁生产，节能降耗，多种措施并举，减少污染物排放；</w:t>
            </w:r>
          </w:p>
          <w:p>
            <w:pPr>
              <w:widowControl/>
              <w:adjustRightInd w:val="0"/>
              <w:snapToGrid w:val="0"/>
              <w:spacing w:line="360" w:lineRule="auto"/>
              <w:ind w:firstLine="480" w:firstLineChars="200"/>
              <w:rPr>
                <w:color w:val="auto"/>
                <w:kern w:val="0"/>
                <w:sz w:val="24"/>
              </w:rPr>
            </w:pPr>
            <w:r>
              <w:rPr>
                <w:color w:val="auto"/>
                <w:kern w:val="0"/>
                <w:sz w:val="24"/>
              </w:rPr>
              <w:t>④合理布置车间，将产生无组织废气的工序尽量布置在远离厂界的地方，以减少无组织废气对厂界周围环境的影响；</w:t>
            </w:r>
          </w:p>
          <w:p>
            <w:pPr>
              <w:widowControl/>
              <w:adjustRightInd w:val="0"/>
              <w:snapToGrid w:val="0"/>
              <w:spacing w:line="360" w:lineRule="auto"/>
              <w:ind w:firstLine="480" w:firstLineChars="200"/>
              <w:rPr>
                <w:color w:val="auto"/>
                <w:kern w:val="0"/>
                <w:sz w:val="24"/>
              </w:rPr>
            </w:pPr>
            <w:r>
              <w:rPr>
                <w:color w:val="auto"/>
                <w:kern w:val="0"/>
                <w:sz w:val="24"/>
              </w:rPr>
              <w:t>⑤加强厂内绿化，设置一定的卫生防护距离，以减少无组织排放的气体对周围环境保护目标的影响。</w:t>
            </w:r>
          </w:p>
          <w:p>
            <w:pPr>
              <w:wordWrap w:val="0"/>
              <w:autoSpaceDE w:val="0"/>
              <w:adjustRightInd w:val="0"/>
              <w:snapToGrid w:val="0"/>
              <w:spacing w:line="360" w:lineRule="auto"/>
              <w:ind w:right="105" w:rightChars="50" w:firstLine="480" w:firstLineChars="200"/>
              <w:rPr>
                <w:color w:val="auto"/>
                <w:sz w:val="24"/>
              </w:rPr>
            </w:pPr>
            <w:r>
              <w:rPr>
                <w:color w:val="auto"/>
                <w:sz w:val="24"/>
              </w:rPr>
              <w:t>通过采取以上无组织排放控制措施，可减少本项目的无组织气体的排放，使污染物无组织排放量降低到较低的水平。本项目厂界颗粒物和非甲烷总烃浓度可满足《大气污染物综合排放标准》(DB32/4041-2021)表3中标准限值，厂区内非甲烷总烃浓度最高点能达到《表面涂装(工程机械和钢结构行业)大气污染物排放标准》(DB32/4147--2021)表3中标准限值，对大气环境及周边敏感目标的影响较小，无组织废气的控制措施可行。</w:t>
            </w:r>
          </w:p>
        </w:tc>
      </w:tr>
      <w:bookmarkEnd w:id="38"/>
    </w:tbl>
    <w:p>
      <w:pPr>
        <w:wordWrap w:val="0"/>
        <w:rPr>
          <w:snapToGrid w:val="0"/>
          <w:color w:val="auto"/>
        </w:rPr>
        <w:sectPr>
          <w:pgSz w:w="11905" w:h="16838"/>
          <w:pgMar w:top="1383" w:right="1797" w:bottom="1327" w:left="1797" w:header="851" w:footer="850" w:gutter="0"/>
          <w:pgBorders>
            <w:top w:val="none" w:sz="0" w:space="0"/>
            <w:left w:val="none" w:sz="0" w:space="0"/>
            <w:bottom w:val="none" w:sz="0" w:space="0"/>
            <w:right w:val="none" w:sz="0" w:space="0"/>
          </w:pgBorders>
          <w:cols w:space="720" w:num="1"/>
          <w:docGrid w:linePitch="312" w:charSpace="0"/>
        </w:sectPr>
      </w:pPr>
    </w:p>
    <w:tbl>
      <w:tblPr>
        <w:tblStyle w:val="20"/>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91"/>
        <w:gridCol w:w="863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169" w:hRule="atLeast"/>
          <w:jc w:val="center"/>
        </w:trPr>
        <w:tc>
          <w:tcPr>
            <w:tcW w:w="591" w:type="dxa"/>
            <w:tcMar>
              <w:left w:w="28" w:type="dxa"/>
              <w:right w:w="28" w:type="dxa"/>
            </w:tcMar>
            <w:vAlign w:val="center"/>
          </w:tcPr>
          <w:p>
            <w:pPr>
              <w:wordWrap w:val="0"/>
              <w:adjustRightInd w:val="0"/>
              <w:snapToGrid w:val="0"/>
              <w:jc w:val="center"/>
              <w:rPr>
                <w:b/>
                <w:color w:val="auto"/>
                <w:sz w:val="24"/>
              </w:rPr>
            </w:pPr>
            <w:r>
              <w:rPr>
                <w:b/>
                <w:color w:val="auto"/>
                <w:sz w:val="24"/>
              </w:rPr>
              <w:t>运营</w:t>
            </w:r>
          </w:p>
          <w:p>
            <w:pPr>
              <w:wordWrap w:val="0"/>
              <w:adjustRightInd w:val="0"/>
              <w:snapToGrid w:val="0"/>
              <w:jc w:val="center"/>
              <w:rPr>
                <w:b/>
                <w:color w:val="auto"/>
                <w:sz w:val="24"/>
              </w:rPr>
            </w:pPr>
            <w:r>
              <w:rPr>
                <w:b/>
                <w:color w:val="auto"/>
                <w:sz w:val="24"/>
              </w:rPr>
              <w:t>期环</w:t>
            </w:r>
          </w:p>
          <w:p>
            <w:pPr>
              <w:wordWrap w:val="0"/>
              <w:adjustRightInd w:val="0"/>
              <w:snapToGrid w:val="0"/>
              <w:jc w:val="center"/>
              <w:rPr>
                <w:b/>
                <w:color w:val="auto"/>
                <w:sz w:val="24"/>
              </w:rPr>
            </w:pPr>
            <w:r>
              <w:rPr>
                <w:b/>
                <w:color w:val="auto"/>
                <w:sz w:val="24"/>
              </w:rPr>
              <w:t>境影</w:t>
            </w:r>
          </w:p>
          <w:p>
            <w:pPr>
              <w:wordWrap w:val="0"/>
              <w:adjustRightInd w:val="0"/>
              <w:snapToGrid w:val="0"/>
              <w:jc w:val="center"/>
              <w:rPr>
                <w:b/>
                <w:color w:val="auto"/>
                <w:sz w:val="24"/>
              </w:rPr>
            </w:pPr>
            <w:r>
              <w:rPr>
                <w:b/>
                <w:color w:val="auto"/>
                <w:sz w:val="24"/>
              </w:rPr>
              <w:t>响和</w:t>
            </w:r>
          </w:p>
          <w:p>
            <w:pPr>
              <w:wordWrap w:val="0"/>
              <w:adjustRightInd w:val="0"/>
              <w:snapToGrid w:val="0"/>
              <w:jc w:val="center"/>
              <w:rPr>
                <w:b/>
                <w:color w:val="auto"/>
                <w:sz w:val="24"/>
              </w:rPr>
            </w:pPr>
            <w:r>
              <w:rPr>
                <w:b/>
                <w:color w:val="auto"/>
                <w:sz w:val="24"/>
              </w:rPr>
              <w:t>保护</w:t>
            </w:r>
          </w:p>
          <w:p>
            <w:pPr>
              <w:wordWrap w:val="0"/>
              <w:adjustRightInd w:val="0"/>
              <w:snapToGrid w:val="0"/>
              <w:jc w:val="center"/>
              <w:rPr>
                <w:bCs/>
                <w:color w:val="auto"/>
                <w:szCs w:val="21"/>
              </w:rPr>
            </w:pPr>
            <w:r>
              <w:rPr>
                <w:b/>
                <w:color w:val="auto"/>
                <w:sz w:val="24"/>
              </w:rPr>
              <w:t>措施</w:t>
            </w:r>
          </w:p>
        </w:tc>
        <w:tc>
          <w:tcPr>
            <w:tcW w:w="8633" w:type="dxa"/>
          </w:tcPr>
          <w:p>
            <w:pPr>
              <w:pStyle w:val="13"/>
              <w:widowControl w:val="0"/>
              <w:wordWrap w:val="0"/>
              <w:adjustRightInd w:val="0"/>
              <w:snapToGrid w:val="0"/>
              <w:spacing w:before="0" w:beforeAutospacing="0" w:after="0" w:afterAutospacing="0" w:line="360" w:lineRule="auto"/>
              <w:ind w:firstLine="482" w:firstLineChars="200"/>
              <w:jc w:val="both"/>
              <w:rPr>
                <w:rFonts w:ascii="Times New Roman" w:hAnsi="Times New Roman"/>
                <w:b/>
                <w:color w:val="auto"/>
                <w:szCs w:val="24"/>
              </w:rPr>
            </w:pPr>
            <w:r>
              <w:rPr>
                <w:rFonts w:ascii="Times New Roman" w:hAnsi="Times New Roman"/>
                <w:b/>
                <w:color w:val="auto"/>
                <w:szCs w:val="24"/>
              </w:rPr>
              <w:t>2、废水</w:t>
            </w:r>
          </w:p>
          <w:p>
            <w:pPr>
              <w:pStyle w:val="13"/>
              <w:widowControl w:val="0"/>
              <w:wordWrap w:val="0"/>
              <w:adjustRightInd w:val="0"/>
              <w:snapToGrid w:val="0"/>
              <w:spacing w:before="0" w:beforeAutospacing="0" w:after="0" w:afterAutospacing="0" w:line="360" w:lineRule="auto"/>
              <w:ind w:firstLine="480" w:firstLineChars="200"/>
              <w:jc w:val="both"/>
              <w:rPr>
                <w:rFonts w:ascii="Times New Roman" w:hAnsi="Times New Roman"/>
                <w:color w:val="auto"/>
                <w:szCs w:val="24"/>
              </w:rPr>
            </w:pPr>
            <w:r>
              <w:rPr>
                <w:rFonts w:ascii="Times New Roman" w:hAnsi="Times New Roman"/>
                <w:color w:val="auto"/>
                <w:szCs w:val="24"/>
              </w:rPr>
              <w:t>本项目废水为生活污水，无生产废水产生。</w:t>
            </w:r>
          </w:p>
          <w:p>
            <w:pPr>
              <w:wordWrap w:val="0"/>
              <w:spacing w:line="360" w:lineRule="auto"/>
              <w:ind w:firstLine="482" w:firstLineChars="200"/>
              <w:rPr>
                <w:b/>
                <w:color w:val="auto"/>
                <w:sz w:val="24"/>
              </w:rPr>
            </w:pPr>
            <w:r>
              <w:rPr>
                <w:b/>
                <w:color w:val="auto"/>
                <w:sz w:val="24"/>
              </w:rPr>
              <w:t>2.1源强分析</w:t>
            </w:r>
          </w:p>
          <w:p>
            <w:pPr>
              <w:wordWrap w:val="0"/>
              <w:spacing w:line="360" w:lineRule="auto"/>
              <w:ind w:firstLine="480" w:firstLineChars="200"/>
              <w:rPr>
                <w:color w:val="auto"/>
                <w:sz w:val="24"/>
              </w:rPr>
            </w:pPr>
            <w:r>
              <w:rPr>
                <w:color w:val="auto"/>
                <w:sz w:val="24"/>
              </w:rPr>
              <w:t>本项目生活用水量为450t/a，排污系数取0.8，则生活污水排放量为360t/a；。本项目废水产生、排放情况见表4.2-1</w:t>
            </w:r>
            <w:r>
              <w:rPr>
                <w:rFonts w:hint="eastAsia"/>
                <w:color w:val="auto"/>
                <w:sz w:val="24"/>
                <w:lang w:val="en-US" w:eastAsia="zh-CN"/>
              </w:rPr>
              <w:t>5</w:t>
            </w:r>
            <w:r>
              <w:rPr>
                <w:color w:val="auto"/>
                <w:sz w:val="24"/>
              </w:rPr>
              <w:t>。</w:t>
            </w:r>
          </w:p>
          <w:p>
            <w:pPr>
              <w:wordWrap w:val="0"/>
              <w:ind w:firstLine="422" w:firstLineChars="200"/>
              <w:jc w:val="center"/>
              <w:rPr>
                <w:b/>
                <w:color w:val="auto"/>
                <w:szCs w:val="21"/>
              </w:rPr>
            </w:pPr>
            <w:r>
              <w:rPr>
                <w:b/>
                <w:color w:val="auto"/>
                <w:szCs w:val="21"/>
              </w:rPr>
              <w:t>表4.2-1</w:t>
            </w:r>
            <w:r>
              <w:rPr>
                <w:rFonts w:hint="eastAsia"/>
                <w:b/>
                <w:color w:val="auto"/>
                <w:szCs w:val="21"/>
                <w:lang w:val="en-US" w:eastAsia="zh-CN"/>
              </w:rPr>
              <w:t>5</w:t>
            </w:r>
            <w:r>
              <w:rPr>
                <w:b/>
                <w:color w:val="auto"/>
                <w:szCs w:val="21"/>
              </w:rPr>
              <w:t xml:space="preserve"> 建设项目水污染物产生及排放情况一览表</w:t>
            </w:r>
          </w:p>
          <w:tbl>
            <w:tblPr>
              <w:tblStyle w:val="20"/>
              <w:tblW w:w="5000" w:type="pct"/>
              <w:tblInd w:w="0" w:type="dxa"/>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407"/>
              <w:gridCol w:w="685"/>
              <w:gridCol w:w="699"/>
              <w:gridCol w:w="750"/>
              <w:gridCol w:w="901"/>
              <w:gridCol w:w="694"/>
              <w:gridCol w:w="600"/>
              <w:gridCol w:w="598"/>
              <w:gridCol w:w="908"/>
              <w:gridCol w:w="937"/>
              <w:gridCol w:w="1238"/>
            </w:tblGrid>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77" w:hRule="atLeast"/>
              </w:trPr>
              <w:tc>
                <w:tcPr>
                  <w:tcW w:w="649" w:type="pct"/>
                  <w:gridSpan w:val="2"/>
                  <w:vAlign w:val="center"/>
                </w:tcPr>
                <w:p>
                  <w:pPr>
                    <w:widowControl/>
                    <w:jc w:val="center"/>
                    <w:textAlignment w:val="center"/>
                    <w:rPr>
                      <w:b/>
                      <w:bCs/>
                      <w:color w:val="auto"/>
                      <w:szCs w:val="21"/>
                    </w:rPr>
                  </w:pPr>
                  <w:r>
                    <w:rPr>
                      <w:b/>
                      <w:bCs/>
                      <w:color w:val="auto"/>
                      <w:kern w:val="0"/>
                      <w:szCs w:val="21"/>
                      <w:lang w:bidi="ar"/>
                    </w:rPr>
                    <w:t>污水种类及产生量</w:t>
                  </w:r>
                </w:p>
              </w:tc>
              <w:tc>
                <w:tcPr>
                  <w:tcW w:w="415" w:type="pct"/>
                  <w:vMerge w:val="restart"/>
                  <w:vAlign w:val="center"/>
                </w:tcPr>
                <w:p>
                  <w:pPr>
                    <w:widowControl/>
                    <w:jc w:val="center"/>
                    <w:textAlignment w:val="center"/>
                    <w:rPr>
                      <w:b/>
                      <w:bCs/>
                      <w:color w:val="auto"/>
                      <w:szCs w:val="21"/>
                    </w:rPr>
                  </w:pPr>
                  <w:r>
                    <w:rPr>
                      <w:b/>
                      <w:bCs/>
                      <w:color w:val="auto"/>
                      <w:kern w:val="0"/>
                      <w:szCs w:val="21"/>
                      <w:lang w:bidi="ar"/>
                    </w:rPr>
                    <w:t>污染物名称</w:t>
                  </w:r>
                </w:p>
              </w:tc>
              <w:tc>
                <w:tcPr>
                  <w:tcW w:w="980" w:type="pct"/>
                  <w:gridSpan w:val="2"/>
                  <w:vAlign w:val="center"/>
                </w:tcPr>
                <w:p>
                  <w:pPr>
                    <w:widowControl/>
                    <w:jc w:val="center"/>
                    <w:textAlignment w:val="center"/>
                    <w:rPr>
                      <w:b/>
                      <w:bCs/>
                      <w:color w:val="auto"/>
                      <w:szCs w:val="21"/>
                    </w:rPr>
                  </w:pPr>
                  <w:r>
                    <w:rPr>
                      <w:b/>
                      <w:bCs/>
                      <w:color w:val="auto"/>
                      <w:kern w:val="0"/>
                      <w:szCs w:val="21"/>
                      <w:lang w:bidi="ar"/>
                    </w:rPr>
                    <w:t>产生量</w:t>
                  </w:r>
                </w:p>
              </w:tc>
              <w:tc>
                <w:tcPr>
                  <w:tcW w:w="768" w:type="pct"/>
                  <w:gridSpan w:val="2"/>
                  <w:vAlign w:val="center"/>
                </w:tcPr>
                <w:p>
                  <w:pPr>
                    <w:widowControl/>
                    <w:jc w:val="center"/>
                    <w:textAlignment w:val="center"/>
                    <w:rPr>
                      <w:b/>
                      <w:bCs/>
                      <w:color w:val="auto"/>
                      <w:szCs w:val="21"/>
                    </w:rPr>
                  </w:pPr>
                  <w:r>
                    <w:rPr>
                      <w:b/>
                      <w:bCs/>
                      <w:color w:val="auto"/>
                      <w:kern w:val="0"/>
                      <w:szCs w:val="21"/>
                      <w:lang w:bidi="ar"/>
                    </w:rPr>
                    <w:t>治理措施</w:t>
                  </w:r>
                </w:p>
              </w:tc>
              <w:tc>
                <w:tcPr>
                  <w:tcW w:w="355" w:type="pct"/>
                  <w:vMerge w:val="restart"/>
                  <w:vAlign w:val="center"/>
                </w:tcPr>
                <w:p>
                  <w:pPr>
                    <w:widowControl/>
                    <w:jc w:val="center"/>
                    <w:textAlignment w:val="center"/>
                    <w:rPr>
                      <w:b/>
                      <w:bCs/>
                      <w:color w:val="auto"/>
                      <w:szCs w:val="21"/>
                    </w:rPr>
                  </w:pPr>
                  <w:r>
                    <w:rPr>
                      <w:b/>
                      <w:bCs/>
                      <w:color w:val="auto"/>
                      <w:kern w:val="0"/>
                      <w:szCs w:val="21"/>
                      <w:lang w:bidi="ar"/>
                    </w:rPr>
                    <w:t>废水排放量</w:t>
                  </w:r>
                </w:p>
              </w:tc>
              <w:tc>
                <w:tcPr>
                  <w:tcW w:w="1095" w:type="pct"/>
                  <w:gridSpan w:val="2"/>
                  <w:vAlign w:val="center"/>
                </w:tcPr>
                <w:p>
                  <w:pPr>
                    <w:widowControl/>
                    <w:jc w:val="center"/>
                    <w:textAlignment w:val="center"/>
                    <w:rPr>
                      <w:b/>
                      <w:bCs/>
                      <w:color w:val="auto"/>
                      <w:szCs w:val="21"/>
                    </w:rPr>
                  </w:pPr>
                  <w:r>
                    <w:rPr>
                      <w:b/>
                      <w:bCs/>
                      <w:color w:val="auto"/>
                      <w:kern w:val="0"/>
                      <w:szCs w:val="21"/>
                      <w:lang w:bidi="ar"/>
                    </w:rPr>
                    <w:t>污染物排放量</w:t>
                  </w:r>
                </w:p>
              </w:tc>
              <w:tc>
                <w:tcPr>
                  <w:tcW w:w="735" w:type="pct"/>
                  <w:vMerge w:val="restart"/>
                  <w:vAlign w:val="center"/>
                </w:tcPr>
                <w:p>
                  <w:pPr>
                    <w:widowControl/>
                    <w:jc w:val="center"/>
                    <w:textAlignment w:val="center"/>
                    <w:rPr>
                      <w:b/>
                      <w:bCs/>
                      <w:color w:val="auto"/>
                      <w:szCs w:val="21"/>
                    </w:rPr>
                  </w:pPr>
                  <w:r>
                    <w:rPr>
                      <w:b/>
                      <w:bCs/>
                      <w:color w:val="auto"/>
                      <w:kern w:val="0"/>
                      <w:szCs w:val="21"/>
                      <w:lang w:bidi="ar"/>
                    </w:rPr>
                    <w:t>排放方式和去向</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16" w:hRule="atLeast"/>
              </w:trPr>
              <w:tc>
                <w:tcPr>
                  <w:tcW w:w="242" w:type="pct"/>
                  <w:vAlign w:val="center"/>
                </w:tcPr>
                <w:p>
                  <w:pPr>
                    <w:widowControl/>
                    <w:jc w:val="center"/>
                    <w:textAlignment w:val="center"/>
                    <w:rPr>
                      <w:b/>
                      <w:bCs/>
                      <w:color w:val="auto"/>
                      <w:szCs w:val="21"/>
                    </w:rPr>
                  </w:pPr>
                  <w:r>
                    <w:rPr>
                      <w:b/>
                      <w:bCs/>
                      <w:color w:val="auto"/>
                      <w:kern w:val="0"/>
                      <w:szCs w:val="21"/>
                      <w:lang w:bidi="ar"/>
                    </w:rPr>
                    <w:t>种类</w:t>
                  </w:r>
                </w:p>
              </w:tc>
              <w:tc>
                <w:tcPr>
                  <w:tcW w:w="407" w:type="pct"/>
                  <w:vAlign w:val="center"/>
                </w:tcPr>
                <w:p>
                  <w:pPr>
                    <w:widowControl/>
                    <w:jc w:val="center"/>
                    <w:textAlignment w:val="center"/>
                    <w:rPr>
                      <w:b/>
                      <w:bCs/>
                      <w:color w:val="auto"/>
                      <w:szCs w:val="21"/>
                    </w:rPr>
                  </w:pPr>
                  <w:r>
                    <w:rPr>
                      <w:b/>
                      <w:bCs/>
                      <w:color w:val="auto"/>
                      <w:kern w:val="0"/>
                      <w:szCs w:val="21"/>
                      <w:lang w:bidi="ar"/>
                    </w:rPr>
                    <w:t>产生量（t/a)</w:t>
                  </w:r>
                </w:p>
              </w:tc>
              <w:tc>
                <w:tcPr>
                  <w:tcW w:w="415" w:type="pct"/>
                  <w:vMerge w:val="continue"/>
                  <w:vAlign w:val="center"/>
                </w:tcPr>
                <w:p>
                  <w:pPr>
                    <w:jc w:val="center"/>
                    <w:rPr>
                      <w:b/>
                      <w:bCs/>
                      <w:color w:val="auto"/>
                      <w:szCs w:val="21"/>
                    </w:rPr>
                  </w:pPr>
                </w:p>
              </w:tc>
              <w:tc>
                <w:tcPr>
                  <w:tcW w:w="445" w:type="pct"/>
                  <w:vAlign w:val="center"/>
                </w:tcPr>
                <w:p>
                  <w:pPr>
                    <w:widowControl/>
                    <w:jc w:val="center"/>
                    <w:textAlignment w:val="center"/>
                    <w:rPr>
                      <w:b/>
                      <w:bCs/>
                      <w:color w:val="auto"/>
                      <w:szCs w:val="21"/>
                    </w:rPr>
                  </w:pPr>
                  <w:r>
                    <w:rPr>
                      <w:b/>
                      <w:bCs/>
                      <w:color w:val="auto"/>
                      <w:kern w:val="0"/>
                      <w:szCs w:val="21"/>
                      <w:lang w:bidi="ar"/>
                    </w:rPr>
                    <w:t>浓度（mg/L)</w:t>
                  </w:r>
                </w:p>
              </w:tc>
              <w:tc>
                <w:tcPr>
                  <w:tcW w:w="534" w:type="pct"/>
                  <w:vAlign w:val="center"/>
                </w:tcPr>
                <w:p>
                  <w:pPr>
                    <w:widowControl/>
                    <w:jc w:val="center"/>
                    <w:textAlignment w:val="center"/>
                    <w:rPr>
                      <w:b/>
                      <w:bCs/>
                      <w:color w:val="auto"/>
                      <w:szCs w:val="21"/>
                    </w:rPr>
                  </w:pPr>
                  <w:r>
                    <w:rPr>
                      <w:b/>
                      <w:bCs/>
                      <w:color w:val="auto"/>
                      <w:kern w:val="0"/>
                      <w:szCs w:val="21"/>
                      <w:lang w:bidi="ar"/>
                    </w:rPr>
                    <w:t>产生量（t/a)</w:t>
                  </w:r>
                </w:p>
              </w:tc>
              <w:tc>
                <w:tcPr>
                  <w:tcW w:w="412" w:type="pct"/>
                  <w:vAlign w:val="center"/>
                </w:tcPr>
                <w:p>
                  <w:pPr>
                    <w:widowControl/>
                    <w:jc w:val="center"/>
                    <w:textAlignment w:val="center"/>
                    <w:rPr>
                      <w:b/>
                      <w:bCs/>
                      <w:color w:val="auto"/>
                      <w:szCs w:val="21"/>
                    </w:rPr>
                  </w:pPr>
                  <w:r>
                    <w:rPr>
                      <w:b/>
                      <w:bCs/>
                      <w:color w:val="auto"/>
                      <w:kern w:val="0"/>
                      <w:szCs w:val="21"/>
                      <w:lang w:bidi="ar"/>
                    </w:rPr>
                    <w:t>工艺</w:t>
                  </w:r>
                </w:p>
              </w:tc>
              <w:tc>
                <w:tcPr>
                  <w:tcW w:w="356" w:type="pct"/>
                  <w:vAlign w:val="center"/>
                </w:tcPr>
                <w:p>
                  <w:pPr>
                    <w:widowControl/>
                    <w:jc w:val="center"/>
                    <w:textAlignment w:val="center"/>
                    <w:rPr>
                      <w:b/>
                      <w:bCs/>
                      <w:color w:val="auto"/>
                      <w:szCs w:val="21"/>
                    </w:rPr>
                  </w:pPr>
                  <w:r>
                    <w:rPr>
                      <w:b/>
                      <w:bCs/>
                      <w:color w:val="auto"/>
                      <w:kern w:val="0"/>
                      <w:szCs w:val="21"/>
                      <w:lang w:bidi="ar"/>
                    </w:rPr>
                    <w:t>效率%</w:t>
                  </w:r>
                </w:p>
              </w:tc>
              <w:tc>
                <w:tcPr>
                  <w:tcW w:w="355" w:type="pct"/>
                  <w:vMerge w:val="continue"/>
                  <w:vAlign w:val="center"/>
                </w:tcPr>
                <w:p>
                  <w:pPr>
                    <w:jc w:val="center"/>
                    <w:rPr>
                      <w:b/>
                      <w:bCs/>
                      <w:color w:val="auto"/>
                      <w:szCs w:val="21"/>
                    </w:rPr>
                  </w:pPr>
                </w:p>
              </w:tc>
              <w:tc>
                <w:tcPr>
                  <w:tcW w:w="539" w:type="pct"/>
                  <w:vAlign w:val="center"/>
                </w:tcPr>
                <w:p>
                  <w:pPr>
                    <w:widowControl/>
                    <w:jc w:val="center"/>
                    <w:textAlignment w:val="center"/>
                    <w:rPr>
                      <w:b/>
                      <w:bCs/>
                      <w:color w:val="auto"/>
                      <w:szCs w:val="21"/>
                    </w:rPr>
                  </w:pPr>
                  <w:r>
                    <w:rPr>
                      <w:b/>
                      <w:bCs/>
                      <w:color w:val="auto"/>
                      <w:kern w:val="0"/>
                      <w:szCs w:val="21"/>
                      <w:lang w:bidi="ar"/>
                    </w:rPr>
                    <w:t>浓度（mg/L)</w:t>
                  </w:r>
                </w:p>
              </w:tc>
              <w:tc>
                <w:tcPr>
                  <w:tcW w:w="555" w:type="pct"/>
                  <w:vAlign w:val="center"/>
                </w:tcPr>
                <w:p>
                  <w:pPr>
                    <w:widowControl/>
                    <w:jc w:val="center"/>
                    <w:textAlignment w:val="center"/>
                    <w:rPr>
                      <w:b/>
                      <w:bCs/>
                      <w:color w:val="auto"/>
                      <w:szCs w:val="21"/>
                    </w:rPr>
                  </w:pPr>
                  <w:r>
                    <w:rPr>
                      <w:b/>
                      <w:bCs/>
                      <w:color w:val="auto"/>
                      <w:kern w:val="0"/>
                      <w:szCs w:val="21"/>
                      <w:lang w:bidi="ar"/>
                    </w:rPr>
                    <w:t>排放量（t/a)</w:t>
                  </w:r>
                </w:p>
              </w:tc>
              <w:tc>
                <w:tcPr>
                  <w:tcW w:w="735" w:type="pct"/>
                  <w:vMerge w:val="continue"/>
                  <w:vAlign w:val="center"/>
                </w:tcPr>
                <w:p>
                  <w:pPr>
                    <w:jc w:val="center"/>
                    <w:rPr>
                      <w:b/>
                      <w:bCs/>
                      <w:color w:val="auto"/>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242" w:type="pct"/>
                  <w:vMerge w:val="restart"/>
                  <w:vAlign w:val="center"/>
                </w:tcPr>
                <w:p>
                  <w:pPr>
                    <w:widowControl/>
                    <w:jc w:val="center"/>
                    <w:textAlignment w:val="center"/>
                    <w:rPr>
                      <w:color w:val="auto"/>
                      <w:szCs w:val="21"/>
                    </w:rPr>
                  </w:pPr>
                  <w:r>
                    <w:rPr>
                      <w:color w:val="auto"/>
                      <w:kern w:val="0"/>
                      <w:szCs w:val="21"/>
                      <w:lang w:bidi="ar"/>
                    </w:rPr>
                    <w:t>生活污水</w:t>
                  </w:r>
                </w:p>
              </w:tc>
              <w:tc>
                <w:tcPr>
                  <w:tcW w:w="407" w:type="pct"/>
                  <w:vMerge w:val="restart"/>
                  <w:vAlign w:val="center"/>
                </w:tcPr>
                <w:p>
                  <w:pPr>
                    <w:widowControl/>
                    <w:jc w:val="center"/>
                    <w:textAlignment w:val="center"/>
                    <w:rPr>
                      <w:color w:val="auto"/>
                      <w:szCs w:val="21"/>
                    </w:rPr>
                  </w:pPr>
                  <w:r>
                    <w:rPr>
                      <w:color w:val="auto"/>
                      <w:szCs w:val="21"/>
                    </w:rPr>
                    <w:t>450</w:t>
                  </w:r>
                </w:p>
              </w:tc>
              <w:tc>
                <w:tcPr>
                  <w:tcW w:w="415" w:type="pct"/>
                  <w:vAlign w:val="center"/>
                </w:tcPr>
                <w:p>
                  <w:pPr>
                    <w:widowControl/>
                    <w:jc w:val="center"/>
                    <w:textAlignment w:val="center"/>
                    <w:rPr>
                      <w:color w:val="auto"/>
                      <w:szCs w:val="21"/>
                    </w:rPr>
                  </w:pPr>
                  <w:r>
                    <w:rPr>
                      <w:color w:val="auto"/>
                      <w:kern w:val="0"/>
                      <w:szCs w:val="21"/>
                      <w:lang w:bidi="ar"/>
                    </w:rPr>
                    <w:t>COD</w:t>
                  </w:r>
                </w:p>
              </w:tc>
              <w:tc>
                <w:tcPr>
                  <w:tcW w:w="445" w:type="pct"/>
                  <w:vAlign w:val="center"/>
                </w:tcPr>
                <w:p>
                  <w:pPr>
                    <w:widowControl/>
                    <w:jc w:val="center"/>
                    <w:textAlignment w:val="center"/>
                    <w:rPr>
                      <w:color w:val="auto"/>
                      <w:szCs w:val="21"/>
                    </w:rPr>
                  </w:pPr>
                  <w:r>
                    <w:rPr>
                      <w:color w:val="auto"/>
                      <w:szCs w:val="21"/>
                    </w:rPr>
                    <w:t>350</w:t>
                  </w:r>
                </w:p>
              </w:tc>
              <w:tc>
                <w:tcPr>
                  <w:tcW w:w="534" w:type="pct"/>
                  <w:vAlign w:val="center"/>
                </w:tcPr>
                <w:p>
                  <w:pPr>
                    <w:widowControl/>
                    <w:jc w:val="center"/>
                    <w:textAlignment w:val="center"/>
                    <w:rPr>
                      <w:color w:val="auto"/>
                      <w:szCs w:val="21"/>
                    </w:rPr>
                  </w:pPr>
                  <w:r>
                    <w:rPr>
                      <w:color w:val="auto"/>
                      <w:szCs w:val="21"/>
                    </w:rPr>
                    <w:t>0.126</w:t>
                  </w:r>
                </w:p>
              </w:tc>
              <w:tc>
                <w:tcPr>
                  <w:tcW w:w="412" w:type="pct"/>
                  <w:vMerge w:val="restart"/>
                  <w:vAlign w:val="center"/>
                </w:tcPr>
                <w:p>
                  <w:pPr>
                    <w:widowControl/>
                    <w:jc w:val="center"/>
                    <w:textAlignment w:val="center"/>
                    <w:rPr>
                      <w:color w:val="auto"/>
                      <w:szCs w:val="21"/>
                    </w:rPr>
                  </w:pPr>
                  <w:r>
                    <w:rPr>
                      <w:color w:val="auto"/>
                      <w:kern w:val="0"/>
                      <w:szCs w:val="21"/>
                      <w:lang w:bidi="ar"/>
                    </w:rPr>
                    <w:t>化粪池</w:t>
                  </w:r>
                </w:p>
              </w:tc>
              <w:tc>
                <w:tcPr>
                  <w:tcW w:w="356" w:type="pct"/>
                  <w:vAlign w:val="center"/>
                </w:tcPr>
                <w:p>
                  <w:pPr>
                    <w:widowControl/>
                    <w:jc w:val="center"/>
                    <w:textAlignment w:val="center"/>
                    <w:rPr>
                      <w:color w:val="auto"/>
                      <w:szCs w:val="21"/>
                    </w:rPr>
                  </w:pPr>
                  <w:r>
                    <w:rPr>
                      <w:rFonts w:hint="eastAsia"/>
                      <w:color w:val="auto"/>
                      <w:szCs w:val="21"/>
                    </w:rPr>
                    <w:t>60</w:t>
                  </w:r>
                </w:p>
              </w:tc>
              <w:tc>
                <w:tcPr>
                  <w:tcW w:w="355" w:type="pct"/>
                  <w:vMerge w:val="restart"/>
                  <w:vAlign w:val="center"/>
                </w:tcPr>
                <w:p>
                  <w:pPr>
                    <w:widowControl/>
                    <w:jc w:val="center"/>
                    <w:textAlignment w:val="center"/>
                    <w:rPr>
                      <w:color w:val="auto"/>
                      <w:szCs w:val="21"/>
                    </w:rPr>
                  </w:pPr>
                  <w:r>
                    <w:rPr>
                      <w:color w:val="auto"/>
                      <w:szCs w:val="21"/>
                    </w:rPr>
                    <w:t>360</w:t>
                  </w:r>
                </w:p>
              </w:tc>
              <w:tc>
                <w:tcPr>
                  <w:tcW w:w="539" w:type="pct"/>
                  <w:vAlign w:val="center"/>
                </w:tcPr>
                <w:p>
                  <w:pPr>
                    <w:widowControl/>
                    <w:jc w:val="center"/>
                    <w:textAlignment w:val="center"/>
                    <w:rPr>
                      <w:color w:val="auto"/>
                      <w:szCs w:val="21"/>
                    </w:rPr>
                  </w:pPr>
                  <w:r>
                    <w:rPr>
                      <w:rFonts w:hint="eastAsia"/>
                      <w:color w:val="auto"/>
                      <w:szCs w:val="21"/>
                    </w:rPr>
                    <w:t>140</w:t>
                  </w:r>
                </w:p>
              </w:tc>
              <w:tc>
                <w:tcPr>
                  <w:tcW w:w="555" w:type="pct"/>
                  <w:vAlign w:val="center"/>
                </w:tcPr>
                <w:p>
                  <w:pPr>
                    <w:widowControl/>
                    <w:jc w:val="center"/>
                    <w:textAlignment w:val="center"/>
                    <w:rPr>
                      <w:color w:val="auto"/>
                      <w:szCs w:val="21"/>
                    </w:rPr>
                  </w:pPr>
                  <w:r>
                    <w:rPr>
                      <w:rFonts w:hint="eastAsia"/>
                      <w:color w:val="auto"/>
                      <w:szCs w:val="21"/>
                    </w:rPr>
                    <w:t>0.0504</w:t>
                  </w:r>
                </w:p>
              </w:tc>
              <w:tc>
                <w:tcPr>
                  <w:tcW w:w="735" w:type="pct"/>
                  <w:vMerge w:val="restart"/>
                  <w:vAlign w:val="center"/>
                </w:tcPr>
                <w:p>
                  <w:pPr>
                    <w:widowControl/>
                    <w:jc w:val="center"/>
                    <w:textAlignment w:val="center"/>
                    <w:rPr>
                      <w:color w:val="auto"/>
                      <w:szCs w:val="21"/>
                    </w:rPr>
                  </w:pPr>
                  <w:r>
                    <w:rPr>
                      <w:color w:val="auto"/>
                      <w:kern w:val="0"/>
                      <w:szCs w:val="21"/>
                      <w:lang w:bidi="ar"/>
                    </w:rPr>
                    <w:t>回用肥田</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419" w:hRule="atLeast"/>
              </w:trPr>
              <w:tc>
                <w:tcPr>
                  <w:tcW w:w="242" w:type="pct"/>
                  <w:vMerge w:val="continue"/>
                  <w:vAlign w:val="center"/>
                </w:tcPr>
                <w:p>
                  <w:pPr>
                    <w:jc w:val="center"/>
                    <w:rPr>
                      <w:color w:val="auto"/>
                      <w:szCs w:val="21"/>
                    </w:rPr>
                  </w:pPr>
                </w:p>
              </w:tc>
              <w:tc>
                <w:tcPr>
                  <w:tcW w:w="407" w:type="pct"/>
                  <w:vMerge w:val="continue"/>
                  <w:vAlign w:val="center"/>
                </w:tcPr>
                <w:p>
                  <w:pPr>
                    <w:jc w:val="center"/>
                    <w:rPr>
                      <w:color w:val="auto"/>
                      <w:szCs w:val="21"/>
                    </w:rPr>
                  </w:pPr>
                </w:p>
              </w:tc>
              <w:tc>
                <w:tcPr>
                  <w:tcW w:w="415" w:type="pct"/>
                  <w:vAlign w:val="center"/>
                </w:tcPr>
                <w:p>
                  <w:pPr>
                    <w:widowControl/>
                    <w:jc w:val="center"/>
                    <w:textAlignment w:val="center"/>
                    <w:rPr>
                      <w:color w:val="auto"/>
                      <w:szCs w:val="21"/>
                    </w:rPr>
                  </w:pPr>
                  <w:r>
                    <w:rPr>
                      <w:color w:val="auto"/>
                      <w:kern w:val="0"/>
                      <w:szCs w:val="21"/>
                      <w:lang w:bidi="ar"/>
                    </w:rPr>
                    <w:t>SS</w:t>
                  </w:r>
                </w:p>
              </w:tc>
              <w:tc>
                <w:tcPr>
                  <w:tcW w:w="445" w:type="pct"/>
                  <w:vAlign w:val="center"/>
                </w:tcPr>
                <w:p>
                  <w:pPr>
                    <w:widowControl/>
                    <w:jc w:val="center"/>
                    <w:textAlignment w:val="center"/>
                    <w:rPr>
                      <w:color w:val="auto"/>
                      <w:szCs w:val="21"/>
                    </w:rPr>
                  </w:pPr>
                  <w:r>
                    <w:rPr>
                      <w:color w:val="auto"/>
                      <w:szCs w:val="21"/>
                    </w:rPr>
                    <w:t>200</w:t>
                  </w:r>
                </w:p>
              </w:tc>
              <w:tc>
                <w:tcPr>
                  <w:tcW w:w="534" w:type="pct"/>
                  <w:vAlign w:val="center"/>
                </w:tcPr>
                <w:p>
                  <w:pPr>
                    <w:widowControl/>
                    <w:jc w:val="center"/>
                    <w:textAlignment w:val="center"/>
                    <w:rPr>
                      <w:color w:val="auto"/>
                      <w:szCs w:val="21"/>
                    </w:rPr>
                  </w:pPr>
                  <w:r>
                    <w:rPr>
                      <w:color w:val="auto"/>
                      <w:szCs w:val="21"/>
                    </w:rPr>
                    <w:t>0.72</w:t>
                  </w:r>
                </w:p>
              </w:tc>
              <w:tc>
                <w:tcPr>
                  <w:tcW w:w="412" w:type="pct"/>
                  <w:vMerge w:val="continue"/>
                  <w:vAlign w:val="center"/>
                </w:tcPr>
                <w:p>
                  <w:pPr>
                    <w:jc w:val="center"/>
                    <w:rPr>
                      <w:color w:val="auto"/>
                      <w:szCs w:val="21"/>
                    </w:rPr>
                  </w:pPr>
                </w:p>
              </w:tc>
              <w:tc>
                <w:tcPr>
                  <w:tcW w:w="356" w:type="pct"/>
                  <w:vAlign w:val="center"/>
                </w:tcPr>
                <w:p>
                  <w:pPr>
                    <w:widowControl/>
                    <w:jc w:val="center"/>
                    <w:textAlignment w:val="center"/>
                    <w:rPr>
                      <w:color w:val="auto"/>
                      <w:szCs w:val="21"/>
                    </w:rPr>
                  </w:pPr>
                  <w:r>
                    <w:rPr>
                      <w:rFonts w:hint="eastAsia"/>
                      <w:color w:val="auto"/>
                      <w:szCs w:val="21"/>
                    </w:rPr>
                    <w:t>60</w:t>
                  </w:r>
                </w:p>
              </w:tc>
              <w:tc>
                <w:tcPr>
                  <w:tcW w:w="355" w:type="pct"/>
                  <w:vMerge w:val="continue"/>
                  <w:vAlign w:val="center"/>
                </w:tcPr>
                <w:p>
                  <w:pPr>
                    <w:widowControl/>
                    <w:jc w:val="center"/>
                    <w:textAlignment w:val="center"/>
                    <w:rPr>
                      <w:color w:val="auto"/>
                      <w:szCs w:val="21"/>
                    </w:rPr>
                  </w:pPr>
                </w:p>
              </w:tc>
              <w:tc>
                <w:tcPr>
                  <w:tcW w:w="539" w:type="pct"/>
                  <w:vAlign w:val="center"/>
                </w:tcPr>
                <w:p>
                  <w:pPr>
                    <w:widowControl/>
                    <w:jc w:val="center"/>
                    <w:textAlignment w:val="center"/>
                    <w:rPr>
                      <w:color w:val="auto"/>
                      <w:szCs w:val="21"/>
                    </w:rPr>
                  </w:pPr>
                  <w:r>
                    <w:rPr>
                      <w:rFonts w:hint="eastAsia"/>
                      <w:color w:val="auto"/>
                      <w:szCs w:val="21"/>
                    </w:rPr>
                    <w:t>80</w:t>
                  </w:r>
                </w:p>
              </w:tc>
              <w:tc>
                <w:tcPr>
                  <w:tcW w:w="555" w:type="pct"/>
                  <w:vAlign w:val="center"/>
                </w:tcPr>
                <w:p>
                  <w:pPr>
                    <w:widowControl/>
                    <w:jc w:val="center"/>
                    <w:textAlignment w:val="center"/>
                    <w:rPr>
                      <w:color w:val="auto"/>
                      <w:szCs w:val="21"/>
                    </w:rPr>
                  </w:pPr>
                  <w:r>
                    <w:rPr>
                      <w:rFonts w:hint="eastAsia"/>
                      <w:color w:val="auto"/>
                      <w:szCs w:val="21"/>
                    </w:rPr>
                    <w:t>0.288</w:t>
                  </w:r>
                </w:p>
              </w:tc>
              <w:tc>
                <w:tcPr>
                  <w:tcW w:w="735" w:type="pct"/>
                  <w:vMerge w:val="continue"/>
                  <w:vAlign w:val="center"/>
                </w:tcPr>
                <w:p>
                  <w:pPr>
                    <w:jc w:val="center"/>
                    <w:rPr>
                      <w:color w:val="auto"/>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427" w:hRule="atLeast"/>
              </w:trPr>
              <w:tc>
                <w:tcPr>
                  <w:tcW w:w="242" w:type="pct"/>
                  <w:vMerge w:val="continue"/>
                  <w:vAlign w:val="center"/>
                </w:tcPr>
                <w:p>
                  <w:pPr>
                    <w:jc w:val="center"/>
                    <w:rPr>
                      <w:color w:val="auto"/>
                      <w:szCs w:val="21"/>
                    </w:rPr>
                  </w:pPr>
                </w:p>
              </w:tc>
              <w:tc>
                <w:tcPr>
                  <w:tcW w:w="407" w:type="pct"/>
                  <w:vMerge w:val="continue"/>
                  <w:vAlign w:val="center"/>
                </w:tcPr>
                <w:p>
                  <w:pPr>
                    <w:jc w:val="center"/>
                    <w:rPr>
                      <w:color w:val="auto"/>
                      <w:szCs w:val="21"/>
                    </w:rPr>
                  </w:pPr>
                </w:p>
              </w:tc>
              <w:tc>
                <w:tcPr>
                  <w:tcW w:w="415" w:type="pct"/>
                  <w:vAlign w:val="center"/>
                </w:tcPr>
                <w:p>
                  <w:pPr>
                    <w:widowControl/>
                    <w:jc w:val="center"/>
                    <w:textAlignment w:val="center"/>
                    <w:rPr>
                      <w:color w:val="auto"/>
                      <w:szCs w:val="21"/>
                    </w:rPr>
                  </w:pPr>
                  <w:r>
                    <w:rPr>
                      <w:color w:val="auto"/>
                      <w:kern w:val="0"/>
                      <w:szCs w:val="21"/>
                      <w:lang w:bidi="ar"/>
                    </w:rPr>
                    <w:t>NH</w:t>
                  </w:r>
                  <w:r>
                    <w:rPr>
                      <w:color w:val="auto"/>
                      <w:kern w:val="0"/>
                      <w:szCs w:val="21"/>
                      <w:vertAlign w:val="subscript"/>
                      <w:lang w:bidi="ar"/>
                    </w:rPr>
                    <w:t>3</w:t>
                  </w:r>
                  <w:r>
                    <w:rPr>
                      <w:color w:val="auto"/>
                      <w:kern w:val="0"/>
                      <w:szCs w:val="21"/>
                      <w:lang w:bidi="ar"/>
                    </w:rPr>
                    <w:t>-N</w:t>
                  </w:r>
                </w:p>
              </w:tc>
              <w:tc>
                <w:tcPr>
                  <w:tcW w:w="445" w:type="pct"/>
                  <w:vAlign w:val="center"/>
                </w:tcPr>
                <w:p>
                  <w:pPr>
                    <w:widowControl/>
                    <w:jc w:val="center"/>
                    <w:textAlignment w:val="center"/>
                    <w:rPr>
                      <w:color w:val="auto"/>
                      <w:szCs w:val="21"/>
                    </w:rPr>
                  </w:pPr>
                  <w:r>
                    <w:rPr>
                      <w:color w:val="auto"/>
                      <w:szCs w:val="21"/>
                    </w:rPr>
                    <w:t>30</w:t>
                  </w:r>
                </w:p>
              </w:tc>
              <w:tc>
                <w:tcPr>
                  <w:tcW w:w="534" w:type="pct"/>
                  <w:vAlign w:val="center"/>
                </w:tcPr>
                <w:p>
                  <w:pPr>
                    <w:widowControl/>
                    <w:jc w:val="center"/>
                    <w:textAlignment w:val="center"/>
                    <w:rPr>
                      <w:color w:val="auto"/>
                      <w:szCs w:val="21"/>
                    </w:rPr>
                  </w:pPr>
                  <w:r>
                    <w:rPr>
                      <w:color w:val="auto"/>
                      <w:szCs w:val="21"/>
                    </w:rPr>
                    <w:t>0.0108</w:t>
                  </w:r>
                </w:p>
              </w:tc>
              <w:tc>
                <w:tcPr>
                  <w:tcW w:w="412" w:type="pct"/>
                  <w:vMerge w:val="continue"/>
                  <w:vAlign w:val="center"/>
                </w:tcPr>
                <w:p>
                  <w:pPr>
                    <w:jc w:val="center"/>
                    <w:rPr>
                      <w:color w:val="auto"/>
                      <w:szCs w:val="21"/>
                    </w:rPr>
                  </w:pPr>
                </w:p>
              </w:tc>
              <w:tc>
                <w:tcPr>
                  <w:tcW w:w="356" w:type="pct"/>
                  <w:vAlign w:val="center"/>
                </w:tcPr>
                <w:p>
                  <w:pPr>
                    <w:widowControl/>
                    <w:jc w:val="center"/>
                    <w:textAlignment w:val="center"/>
                    <w:rPr>
                      <w:color w:val="auto"/>
                      <w:szCs w:val="21"/>
                    </w:rPr>
                  </w:pPr>
                  <w:r>
                    <w:rPr>
                      <w:rFonts w:hint="eastAsia"/>
                      <w:color w:val="auto"/>
                      <w:szCs w:val="21"/>
                    </w:rPr>
                    <w:t>60</w:t>
                  </w:r>
                </w:p>
              </w:tc>
              <w:tc>
                <w:tcPr>
                  <w:tcW w:w="355" w:type="pct"/>
                  <w:vMerge w:val="continue"/>
                  <w:vAlign w:val="center"/>
                </w:tcPr>
                <w:p>
                  <w:pPr>
                    <w:widowControl/>
                    <w:jc w:val="center"/>
                    <w:textAlignment w:val="center"/>
                    <w:rPr>
                      <w:color w:val="auto"/>
                      <w:szCs w:val="21"/>
                    </w:rPr>
                  </w:pPr>
                </w:p>
              </w:tc>
              <w:tc>
                <w:tcPr>
                  <w:tcW w:w="539" w:type="pct"/>
                  <w:vAlign w:val="center"/>
                </w:tcPr>
                <w:p>
                  <w:pPr>
                    <w:widowControl/>
                    <w:jc w:val="center"/>
                    <w:textAlignment w:val="center"/>
                    <w:rPr>
                      <w:color w:val="auto"/>
                      <w:szCs w:val="21"/>
                    </w:rPr>
                  </w:pPr>
                  <w:r>
                    <w:rPr>
                      <w:rFonts w:hint="eastAsia"/>
                      <w:color w:val="auto"/>
                      <w:szCs w:val="21"/>
                    </w:rPr>
                    <w:t>12</w:t>
                  </w:r>
                </w:p>
              </w:tc>
              <w:tc>
                <w:tcPr>
                  <w:tcW w:w="555" w:type="pct"/>
                  <w:vAlign w:val="center"/>
                </w:tcPr>
                <w:p>
                  <w:pPr>
                    <w:widowControl/>
                    <w:jc w:val="center"/>
                    <w:textAlignment w:val="center"/>
                    <w:rPr>
                      <w:color w:val="auto"/>
                      <w:szCs w:val="21"/>
                    </w:rPr>
                  </w:pPr>
                  <w:r>
                    <w:rPr>
                      <w:rFonts w:hint="eastAsia"/>
                      <w:color w:val="auto"/>
                      <w:szCs w:val="21"/>
                    </w:rPr>
                    <w:t>0.0432</w:t>
                  </w:r>
                </w:p>
              </w:tc>
              <w:tc>
                <w:tcPr>
                  <w:tcW w:w="735" w:type="pct"/>
                  <w:vMerge w:val="continue"/>
                  <w:vAlign w:val="center"/>
                </w:tcPr>
                <w:p>
                  <w:pPr>
                    <w:jc w:val="center"/>
                    <w:rPr>
                      <w:color w:val="auto"/>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427" w:hRule="atLeast"/>
              </w:trPr>
              <w:tc>
                <w:tcPr>
                  <w:tcW w:w="242" w:type="pct"/>
                  <w:vMerge w:val="continue"/>
                  <w:vAlign w:val="center"/>
                </w:tcPr>
                <w:p>
                  <w:pPr>
                    <w:jc w:val="center"/>
                    <w:rPr>
                      <w:color w:val="auto"/>
                      <w:szCs w:val="21"/>
                    </w:rPr>
                  </w:pPr>
                </w:p>
              </w:tc>
              <w:tc>
                <w:tcPr>
                  <w:tcW w:w="407" w:type="pct"/>
                  <w:vMerge w:val="continue"/>
                  <w:vAlign w:val="center"/>
                </w:tcPr>
                <w:p>
                  <w:pPr>
                    <w:jc w:val="center"/>
                    <w:rPr>
                      <w:color w:val="auto"/>
                      <w:szCs w:val="21"/>
                    </w:rPr>
                  </w:pPr>
                </w:p>
              </w:tc>
              <w:tc>
                <w:tcPr>
                  <w:tcW w:w="415" w:type="pct"/>
                  <w:vAlign w:val="center"/>
                </w:tcPr>
                <w:p>
                  <w:pPr>
                    <w:widowControl/>
                    <w:jc w:val="center"/>
                    <w:textAlignment w:val="center"/>
                    <w:rPr>
                      <w:color w:val="auto"/>
                      <w:szCs w:val="21"/>
                    </w:rPr>
                  </w:pPr>
                  <w:r>
                    <w:rPr>
                      <w:color w:val="auto"/>
                      <w:kern w:val="0"/>
                      <w:szCs w:val="21"/>
                      <w:lang w:bidi="ar"/>
                    </w:rPr>
                    <w:t>TP</w:t>
                  </w:r>
                </w:p>
              </w:tc>
              <w:tc>
                <w:tcPr>
                  <w:tcW w:w="445" w:type="pct"/>
                  <w:vAlign w:val="center"/>
                </w:tcPr>
                <w:p>
                  <w:pPr>
                    <w:widowControl/>
                    <w:jc w:val="center"/>
                    <w:textAlignment w:val="center"/>
                    <w:rPr>
                      <w:color w:val="auto"/>
                      <w:szCs w:val="21"/>
                    </w:rPr>
                  </w:pPr>
                  <w:r>
                    <w:rPr>
                      <w:color w:val="auto"/>
                      <w:szCs w:val="21"/>
                    </w:rPr>
                    <w:t>4</w:t>
                  </w:r>
                </w:p>
              </w:tc>
              <w:tc>
                <w:tcPr>
                  <w:tcW w:w="534" w:type="pct"/>
                  <w:vAlign w:val="center"/>
                </w:tcPr>
                <w:p>
                  <w:pPr>
                    <w:widowControl/>
                    <w:jc w:val="center"/>
                    <w:textAlignment w:val="center"/>
                    <w:rPr>
                      <w:color w:val="auto"/>
                      <w:szCs w:val="21"/>
                    </w:rPr>
                  </w:pPr>
                  <w:r>
                    <w:rPr>
                      <w:color w:val="auto"/>
                      <w:szCs w:val="21"/>
                    </w:rPr>
                    <w:t>0.00144</w:t>
                  </w:r>
                </w:p>
              </w:tc>
              <w:tc>
                <w:tcPr>
                  <w:tcW w:w="412" w:type="pct"/>
                  <w:vMerge w:val="continue"/>
                  <w:vAlign w:val="center"/>
                </w:tcPr>
                <w:p>
                  <w:pPr>
                    <w:jc w:val="center"/>
                    <w:rPr>
                      <w:color w:val="auto"/>
                      <w:szCs w:val="21"/>
                    </w:rPr>
                  </w:pPr>
                </w:p>
              </w:tc>
              <w:tc>
                <w:tcPr>
                  <w:tcW w:w="356" w:type="pct"/>
                  <w:vAlign w:val="center"/>
                </w:tcPr>
                <w:p>
                  <w:pPr>
                    <w:widowControl/>
                    <w:jc w:val="center"/>
                    <w:textAlignment w:val="center"/>
                    <w:rPr>
                      <w:color w:val="auto"/>
                      <w:szCs w:val="21"/>
                    </w:rPr>
                  </w:pPr>
                  <w:r>
                    <w:rPr>
                      <w:rFonts w:hint="eastAsia"/>
                      <w:color w:val="auto"/>
                      <w:szCs w:val="21"/>
                    </w:rPr>
                    <w:t>60</w:t>
                  </w:r>
                </w:p>
              </w:tc>
              <w:tc>
                <w:tcPr>
                  <w:tcW w:w="355" w:type="pct"/>
                  <w:vMerge w:val="continue"/>
                  <w:vAlign w:val="center"/>
                </w:tcPr>
                <w:p>
                  <w:pPr>
                    <w:widowControl/>
                    <w:jc w:val="center"/>
                    <w:textAlignment w:val="center"/>
                    <w:rPr>
                      <w:color w:val="auto"/>
                      <w:szCs w:val="21"/>
                    </w:rPr>
                  </w:pPr>
                </w:p>
              </w:tc>
              <w:tc>
                <w:tcPr>
                  <w:tcW w:w="539" w:type="pct"/>
                  <w:vAlign w:val="center"/>
                </w:tcPr>
                <w:p>
                  <w:pPr>
                    <w:widowControl/>
                    <w:jc w:val="center"/>
                    <w:textAlignment w:val="center"/>
                    <w:rPr>
                      <w:color w:val="auto"/>
                      <w:szCs w:val="21"/>
                    </w:rPr>
                  </w:pPr>
                  <w:r>
                    <w:rPr>
                      <w:rFonts w:hint="eastAsia"/>
                      <w:color w:val="auto"/>
                      <w:szCs w:val="21"/>
                    </w:rPr>
                    <w:t>1.6</w:t>
                  </w:r>
                </w:p>
              </w:tc>
              <w:tc>
                <w:tcPr>
                  <w:tcW w:w="555" w:type="pct"/>
                  <w:vAlign w:val="center"/>
                </w:tcPr>
                <w:p>
                  <w:pPr>
                    <w:widowControl/>
                    <w:jc w:val="center"/>
                    <w:textAlignment w:val="center"/>
                    <w:rPr>
                      <w:color w:val="auto"/>
                      <w:szCs w:val="21"/>
                    </w:rPr>
                  </w:pPr>
                  <w:r>
                    <w:rPr>
                      <w:rFonts w:hint="eastAsia"/>
                      <w:color w:val="auto"/>
                      <w:szCs w:val="21"/>
                    </w:rPr>
                    <w:t>0.000576</w:t>
                  </w:r>
                </w:p>
              </w:tc>
              <w:tc>
                <w:tcPr>
                  <w:tcW w:w="735" w:type="pct"/>
                  <w:vMerge w:val="continue"/>
                  <w:vAlign w:val="center"/>
                </w:tcPr>
                <w:p>
                  <w:pPr>
                    <w:jc w:val="center"/>
                    <w:rPr>
                      <w:color w:val="auto"/>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427" w:hRule="atLeast"/>
              </w:trPr>
              <w:tc>
                <w:tcPr>
                  <w:tcW w:w="242" w:type="pct"/>
                  <w:vMerge w:val="continue"/>
                  <w:vAlign w:val="center"/>
                </w:tcPr>
                <w:p>
                  <w:pPr>
                    <w:jc w:val="center"/>
                    <w:rPr>
                      <w:color w:val="auto"/>
                      <w:szCs w:val="21"/>
                    </w:rPr>
                  </w:pPr>
                </w:p>
              </w:tc>
              <w:tc>
                <w:tcPr>
                  <w:tcW w:w="407" w:type="pct"/>
                  <w:vMerge w:val="continue"/>
                  <w:vAlign w:val="center"/>
                </w:tcPr>
                <w:p>
                  <w:pPr>
                    <w:jc w:val="center"/>
                    <w:rPr>
                      <w:color w:val="auto"/>
                      <w:szCs w:val="21"/>
                    </w:rPr>
                  </w:pPr>
                </w:p>
              </w:tc>
              <w:tc>
                <w:tcPr>
                  <w:tcW w:w="415" w:type="pct"/>
                  <w:vAlign w:val="center"/>
                </w:tcPr>
                <w:p>
                  <w:pPr>
                    <w:widowControl/>
                    <w:jc w:val="center"/>
                    <w:textAlignment w:val="center"/>
                    <w:rPr>
                      <w:color w:val="auto"/>
                      <w:szCs w:val="21"/>
                    </w:rPr>
                  </w:pPr>
                  <w:r>
                    <w:rPr>
                      <w:color w:val="auto"/>
                      <w:kern w:val="0"/>
                      <w:szCs w:val="21"/>
                      <w:lang w:bidi="ar"/>
                    </w:rPr>
                    <w:t>TN</w:t>
                  </w:r>
                </w:p>
              </w:tc>
              <w:tc>
                <w:tcPr>
                  <w:tcW w:w="445" w:type="pct"/>
                  <w:vAlign w:val="center"/>
                </w:tcPr>
                <w:p>
                  <w:pPr>
                    <w:widowControl/>
                    <w:jc w:val="center"/>
                    <w:textAlignment w:val="center"/>
                    <w:rPr>
                      <w:color w:val="auto"/>
                      <w:szCs w:val="21"/>
                    </w:rPr>
                  </w:pPr>
                  <w:r>
                    <w:rPr>
                      <w:color w:val="auto"/>
                      <w:szCs w:val="21"/>
                    </w:rPr>
                    <w:t>40</w:t>
                  </w:r>
                </w:p>
              </w:tc>
              <w:tc>
                <w:tcPr>
                  <w:tcW w:w="534" w:type="pct"/>
                  <w:vAlign w:val="center"/>
                </w:tcPr>
                <w:p>
                  <w:pPr>
                    <w:widowControl/>
                    <w:jc w:val="center"/>
                    <w:textAlignment w:val="center"/>
                    <w:rPr>
                      <w:color w:val="auto"/>
                      <w:szCs w:val="21"/>
                    </w:rPr>
                  </w:pPr>
                  <w:r>
                    <w:rPr>
                      <w:color w:val="auto"/>
                      <w:szCs w:val="21"/>
                    </w:rPr>
                    <w:t>0.144</w:t>
                  </w:r>
                </w:p>
              </w:tc>
              <w:tc>
                <w:tcPr>
                  <w:tcW w:w="412" w:type="pct"/>
                  <w:vMerge w:val="continue"/>
                  <w:vAlign w:val="center"/>
                </w:tcPr>
                <w:p>
                  <w:pPr>
                    <w:jc w:val="center"/>
                    <w:rPr>
                      <w:color w:val="auto"/>
                      <w:szCs w:val="21"/>
                    </w:rPr>
                  </w:pPr>
                </w:p>
              </w:tc>
              <w:tc>
                <w:tcPr>
                  <w:tcW w:w="356" w:type="pct"/>
                  <w:vAlign w:val="center"/>
                </w:tcPr>
                <w:p>
                  <w:pPr>
                    <w:widowControl/>
                    <w:jc w:val="center"/>
                    <w:textAlignment w:val="center"/>
                    <w:rPr>
                      <w:color w:val="auto"/>
                      <w:szCs w:val="21"/>
                    </w:rPr>
                  </w:pPr>
                  <w:r>
                    <w:rPr>
                      <w:rFonts w:hint="eastAsia"/>
                      <w:color w:val="auto"/>
                      <w:szCs w:val="21"/>
                    </w:rPr>
                    <w:t>60</w:t>
                  </w:r>
                </w:p>
              </w:tc>
              <w:tc>
                <w:tcPr>
                  <w:tcW w:w="355" w:type="pct"/>
                  <w:vMerge w:val="continue"/>
                  <w:vAlign w:val="center"/>
                </w:tcPr>
                <w:p>
                  <w:pPr>
                    <w:widowControl/>
                    <w:jc w:val="center"/>
                    <w:textAlignment w:val="center"/>
                    <w:rPr>
                      <w:color w:val="auto"/>
                      <w:szCs w:val="21"/>
                    </w:rPr>
                  </w:pPr>
                </w:p>
              </w:tc>
              <w:tc>
                <w:tcPr>
                  <w:tcW w:w="539" w:type="pct"/>
                  <w:vAlign w:val="center"/>
                </w:tcPr>
                <w:p>
                  <w:pPr>
                    <w:widowControl/>
                    <w:jc w:val="center"/>
                    <w:textAlignment w:val="center"/>
                    <w:rPr>
                      <w:color w:val="auto"/>
                      <w:szCs w:val="21"/>
                    </w:rPr>
                  </w:pPr>
                  <w:r>
                    <w:rPr>
                      <w:rFonts w:hint="eastAsia"/>
                      <w:color w:val="auto"/>
                      <w:szCs w:val="21"/>
                    </w:rPr>
                    <w:t>16</w:t>
                  </w:r>
                </w:p>
              </w:tc>
              <w:tc>
                <w:tcPr>
                  <w:tcW w:w="555" w:type="pct"/>
                  <w:vAlign w:val="center"/>
                </w:tcPr>
                <w:p>
                  <w:pPr>
                    <w:widowControl/>
                    <w:jc w:val="center"/>
                    <w:textAlignment w:val="center"/>
                    <w:rPr>
                      <w:color w:val="auto"/>
                      <w:szCs w:val="21"/>
                    </w:rPr>
                  </w:pPr>
                  <w:r>
                    <w:rPr>
                      <w:rFonts w:hint="eastAsia"/>
                      <w:color w:val="auto"/>
                      <w:szCs w:val="21"/>
                    </w:rPr>
                    <w:t>0.0576</w:t>
                  </w:r>
                </w:p>
              </w:tc>
              <w:tc>
                <w:tcPr>
                  <w:tcW w:w="735" w:type="pct"/>
                  <w:vMerge w:val="continue"/>
                  <w:vAlign w:val="center"/>
                </w:tcPr>
                <w:p>
                  <w:pPr>
                    <w:jc w:val="center"/>
                    <w:rPr>
                      <w:color w:val="auto"/>
                      <w:szCs w:val="21"/>
                    </w:rPr>
                  </w:pPr>
                </w:p>
              </w:tc>
            </w:tr>
          </w:tbl>
          <w:p>
            <w:pPr>
              <w:widowControl/>
              <w:spacing w:line="360" w:lineRule="auto"/>
              <w:ind w:firstLine="422" w:firstLineChars="175"/>
              <w:jc w:val="left"/>
              <w:rPr>
                <w:color w:val="auto"/>
              </w:rPr>
            </w:pPr>
            <w:r>
              <w:rPr>
                <w:b/>
                <w:color w:val="auto"/>
                <w:sz w:val="24"/>
              </w:rPr>
              <w:t>2.2</w:t>
            </w:r>
            <w:r>
              <w:rPr>
                <w:b/>
                <w:bCs/>
                <w:color w:val="auto"/>
                <w:kern w:val="0"/>
                <w:sz w:val="24"/>
                <w:lang w:bidi="ar"/>
              </w:rPr>
              <w:t xml:space="preserve">监测计划 </w:t>
            </w:r>
          </w:p>
          <w:p>
            <w:pPr>
              <w:widowControl/>
              <w:adjustRightInd w:val="0"/>
              <w:snapToGrid w:val="0"/>
              <w:spacing w:line="360" w:lineRule="auto"/>
              <w:ind w:left="17" w:firstLine="472" w:firstLineChars="197"/>
              <w:jc w:val="left"/>
              <w:rPr>
                <w:rFonts w:eastAsiaTheme="minorEastAsia"/>
                <w:color w:val="auto"/>
                <w:kern w:val="0"/>
                <w:sz w:val="24"/>
              </w:rPr>
            </w:pPr>
            <w:r>
              <w:rPr>
                <w:rFonts w:hint="eastAsia" w:hAnsiTheme="minorEastAsia" w:eastAsiaTheme="minorEastAsia"/>
                <w:color w:val="auto"/>
                <w:kern w:val="0"/>
                <w:sz w:val="24"/>
              </w:rPr>
              <w:t>建设项目</w:t>
            </w:r>
            <w:r>
              <w:rPr>
                <w:color w:val="auto"/>
                <w:kern w:val="0"/>
                <w:sz w:val="24"/>
              </w:rPr>
              <w:t>根据《排污单位自行监测技术指南总则》（HJ819-2017）</w:t>
            </w:r>
            <w:r>
              <w:rPr>
                <w:rFonts w:hint="eastAsia"/>
                <w:color w:val="auto"/>
                <w:kern w:val="0"/>
                <w:sz w:val="24"/>
              </w:rPr>
              <w:t>、《排污单位自行监测技术指南 涂装》（HJ1086-2020），</w:t>
            </w:r>
            <w:r>
              <w:rPr>
                <w:rFonts w:hAnsiTheme="minorEastAsia" w:eastAsiaTheme="minorEastAsia"/>
                <w:color w:val="auto"/>
                <w:kern w:val="0"/>
                <w:sz w:val="24"/>
              </w:rPr>
              <w:t>无生产废水产生及排放，只有生活污水间接排放，不开展生活污水例行监测。</w:t>
            </w:r>
          </w:p>
          <w:p>
            <w:pPr>
              <w:wordWrap w:val="0"/>
              <w:spacing w:line="360" w:lineRule="auto"/>
              <w:ind w:firstLine="482" w:firstLineChars="200"/>
              <w:rPr>
                <w:b/>
                <w:color w:val="auto"/>
                <w:sz w:val="24"/>
              </w:rPr>
            </w:pPr>
            <w:r>
              <w:rPr>
                <w:b/>
                <w:color w:val="auto"/>
                <w:sz w:val="24"/>
              </w:rPr>
              <w:t>2.3污染防治措施及可行性分析</w:t>
            </w:r>
          </w:p>
          <w:p>
            <w:pPr>
              <w:pStyle w:val="35"/>
              <w:wordWrap w:val="0"/>
              <w:spacing w:line="360" w:lineRule="auto"/>
              <w:ind w:firstLine="482"/>
              <w:rPr>
                <w:rFonts w:eastAsia="宋体"/>
                <w:b/>
                <w:color w:val="auto"/>
                <w:sz w:val="24"/>
              </w:rPr>
            </w:pPr>
            <w:r>
              <w:rPr>
                <w:rFonts w:eastAsia="宋体"/>
                <w:b/>
                <w:color w:val="auto"/>
                <w:sz w:val="24"/>
              </w:rPr>
              <w:t>2.3.1</w:t>
            </w:r>
            <w:r>
              <w:rPr>
                <w:rFonts w:eastAsia="宋体"/>
                <w:b/>
                <w:color w:val="auto"/>
                <w:kern w:val="0"/>
                <w:sz w:val="24"/>
              </w:rPr>
              <w:t>污水处理设施的环境可行性分析</w:t>
            </w:r>
          </w:p>
          <w:p>
            <w:pPr>
              <w:spacing w:line="360" w:lineRule="auto"/>
              <w:ind w:firstLine="480" w:firstLineChars="200"/>
              <w:rPr>
                <w:color w:val="auto"/>
                <w:sz w:val="24"/>
              </w:rPr>
            </w:pPr>
            <w:r>
              <w:rPr>
                <w:color w:val="auto"/>
                <w:sz w:val="24"/>
              </w:rPr>
              <w:t>化粪池是处理粪便并加以过滤沉淀的设备，其原理是固化物在池底分解，上层的水化物体，进入管道流走，防止了管道堵塞，给固化物体（粪便等垃圾）有充足的时间水解。污水首先由进水口排到第一格，在第一格里比重较大的固体物及寄生虫卵等物沉淀下来，开始初步的发酵分解，经第一格处理过的污水可分为三层：糊状粪皮、比较澄清的粪液、和固体状的粪渣。经过初步分解的粪液流入第二格，而漂浮在上面的粪皮和沉积在下面的粪渣则留在第一格继续发酵。在第二格中，粪液继续发酵分解，虫卵继续下沉，病原体逐渐死亡，粪液得到进一步无害化，产生的粪皮和粪渣厚度比第一格显著减少。流入第三格的粪液一般已经腐熟，其中病菌和寄生虫卵已基本杀灭。第三格功能主要起暂时储存已基本无害的粪液作用。</w:t>
            </w:r>
          </w:p>
          <w:p>
            <w:pPr>
              <w:spacing w:line="360" w:lineRule="auto"/>
              <w:ind w:firstLine="480" w:firstLineChars="200"/>
              <w:rPr>
                <w:bCs/>
                <w:color w:val="auto"/>
                <w:sz w:val="24"/>
              </w:rPr>
            </w:pPr>
            <w:r>
              <w:rPr>
                <w:rFonts w:hint="eastAsia"/>
                <w:color w:val="auto"/>
                <w:sz w:val="24"/>
              </w:rPr>
              <w:t>根据现场核查，项目周边区域均未铺设污水管网，不具备污水接管条件，本项目已于附近居民签订农肥协议书，由企业负责定期清运至农田用作农肥使用。企业承诺待具备接管条件后无条件接入污水管网，进入区域污水处理厂集中处理。</w:t>
            </w:r>
          </w:p>
          <w:p>
            <w:pPr>
              <w:spacing w:line="360" w:lineRule="auto"/>
              <w:ind w:firstLine="480" w:firstLineChars="200"/>
              <w:rPr>
                <w:bCs/>
                <w:color w:val="auto"/>
                <w:sz w:val="24"/>
              </w:rPr>
            </w:pPr>
            <w:r>
              <w:rPr>
                <w:bCs/>
                <w:color w:val="auto"/>
                <w:sz w:val="24"/>
              </w:rPr>
              <w:t>本项目员工生活污水经化粪池处理后用于</w:t>
            </w:r>
            <w:r>
              <w:rPr>
                <w:rFonts w:hint="eastAsia"/>
                <w:bCs/>
                <w:color w:val="auto"/>
                <w:sz w:val="24"/>
              </w:rPr>
              <w:t>农肥</w:t>
            </w:r>
            <w:r>
              <w:rPr>
                <w:bCs/>
                <w:color w:val="auto"/>
                <w:sz w:val="24"/>
              </w:rPr>
              <w:t>，</w:t>
            </w:r>
            <w:r>
              <w:rPr>
                <w:rFonts w:hint="eastAsia"/>
                <w:bCs/>
                <w:color w:val="auto"/>
                <w:sz w:val="24"/>
              </w:rPr>
              <w:t>不设置污水排放口，</w:t>
            </w:r>
            <w:r>
              <w:rPr>
                <w:bCs/>
                <w:color w:val="auto"/>
                <w:sz w:val="24"/>
              </w:rPr>
              <w:t>不外排。</w:t>
            </w:r>
          </w:p>
          <w:p>
            <w:pPr>
              <w:spacing w:line="360" w:lineRule="auto"/>
              <w:ind w:firstLine="480" w:firstLineChars="200"/>
              <w:rPr>
                <w:bCs/>
                <w:color w:val="auto"/>
                <w:sz w:val="24"/>
              </w:rPr>
            </w:pPr>
            <w:r>
              <w:rPr>
                <w:bCs/>
                <w:color w:val="auto"/>
                <w:sz w:val="24"/>
              </w:rPr>
              <w:t>根据《畜禽粪污土地承载力测算技术指南》，种植小麦的土地一亩当季需要</w:t>
            </w:r>
            <w:r>
              <w:rPr>
                <w:rFonts w:hint="eastAsia"/>
                <w:bCs/>
                <w:color w:val="auto"/>
                <w:sz w:val="24"/>
              </w:rPr>
              <w:t>粪肥4.7</w:t>
            </w:r>
            <w:r>
              <w:rPr>
                <w:bCs/>
                <w:color w:val="auto"/>
                <w:sz w:val="24"/>
              </w:rPr>
              <w:t>吨，种植水稻的土地一亩当季需要</w:t>
            </w:r>
            <w:r>
              <w:rPr>
                <w:rFonts w:hint="eastAsia"/>
                <w:bCs/>
                <w:color w:val="auto"/>
                <w:sz w:val="24"/>
              </w:rPr>
              <w:t>粪肥5.0</w:t>
            </w:r>
            <w:r>
              <w:rPr>
                <w:bCs/>
                <w:color w:val="auto"/>
                <w:sz w:val="24"/>
              </w:rPr>
              <w:t>吨，根据本地种植特点（上半年种植小麦、下半年种植水稻），项目预计</w:t>
            </w:r>
            <w:r>
              <w:rPr>
                <w:rFonts w:hint="eastAsia"/>
                <w:bCs/>
                <w:color w:val="auto"/>
                <w:sz w:val="24"/>
              </w:rPr>
              <w:t>废水排放</w:t>
            </w:r>
            <w:r>
              <w:rPr>
                <w:bCs/>
                <w:color w:val="auto"/>
                <w:sz w:val="24"/>
              </w:rPr>
              <w:t>量为</w:t>
            </w:r>
            <w:r>
              <w:rPr>
                <w:rFonts w:hint="eastAsia"/>
                <w:bCs/>
                <w:color w:val="auto"/>
                <w:sz w:val="24"/>
                <w:lang w:val="en-US" w:eastAsia="zh-CN"/>
              </w:rPr>
              <w:t>360</w:t>
            </w:r>
            <w:r>
              <w:rPr>
                <w:bCs/>
                <w:color w:val="auto"/>
                <w:sz w:val="24"/>
              </w:rPr>
              <w:t>t/a，需</w:t>
            </w:r>
            <w:r>
              <w:rPr>
                <w:rFonts w:hint="eastAsia"/>
                <w:bCs/>
                <w:color w:val="auto"/>
                <w:sz w:val="24"/>
              </w:rPr>
              <w:t>13</w:t>
            </w:r>
            <w:r>
              <w:rPr>
                <w:bCs/>
                <w:color w:val="auto"/>
                <w:sz w:val="24"/>
              </w:rPr>
              <w:t>亩农田容纳本项目产生的</w:t>
            </w:r>
            <w:r>
              <w:rPr>
                <w:rFonts w:hint="eastAsia"/>
                <w:bCs/>
                <w:color w:val="auto"/>
                <w:sz w:val="24"/>
              </w:rPr>
              <w:t>生活污水</w:t>
            </w:r>
            <w:r>
              <w:rPr>
                <w:bCs/>
                <w:color w:val="auto"/>
                <w:sz w:val="24"/>
              </w:rPr>
              <w:t>，据现场查勘，项目</w:t>
            </w:r>
            <w:r>
              <w:rPr>
                <w:rFonts w:hint="eastAsia"/>
                <w:bCs/>
                <w:color w:val="auto"/>
                <w:sz w:val="24"/>
                <w:lang w:eastAsia="zh-CN"/>
              </w:rPr>
              <w:t>委托农户</w:t>
            </w:r>
            <w:r>
              <w:rPr>
                <w:bCs/>
                <w:color w:val="auto"/>
                <w:sz w:val="24"/>
              </w:rPr>
              <w:t>农田面积远大于</w:t>
            </w:r>
            <w:r>
              <w:rPr>
                <w:rFonts w:hint="eastAsia"/>
                <w:bCs/>
                <w:color w:val="auto"/>
                <w:sz w:val="24"/>
              </w:rPr>
              <w:t>13</w:t>
            </w:r>
            <w:r>
              <w:rPr>
                <w:bCs/>
                <w:color w:val="auto"/>
                <w:sz w:val="24"/>
              </w:rPr>
              <w:t>亩，完全能</w:t>
            </w:r>
            <w:r>
              <w:rPr>
                <w:rFonts w:hint="eastAsia"/>
                <w:bCs/>
                <w:color w:val="auto"/>
                <w:sz w:val="24"/>
              </w:rPr>
              <w:t>消纳</w:t>
            </w:r>
            <w:r>
              <w:rPr>
                <w:bCs/>
                <w:color w:val="auto"/>
                <w:sz w:val="24"/>
              </w:rPr>
              <w:t>本项目产生的</w:t>
            </w:r>
            <w:r>
              <w:rPr>
                <w:rFonts w:hint="eastAsia"/>
                <w:bCs/>
                <w:color w:val="auto"/>
                <w:sz w:val="24"/>
              </w:rPr>
              <w:t>生活污水</w:t>
            </w:r>
            <w:r>
              <w:rPr>
                <w:bCs/>
                <w:color w:val="auto"/>
                <w:sz w:val="24"/>
              </w:rPr>
              <w:t>。</w:t>
            </w:r>
          </w:p>
          <w:p>
            <w:pPr>
              <w:spacing w:line="360" w:lineRule="auto"/>
              <w:ind w:firstLine="480" w:firstLineChars="200"/>
              <w:rPr>
                <w:bCs/>
                <w:color w:val="auto"/>
                <w:sz w:val="24"/>
              </w:rPr>
            </w:pPr>
            <w:r>
              <w:rPr>
                <w:bCs/>
                <w:color w:val="auto"/>
                <w:sz w:val="24"/>
              </w:rPr>
              <w:t>因此，本项目生活污水经化粪池处理后用于</w:t>
            </w:r>
            <w:r>
              <w:rPr>
                <w:rFonts w:hint="eastAsia"/>
                <w:bCs/>
                <w:color w:val="auto"/>
                <w:sz w:val="24"/>
              </w:rPr>
              <w:t>农肥</w:t>
            </w:r>
            <w:r>
              <w:rPr>
                <w:bCs/>
                <w:color w:val="auto"/>
                <w:sz w:val="24"/>
              </w:rPr>
              <w:t>是可行的。</w:t>
            </w:r>
          </w:p>
          <w:p>
            <w:pPr>
              <w:ind w:firstLine="480" w:firstLineChars="200"/>
              <w:jc w:val="left"/>
              <w:rPr>
                <w:color w:val="auto"/>
                <w:sz w:val="24"/>
              </w:rPr>
            </w:pPr>
            <w:r>
              <w:rPr>
                <w:color w:val="auto"/>
                <w:sz w:val="24"/>
              </w:rPr>
              <w:t>本项目废水不外排，</w:t>
            </w:r>
            <w:r>
              <w:rPr>
                <w:rFonts w:hint="eastAsia"/>
                <w:color w:val="auto"/>
                <w:sz w:val="24"/>
              </w:rPr>
              <w:t>对周围水体影响较小</w:t>
            </w:r>
            <w:r>
              <w:rPr>
                <w:color w:val="auto"/>
                <w:sz w:val="24"/>
              </w:rPr>
              <w:t>。</w:t>
            </w:r>
          </w:p>
          <w:p>
            <w:pPr>
              <w:wordWrap w:val="0"/>
              <w:spacing w:line="360" w:lineRule="auto"/>
              <w:ind w:firstLine="482" w:firstLineChars="200"/>
              <w:rPr>
                <w:b/>
                <w:bCs/>
                <w:color w:val="auto"/>
                <w:sz w:val="24"/>
              </w:rPr>
            </w:pPr>
            <w:r>
              <w:rPr>
                <w:b/>
                <w:bCs/>
                <w:color w:val="auto"/>
                <w:sz w:val="24"/>
              </w:rPr>
              <w:t>3、声环境</w:t>
            </w:r>
          </w:p>
          <w:p>
            <w:pPr>
              <w:wordWrap w:val="0"/>
              <w:adjustRightInd w:val="0"/>
              <w:snapToGrid w:val="0"/>
              <w:spacing w:line="360" w:lineRule="auto"/>
              <w:ind w:firstLine="482" w:firstLineChars="200"/>
              <w:rPr>
                <w:b/>
                <w:bCs/>
                <w:color w:val="auto"/>
                <w:sz w:val="24"/>
              </w:rPr>
            </w:pPr>
            <w:r>
              <w:rPr>
                <w:b/>
                <w:bCs/>
                <w:color w:val="auto"/>
                <w:sz w:val="24"/>
              </w:rPr>
              <w:t>3.1源强分析</w:t>
            </w:r>
          </w:p>
          <w:p>
            <w:pPr>
              <w:spacing w:line="360" w:lineRule="auto"/>
              <w:ind w:firstLine="480" w:firstLineChars="200"/>
              <w:jc w:val="left"/>
              <w:rPr>
                <w:color w:val="auto"/>
                <w:sz w:val="24"/>
              </w:rPr>
            </w:pPr>
            <w:bookmarkStart w:id="40" w:name="_Hlk32514969"/>
            <w:r>
              <w:rPr>
                <w:color w:val="auto"/>
                <w:sz w:val="24"/>
              </w:rPr>
              <w:t>企业周边50m范围内无声环境保护目标，建设项目噪声主要来自焊接设备、风机等运行过程中产生的噪声，类比同类项目建设项目设备噪声声压级约为75~95dB（A）之间。</w:t>
            </w:r>
          </w:p>
          <w:p>
            <w:pPr>
              <w:spacing w:line="360" w:lineRule="auto"/>
              <w:ind w:firstLine="480" w:firstLineChars="200"/>
              <w:jc w:val="left"/>
              <w:rPr>
                <w:color w:val="auto"/>
                <w:sz w:val="24"/>
              </w:rPr>
            </w:pPr>
            <w:r>
              <w:rPr>
                <w:color w:val="auto"/>
                <w:sz w:val="24"/>
              </w:rPr>
              <w:t>建设项目经常保养和维护设备，避免设备在不良状态下运行，同时将较大噪声污染源（空压机）设置在密闭的室内，并通过优化平面布置、设置绿化带等措施后满足《工业企业厂界环境噪声排放标准》（GB12348-2008）3类，对周围声环境影响较小。项目主要噪声设备及排放情况见下表。</w:t>
            </w:r>
          </w:p>
          <w:p>
            <w:pPr>
              <w:wordWrap w:val="0"/>
              <w:spacing w:line="360" w:lineRule="auto"/>
              <w:jc w:val="center"/>
              <w:rPr>
                <w:bCs/>
                <w:color w:val="auto"/>
                <w:szCs w:val="20"/>
              </w:rPr>
            </w:pPr>
            <w:r>
              <w:rPr>
                <w:b/>
                <w:color w:val="auto"/>
                <w:szCs w:val="20"/>
              </w:rPr>
              <w:t>表4.2-</w:t>
            </w:r>
            <w:r>
              <w:rPr>
                <w:rFonts w:hint="eastAsia"/>
                <w:b/>
                <w:color w:val="auto"/>
                <w:szCs w:val="20"/>
                <w:lang w:val="en-US" w:eastAsia="zh-CN"/>
              </w:rPr>
              <w:t>16</w:t>
            </w:r>
            <w:r>
              <w:rPr>
                <w:b/>
                <w:color w:val="auto"/>
                <w:szCs w:val="20"/>
              </w:rPr>
              <w:t xml:space="preserve"> 建设项目噪声源强调查清单（室内声源）  </w:t>
            </w:r>
            <w:r>
              <w:rPr>
                <w:bCs/>
                <w:color w:val="auto"/>
                <w:szCs w:val="20"/>
              </w:rPr>
              <w:t>单位：dB（A）</w:t>
            </w:r>
          </w:p>
          <w:tbl>
            <w:tblPr>
              <w:tblStyle w:val="21"/>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
            <w:tblGrid>
              <w:gridCol w:w="239"/>
              <w:gridCol w:w="1141"/>
              <w:gridCol w:w="480"/>
              <w:gridCol w:w="810"/>
              <w:gridCol w:w="539"/>
              <w:gridCol w:w="404"/>
              <w:gridCol w:w="374"/>
              <w:gridCol w:w="571"/>
              <w:gridCol w:w="645"/>
              <w:gridCol w:w="750"/>
              <w:gridCol w:w="750"/>
              <w:gridCol w:w="615"/>
              <w:gridCol w:w="466"/>
              <w:gridCol w:w="63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jc w:val="center"/>
              </w:trPr>
              <w:tc>
                <w:tcPr>
                  <w:tcW w:w="142" w:type="pct"/>
                  <w:vMerge w:val="restart"/>
                  <w:tcBorders>
                    <w:top w:val="single" w:color="auto" w:sz="12" w:space="0"/>
                    <w:left w:val="nil"/>
                    <w:bottom w:val="single" w:color="auto" w:sz="4" w:space="0"/>
                  </w:tcBorders>
                  <w:vAlign w:val="center"/>
                </w:tcPr>
                <w:p>
                  <w:pPr>
                    <w:pStyle w:val="13"/>
                    <w:tabs>
                      <w:tab w:val="left" w:pos="2830"/>
                    </w:tabs>
                    <w:jc w:val="center"/>
                    <w:rPr>
                      <w:rFonts w:ascii="Times New Roman" w:hAnsi="Times New Roman"/>
                      <w:b/>
                      <w:bCs/>
                      <w:color w:val="auto"/>
                      <w:sz w:val="21"/>
                      <w:szCs w:val="21"/>
                    </w:rPr>
                  </w:pPr>
                  <w:r>
                    <w:rPr>
                      <w:rFonts w:ascii="Times New Roman" w:hAnsi="Times New Roman"/>
                      <w:b/>
                      <w:bCs/>
                      <w:color w:val="auto"/>
                      <w:sz w:val="21"/>
                      <w:szCs w:val="21"/>
                    </w:rPr>
                    <w:t>序号</w:t>
                  </w:r>
                </w:p>
              </w:tc>
              <w:tc>
                <w:tcPr>
                  <w:tcW w:w="677" w:type="pct"/>
                  <w:vMerge w:val="restart"/>
                  <w:vAlign w:val="center"/>
                </w:tcPr>
                <w:p>
                  <w:pPr>
                    <w:pStyle w:val="13"/>
                    <w:tabs>
                      <w:tab w:val="left" w:pos="2830"/>
                    </w:tabs>
                    <w:jc w:val="center"/>
                    <w:rPr>
                      <w:rFonts w:ascii="Times New Roman" w:hAnsi="Times New Roman"/>
                      <w:b/>
                      <w:bCs/>
                      <w:color w:val="auto"/>
                      <w:sz w:val="21"/>
                      <w:szCs w:val="21"/>
                    </w:rPr>
                  </w:pPr>
                  <w:r>
                    <w:rPr>
                      <w:rFonts w:ascii="Times New Roman" w:hAnsi="Times New Roman"/>
                      <w:b/>
                      <w:bCs/>
                      <w:color w:val="auto"/>
                      <w:sz w:val="21"/>
                      <w:szCs w:val="21"/>
                    </w:rPr>
                    <w:t>声源名称</w:t>
                  </w:r>
                </w:p>
              </w:tc>
              <w:tc>
                <w:tcPr>
                  <w:tcW w:w="285" w:type="pct"/>
                  <w:vMerge w:val="restart"/>
                  <w:vAlign w:val="center"/>
                </w:tcPr>
                <w:p>
                  <w:pPr>
                    <w:pStyle w:val="13"/>
                    <w:tabs>
                      <w:tab w:val="left" w:pos="2830"/>
                    </w:tabs>
                    <w:jc w:val="center"/>
                    <w:rPr>
                      <w:rFonts w:ascii="Times New Roman" w:hAnsi="Times New Roman"/>
                      <w:b/>
                      <w:bCs/>
                      <w:color w:val="auto"/>
                      <w:sz w:val="21"/>
                      <w:szCs w:val="21"/>
                    </w:rPr>
                  </w:pPr>
                  <w:r>
                    <w:rPr>
                      <w:rFonts w:ascii="Times New Roman" w:hAnsi="Times New Roman"/>
                      <w:b/>
                      <w:bCs/>
                      <w:color w:val="auto"/>
                      <w:sz w:val="21"/>
                      <w:szCs w:val="21"/>
                    </w:rPr>
                    <w:t>数量（台/套）</w:t>
                  </w:r>
                </w:p>
              </w:tc>
              <w:tc>
                <w:tcPr>
                  <w:tcW w:w="481" w:type="pct"/>
                  <w:vMerge w:val="restart"/>
                  <w:vAlign w:val="center"/>
                </w:tcPr>
                <w:p>
                  <w:pPr>
                    <w:pStyle w:val="13"/>
                    <w:tabs>
                      <w:tab w:val="left" w:pos="2830"/>
                    </w:tabs>
                    <w:jc w:val="center"/>
                    <w:rPr>
                      <w:rFonts w:ascii="Times New Roman" w:hAnsi="Times New Roman"/>
                      <w:b/>
                      <w:bCs/>
                      <w:color w:val="auto"/>
                      <w:sz w:val="21"/>
                      <w:szCs w:val="21"/>
                    </w:rPr>
                  </w:pPr>
                  <w:r>
                    <w:rPr>
                      <w:rFonts w:ascii="Times New Roman" w:hAnsi="Times New Roman"/>
                      <w:b/>
                      <w:bCs/>
                      <w:color w:val="auto"/>
                      <w:sz w:val="21"/>
                      <w:szCs w:val="21"/>
                    </w:rPr>
                    <w:t>（声压级/距声源距离）</w:t>
                  </w:r>
                </w:p>
              </w:tc>
              <w:tc>
                <w:tcPr>
                  <w:tcW w:w="320" w:type="pct"/>
                  <w:vMerge w:val="restart"/>
                  <w:vAlign w:val="center"/>
                </w:tcPr>
                <w:p>
                  <w:pPr>
                    <w:pStyle w:val="13"/>
                    <w:tabs>
                      <w:tab w:val="left" w:pos="2830"/>
                    </w:tabs>
                    <w:jc w:val="center"/>
                    <w:rPr>
                      <w:rFonts w:ascii="Times New Roman" w:hAnsi="Times New Roman"/>
                      <w:b/>
                      <w:bCs/>
                      <w:color w:val="auto"/>
                      <w:sz w:val="21"/>
                      <w:szCs w:val="21"/>
                    </w:rPr>
                  </w:pPr>
                  <w:r>
                    <w:rPr>
                      <w:rFonts w:ascii="Times New Roman" w:hAnsi="Times New Roman"/>
                      <w:b/>
                      <w:bCs/>
                      <w:color w:val="auto"/>
                      <w:sz w:val="21"/>
                      <w:szCs w:val="21"/>
                    </w:rPr>
                    <w:t>声源控制措施</w:t>
                  </w:r>
                </w:p>
              </w:tc>
              <w:tc>
                <w:tcPr>
                  <w:tcW w:w="801" w:type="pct"/>
                  <w:gridSpan w:val="3"/>
                  <w:vAlign w:val="center"/>
                </w:tcPr>
                <w:p>
                  <w:pPr>
                    <w:pStyle w:val="13"/>
                    <w:tabs>
                      <w:tab w:val="left" w:pos="2830"/>
                    </w:tabs>
                    <w:jc w:val="center"/>
                    <w:rPr>
                      <w:rFonts w:ascii="Times New Roman" w:hAnsi="Times New Roman"/>
                      <w:b/>
                      <w:bCs/>
                      <w:color w:val="auto"/>
                      <w:sz w:val="21"/>
                      <w:szCs w:val="21"/>
                    </w:rPr>
                  </w:pPr>
                  <w:r>
                    <w:rPr>
                      <w:rFonts w:ascii="Times New Roman" w:hAnsi="Times New Roman"/>
                      <w:b/>
                      <w:bCs/>
                      <w:color w:val="auto"/>
                      <w:sz w:val="21"/>
                      <w:szCs w:val="21"/>
                    </w:rPr>
                    <w:t>空间相对位置/m*</w:t>
                  </w:r>
                </w:p>
              </w:tc>
              <w:tc>
                <w:tcPr>
                  <w:tcW w:w="383" w:type="pct"/>
                  <w:vMerge w:val="restart"/>
                  <w:vAlign w:val="center"/>
                </w:tcPr>
                <w:p>
                  <w:pPr>
                    <w:pStyle w:val="13"/>
                    <w:tabs>
                      <w:tab w:val="left" w:pos="2830"/>
                    </w:tabs>
                    <w:jc w:val="center"/>
                    <w:rPr>
                      <w:rFonts w:ascii="Times New Roman" w:hAnsi="Times New Roman"/>
                      <w:b/>
                      <w:bCs/>
                      <w:color w:val="auto"/>
                      <w:sz w:val="21"/>
                      <w:szCs w:val="21"/>
                    </w:rPr>
                  </w:pPr>
                  <w:r>
                    <w:rPr>
                      <w:rFonts w:ascii="Times New Roman" w:hAnsi="Times New Roman"/>
                      <w:b/>
                      <w:bCs/>
                      <w:color w:val="auto"/>
                      <w:sz w:val="21"/>
                      <w:szCs w:val="21"/>
                    </w:rPr>
                    <w:t>*距室内边界距离/m</w:t>
                  </w:r>
                </w:p>
              </w:tc>
              <w:tc>
                <w:tcPr>
                  <w:tcW w:w="445" w:type="pct"/>
                  <w:vMerge w:val="restart"/>
                  <w:vAlign w:val="center"/>
                </w:tcPr>
                <w:p>
                  <w:pPr>
                    <w:pStyle w:val="13"/>
                    <w:tabs>
                      <w:tab w:val="left" w:pos="2830"/>
                    </w:tabs>
                    <w:jc w:val="center"/>
                    <w:rPr>
                      <w:rFonts w:ascii="Times New Roman" w:hAnsi="Times New Roman"/>
                      <w:b/>
                      <w:bCs/>
                      <w:color w:val="auto"/>
                      <w:sz w:val="21"/>
                      <w:szCs w:val="21"/>
                    </w:rPr>
                  </w:pPr>
                  <w:r>
                    <w:rPr>
                      <w:rFonts w:ascii="Times New Roman" w:hAnsi="Times New Roman"/>
                      <w:b/>
                      <w:bCs/>
                      <w:color w:val="auto"/>
                      <w:sz w:val="21"/>
                      <w:szCs w:val="21"/>
                    </w:rPr>
                    <w:t>室内边界声级/dB(A)</w:t>
                  </w:r>
                </w:p>
              </w:tc>
              <w:tc>
                <w:tcPr>
                  <w:tcW w:w="445" w:type="pct"/>
                  <w:vMerge w:val="restart"/>
                  <w:vAlign w:val="center"/>
                </w:tcPr>
                <w:p>
                  <w:pPr>
                    <w:pStyle w:val="13"/>
                    <w:tabs>
                      <w:tab w:val="left" w:pos="2830"/>
                    </w:tabs>
                    <w:jc w:val="center"/>
                    <w:rPr>
                      <w:rFonts w:ascii="Times New Roman" w:hAnsi="Times New Roman"/>
                      <w:b/>
                      <w:bCs/>
                      <w:color w:val="auto"/>
                      <w:sz w:val="21"/>
                      <w:szCs w:val="21"/>
                    </w:rPr>
                  </w:pPr>
                  <w:r>
                    <w:rPr>
                      <w:rFonts w:ascii="Times New Roman" w:hAnsi="Times New Roman"/>
                      <w:b/>
                      <w:bCs/>
                      <w:color w:val="auto"/>
                      <w:sz w:val="21"/>
                      <w:szCs w:val="21"/>
                    </w:rPr>
                    <w:t>运行时段（h）</w:t>
                  </w:r>
                </w:p>
              </w:tc>
              <w:tc>
                <w:tcPr>
                  <w:tcW w:w="365" w:type="pct"/>
                  <w:vMerge w:val="restart"/>
                  <w:vAlign w:val="center"/>
                </w:tcPr>
                <w:p>
                  <w:pPr>
                    <w:pStyle w:val="13"/>
                    <w:tabs>
                      <w:tab w:val="left" w:pos="2830"/>
                    </w:tabs>
                    <w:jc w:val="center"/>
                    <w:rPr>
                      <w:rFonts w:ascii="Times New Roman" w:hAnsi="Times New Roman"/>
                      <w:b/>
                      <w:bCs/>
                      <w:color w:val="auto"/>
                      <w:sz w:val="21"/>
                      <w:szCs w:val="21"/>
                    </w:rPr>
                  </w:pPr>
                  <w:r>
                    <w:rPr>
                      <w:rFonts w:ascii="Times New Roman" w:hAnsi="Times New Roman"/>
                      <w:b/>
                      <w:bCs/>
                      <w:color w:val="auto"/>
                      <w:sz w:val="21"/>
                      <w:szCs w:val="21"/>
                    </w:rPr>
                    <w:t>建筑物插入损失/ dB(A)</w:t>
                  </w:r>
                </w:p>
              </w:tc>
              <w:tc>
                <w:tcPr>
                  <w:tcW w:w="651" w:type="pct"/>
                  <w:gridSpan w:val="2"/>
                  <w:vAlign w:val="center"/>
                </w:tcPr>
                <w:p>
                  <w:pPr>
                    <w:pStyle w:val="13"/>
                    <w:tabs>
                      <w:tab w:val="left" w:pos="2830"/>
                    </w:tabs>
                    <w:jc w:val="center"/>
                    <w:rPr>
                      <w:rFonts w:ascii="Times New Roman" w:hAnsi="Times New Roman"/>
                      <w:b/>
                      <w:bCs/>
                      <w:color w:val="auto"/>
                      <w:sz w:val="21"/>
                      <w:szCs w:val="21"/>
                    </w:rPr>
                  </w:pPr>
                  <w:r>
                    <w:rPr>
                      <w:rFonts w:ascii="Times New Roman" w:hAnsi="Times New Roman"/>
                      <w:b/>
                      <w:bCs/>
                      <w:color w:val="auto"/>
                      <w:sz w:val="21"/>
                      <w:szCs w:val="21"/>
                    </w:rPr>
                    <w:t>建筑物外噪声</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jc w:val="center"/>
              </w:trPr>
              <w:tc>
                <w:tcPr>
                  <w:tcW w:w="142" w:type="pct"/>
                  <w:vMerge w:val="continue"/>
                  <w:tcBorders>
                    <w:top w:val="single" w:color="auto" w:sz="4" w:space="0"/>
                    <w:left w:val="nil"/>
                    <w:bottom w:val="single" w:color="auto" w:sz="4" w:space="0"/>
                  </w:tcBorders>
                  <w:vAlign w:val="center"/>
                </w:tcPr>
                <w:p>
                  <w:pPr>
                    <w:pStyle w:val="13"/>
                    <w:tabs>
                      <w:tab w:val="left" w:pos="2830"/>
                    </w:tabs>
                    <w:jc w:val="center"/>
                    <w:rPr>
                      <w:rFonts w:ascii="Times New Roman" w:hAnsi="Times New Roman"/>
                      <w:b/>
                      <w:bCs/>
                      <w:color w:val="auto"/>
                      <w:sz w:val="21"/>
                      <w:szCs w:val="21"/>
                    </w:rPr>
                  </w:pPr>
                </w:p>
              </w:tc>
              <w:tc>
                <w:tcPr>
                  <w:tcW w:w="677" w:type="pct"/>
                  <w:vMerge w:val="continue"/>
                  <w:vAlign w:val="center"/>
                </w:tcPr>
                <w:p>
                  <w:pPr>
                    <w:pStyle w:val="13"/>
                    <w:tabs>
                      <w:tab w:val="left" w:pos="2830"/>
                    </w:tabs>
                    <w:jc w:val="center"/>
                    <w:rPr>
                      <w:rFonts w:ascii="Times New Roman" w:hAnsi="Times New Roman"/>
                      <w:b/>
                      <w:bCs/>
                      <w:color w:val="auto"/>
                      <w:sz w:val="21"/>
                      <w:szCs w:val="21"/>
                    </w:rPr>
                  </w:pPr>
                </w:p>
              </w:tc>
              <w:tc>
                <w:tcPr>
                  <w:tcW w:w="285" w:type="pct"/>
                  <w:vMerge w:val="continue"/>
                  <w:vAlign w:val="center"/>
                </w:tcPr>
                <w:p>
                  <w:pPr>
                    <w:pStyle w:val="13"/>
                    <w:tabs>
                      <w:tab w:val="left" w:pos="2830"/>
                    </w:tabs>
                    <w:jc w:val="center"/>
                    <w:rPr>
                      <w:rFonts w:ascii="Times New Roman" w:hAnsi="Times New Roman"/>
                      <w:b/>
                      <w:bCs/>
                      <w:color w:val="auto"/>
                      <w:sz w:val="21"/>
                      <w:szCs w:val="21"/>
                    </w:rPr>
                  </w:pPr>
                </w:p>
              </w:tc>
              <w:tc>
                <w:tcPr>
                  <w:tcW w:w="481" w:type="pct"/>
                  <w:vMerge w:val="continue"/>
                  <w:vAlign w:val="center"/>
                </w:tcPr>
                <w:p>
                  <w:pPr>
                    <w:pStyle w:val="13"/>
                    <w:tabs>
                      <w:tab w:val="left" w:pos="2830"/>
                    </w:tabs>
                    <w:jc w:val="center"/>
                    <w:rPr>
                      <w:rFonts w:ascii="Times New Roman" w:hAnsi="Times New Roman"/>
                      <w:b/>
                      <w:bCs/>
                      <w:color w:val="auto"/>
                      <w:sz w:val="21"/>
                      <w:szCs w:val="21"/>
                    </w:rPr>
                  </w:pPr>
                </w:p>
              </w:tc>
              <w:tc>
                <w:tcPr>
                  <w:tcW w:w="320" w:type="pct"/>
                  <w:vMerge w:val="continue"/>
                  <w:vAlign w:val="center"/>
                </w:tcPr>
                <w:p>
                  <w:pPr>
                    <w:pStyle w:val="13"/>
                    <w:tabs>
                      <w:tab w:val="left" w:pos="2830"/>
                    </w:tabs>
                    <w:jc w:val="center"/>
                    <w:rPr>
                      <w:rFonts w:ascii="Times New Roman" w:hAnsi="Times New Roman"/>
                      <w:b/>
                      <w:bCs/>
                      <w:color w:val="auto"/>
                      <w:sz w:val="21"/>
                      <w:szCs w:val="21"/>
                    </w:rPr>
                  </w:pPr>
                </w:p>
              </w:tc>
              <w:tc>
                <w:tcPr>
                  <w:tcW w:w="240" w:type="pct"/>
                  <w:vAlign w:val="center"/>
                </w:tcPr>
                <w:p>
                  <w:pPr>
                    <w:pStyle w:val="13"/>
                    <w:tabs>
                      <w:tab w:val="left" w:pos="2830"/>
                    </w:tabs>
                    <w:jc w:val="center"/>
                    <w:rPr>
                      <w:rFonts w:ascii="Times New Roman" w:hAnsi="Times New Roman"/>
                      <w:b/>
                      <w:bCs/>
                      <w:color w:val="auto"/>
                      <w:sz w:val="21"/>
                      <w:szCs w:val="21"/>
                    </w:rPr>
                  </w:pPr>
                  <w:r>
                    <w:rPr>
                      <w:rFonts w:ascii="Times New Roman" w:hAnsi="Times New Roman"/>
                      <w:b/>
                      <w:bCs/>
                      <w:color w:val="auto"/>
                      <w:sz w:val="21"/>
                      <w:szCs w:val="21"/>
                    </w:rPr>
                    <w:t>X</w:t>
                  </w:r>
                </w:p>
              </w:tc>
              <w:tc>
                <w:tcPr>
                  <w:tcW w:w="222" w:type="pct"/>
                  <w:vAlign w:val="center"/>
                </w:tcPr>
                <w:p>
                  <w:pPr>
                    <w:pStyle w:val="13"/>
                    <w:tabs>
                      <w:tab w:val="left" w:pos="2830"/>
                    </w:tabs>
                    <w:jc w:val="center"/>
                    <w:rPr>
                      <w:rFonts w:ascii="Times New Roman" w:hAnsi="Times New Roman"/>
                      <w:b/>
                      <w:bCs/>
                      <w:color w:val="auto"/>
                      <w:sz w:val="21"/>
                      <w:szCs w:val="21"/>
                    </w:rPr>
                  </w:pPr>
                  <w:r>
                    <w:rPr>
                      <w:rFonts w:ascii="Times New Roman" w:hAnsi="Times New Roman"/>
                      <w:b/>
                      <w:bCs/>
                      <w:color w:val="auto"/>
                      <w:sz w:val="21"/>
                      <w:szCs w:val="21"/>
                    </w:rPr>
                    <w:t>Y</w:t>
                  </w:r>
                </w:p>
              </w:tc>
              <w:tc>
                <w:tcPr>
                  <w:tcW w:w="338" w:type="pct"/>
                  <w:vAlign w:val="center"/>
                </w:tcPr>
                <w:p>
                  <w:pPr>
                    <w:pStyle w:val="13"/>
                    <w:tabs>
                      <w:tab w:val="left" w:pos="2830"/>
                    </w:tabs>
                    <w:jc w:val="center"/>
                    <w:rPr>
                      <w:rFonts w:ascii="Times New Roman" w:hAnsi="Times New Roman"/>
                      <w:b/>
                      <w:bCs/>
                      <w:color w:val="auto"/>
                      <w:sz w:val="21"/>
                      <w:szCs w:val="21"/>
                    </w:rPr>
                  </w:pPr>
                  <w:r>
                    <w:rPr>
                      <w:rFonts w:ascii="Times New Roman" w:hAnsi="Times New Roman"/>
                      <w:b/>
                      <w:bCs/>
                      <w:color w:val="auto"/>
                      <w:sz w:val="21"/>
                      <w:szCs w:val="21"/>
                    </w:rPr>
                    <w:t>Z</w:t>
                  </w:r>
                </w:p>
              </w:tc>
              <w:tc>
                <w:tcPr>
                  <w:tcW w:w="383" w:type="pct"/>
                  <w:vMerge w:val="continue"/>
                  <w:vAlign w:val="center"/>
                </w:tcPr>
                <w:p>
                  <w:pPr>
                    <w:pStyle w:val="13"/>
                    <w:tabs>
                      <w:tab w:val="left" w:pos="2830"/>
                    </w:tabs>
                    <w:jc w:val="center"/>
                    <w:rPr>
                      <w:rFonts w:ascii="Times New Roman" w:hAnsi="Times New Roman"/>
                      <w:b/>
                      <w:bCs/>
                      <w:color w:val="auto"/>
                      <w:sz w:val="21"/>
                      <w:szCs w:val="21"/>
                    </w:rPr>
                  </w:pPr>
                </w:p>
              </w:tc>
              <w:tc>
                <w:tcPr>
                  <w:tcW w:w="445" w:type="pct"/>
                  <w:vMerge w:val="continue"/>
                  <w:vAlign w:val="center"/>
                </w:tcPr>
                <w:p>
                  <w:pPr>
                    <w:pStyle w:val="13"/>
                    <w:tabs>
                      <w:tab w:val="left" w:pos="2830"/>
                    </w:tabs>
                    <w:jc w:val="center"/>
                    <w:rPr>
                      <w:rFonts w:ascii="Times New Roman" w:hAnsi="Times New Roman"/>
                      <w:b/>
                      <w:bCs/>
                      <w:color w:val="auto"/>
                      <w:sz w:val="21"/>
                      <w:szCs w:val="21"/>
                    </w:rPr>
                  </w:pPr>
                </w:p>
              </w:tc>
              <w:tc>
                <w:tcPr>
                  <w:tcW w:w="445" w:type="pct"/>
                  <w:vMerge w:val="continue"/>
                  <w:vAlign w:val="center"/>
                </w:tcPr>
                <w:p>
                  <w:pPr>
                    <w:pStyle w:val="13"/>
                    <w:tabs>
                      <w:tab w:val="left" w:pos="2830"/>
                    </w:tabs>
                    <w:jc w:val="center"/>
                    <w:rPr>
                      <w:rFonts w:ascii="Times New Roman" w:hAnsi="Times New Roman"/>
                      <w:b/>
                      <w:bCs/>
                      <w:color w:val="auto"/>
                      <w:sz w:val="21"/>
                      <w:szCs w:val="21"/>
                    </w:rPr>
                  </w:pPr>
                </w:p>
              </w:tc>
              <w:tc>
                <w:tcPr>
                  <w:tcW w:w="365" w:type="pct"/>
                  <w:vMerge w:val="continue"/>
                  <w:vAlign w:val="center"/>
                </w:tcPr>
                <w:p>
                  <w:pPr>
                    <w:pStyle w:val="13"/>
                    <w:tabs>
                      <w:tab w:val="left" w:pos="2830"/>
                    </w:tabs>
                    <w:jc w:val="center"/>
                    <w:rPr>
                      <w:rFonts w:ascii="Times New Roman" w:hAnsi="Times New Roman"/>
                      <w:b/>
                      <w:bCs/>
                      <w:color w:val="auto"/>
                      <w:sz w:val="21"/>
                      <w:szCs w:val="21"/>
                    </w:rPr>
                  </w:pPr>
                </w:p>
              </w:tc>
              <w:tc>
                <w:tcPr>
                  <w:tcW w:w="276" w:type="pct"/>
                  <w:vAlign w:val="center"/>
                </w:tcPr>
                <w:p>
                  <w:pPr>
                    <w:pStyle w:val="13"/>
                    <w:tabs>
                      <w:tab w:val="left" w:pos="2830"/>
                    </w:tabs>
                    <w:jc w:val="center"/>
                    <w:rPr>
                      <w:rFonts w:ascii="Times New Roman" w:hAnsi="Times New Roman"/>
                      <w:b/>
                      <w:bCs/>
                      <w:color w:val="auto"/>
                      <w:sz w:val="21"/>
                      <w:szCs w:val="21"/>
                    </w:rPr>
                  </w:pPr>
                  <w:r>
                    <w:rPr>
                      <w:rFonts w:ascii="Times New Roman" w:hAnsi="Times New Roman"/>
                      <w:b/>
                      <w:bCs/>
                      <w:color w:val="auto"/>
                      <w:sz w:val="21"/>
                      <w:szCs w:val="21"/>
                    </w:rPr>
                    <w:t>声压级/ dB(A</w:t>
                  </w:r>
                </w:p>
              </w:tc>
              <w:tc>
                <w:tcPr>
                  <w:tcW w:w="375" w:type="pct"/>
                  <w:vAlign w:val="center"/>
                </w:tcPr>
                <w:p>
                  <w:pPr>
                    <w:pStyle w:val="13"/>
                    <w:tabs>
                      <w:tab w:val="left" w:pos="2830"/>
                    </w:tabs>
                    <w:jc w:val="center"/>
                    <w:rPr>
                      <w:rFonts w:ascii="Times New Roman" w:hAnsi="Times New Roman"/>
                      <w:b/>
                      <w:bCs/>
                      <w:color w:val="auto"/>
                      <w:sz w:val="21"/>
                      <w:szCs w:val="21"/>
                    </w:rPr>
                  </w:pPr>
                  <w:r>
                    <w:rPr>
                      <w:rFonts w:ascii="Times New Roman" w:hAnsi="Times New Roman"/>
                      <w:b/>
                      <w:bCs/>
                      <w:color w:val="auto"/>
                      <w:sz w:val="21"/>
                      <w:szCs w:val="21"/>
                    </w:rPr>
                    <w:t>建筑物外距离</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288" w:hRule="atLeast"/>
                <w:jc w:val="center"/>
              </w:trPr>
              <w:tc>
                <w:tcPr>
                  <w:tcW w:w="142" w:type="pct"/>
                  <w:tcBorders>
                    <w:top w:val="single" w:color="auto" w:sz="4" w:space="0"/>
                    <w:left w:val="nil"/>
                    <w:bottom w:val="single" w:color="auto" w:sz="4" w:space="0"/>
                  </w:tcBorders>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1</w:t>
                  </w:r>
                </w:p>
              </w:tc>
              <w:tc>
                <w:tcPr>
                  <w:tcW w:w="677"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组立机</w:t>
                  </w:r>
                </w:p>
              </w:tc>
              <w:tc>
                <w:tcPr>
                  <w:tcW w:w="285"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1</w:t>
                  </w:r>
                </w:p>
              </w:tc>
              <w:tc>
                <w:tcPr>
                  <w:tcW w:w="481"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75~95</w:t>
                  </w:r>
                </w:p>
              </w:tc>
              <w:tc>
                <w:tcPr>
                  <w:tcW w:w="320" w:type="pct"/>
                  <w:vMerge w:val="restar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隔声、减振</w:t>
                  </w:r>
                </w:p>
              </w:tc>
              <w:tc>
                <w:tcPr>
                  <w:tcW w:w="240"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45</w:t>
                  </w:r>
                </w:p>
              </w:tc>
              <w:tc>
                <w:tcPr>
                  <w:tcW w:w="222"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30</w:t>
                  </w:r>
                </w:p>
              </w:tc>
              <w:tc>
                <w:tcPr>
                  <w:tcW w:w="338"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1.5</w:t>
                  </w:r>
                </w:p>
              </w:tc>
              <w:tc>
                <w:tcPr>
                  <w:tcW w:w="383"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W15</w:t>
                  </w:r>
                </w:p>
              </w:tc>
              <w:tc>
                <w:tcPr>
                  <w:tcW w:w="445"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52.5</w:t>
                  </w:r>
                </w:p>
              </w:tc>
              <w:tc>
                <w:tcPr>
                  <w:tcW w:w="445" w:type="pct"/>
                  <w:vMerge w:val="restar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8:00~17:00；年运行300天</w:t>
                  </w:r>
                </w:p>
              </w:tc>
              <w:tc>
                <w:tcPr>
                  <w:tcW w:w="365" w:type="pct"/>
                  <w:vMerge w:val="restar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25</w:t>
                  </w:r>
                </w:p>
              </w:tc>
              <w:tc>
                <w:tcPr>
                  <w:tcW w:w="276"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27.5</w:t>
                  </w:r>
                </w:p>
              </w:tc>
              <w:tc>
                <w:tcPr>
                  <w:tcW w:w="375" w:type="pct"/>
                  <w:vMerge w:val="restar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1m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jc w:val="center"/>
              </w:trPr>
              <w:tc>
                <w:tcPr>
                  <w:tcW w:w="142" w:type="pct"/>
                  <w:tcBorders>
                    <w:top w:val="single" w:color="auto" w:sz="4" w:space="0"/>
                    <w:left w:val="nil"/>
                    <w:bottom w:val="single" w:color="auto" w:sz="4" w:space="0"/>
                  </w:tcBorders>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2</w:t>
                  </w:r>
                </w:p>
              </w:tc>
              <w:tc>
                <w:tcPr>
                  <w:tcW w:w="677"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等离子切割机</w:t>
                  </w:r>
                </w:p>
              </w:tc>
              <w:tc>
                <w:tcPr>
                  <w:tcW w:w="285"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1</w:t>
                  </w:r>
                </w:p>
              </w:tc>
              <w:tc>
                <w:tcPr>
                  <w:tcW w:w="481"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75~95</w:t>
                  </w:r>
                </w:p>
              </w:tc>
              <w:tc>
                <w:tcPr>
                  <w:tcW w:w="320" w:type="pct"/>
                  <w:vMerge w:val="continue"/>
                  <w:vAlign w:val="center"/>
                </w:tcPr>
                <w:p>
                  <w:pPr>
                    <w:pStyle w:val="13"/>
                    <w:tabs>
                      <w:tab w:val="left" w:pos="2830"/>
                    </w:tabs>
                    <w:jc w:val="center"/>
                    <w:rPr>
                      <w:rFonts w:ascii="Times New Roman" w:hAnsi="Times New Roman"/>
                      <w:color w:val="auto"/>
                      <w:sz w:val="21"/>
                      <w:szCs w:val="21"/>
                    </w:rPr>
                  </w:pPr>
                </w:p>
              </w:tc>
              <w:tc>
                <w:tcPr>
                  <w:tcW w:w="240"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10</w:t>
                  </w:r>
                </w:p>
              </w:tc>
              <w:tc>
                <w:tcPr>
                  <w:tcW w:w="222"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15</w:t>
                  </w:r>
                </w:p>
              </w:tc>
              <w:tc>
                <w:tcPr>
                  <w:tcW w:w="338"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1.5</w:t>
                  </w:r>
                </w:p>
              </w:tc>
              <w:tc>
                <w:tcPr>
                  <w:tcW w:w="383"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W10</w:t>
                  </w:r>
                </w:p>
              </w:tc>
              <w:tc>
                <w:tcPr>
                  <w:tcW w:w="445"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60</w:t>
                  </w:r>
                </w:p>
              </w:tc>
              <w:tc>
                <w:tcPr>
                  <w:tcW w:w="445" w:type="pct"/>
                  <w:vMerge w:val="continue"/>
                  <w:vAlign w:val="center"/>
                </w:tcPr>
                <w:p>
                  <w:pPr>
                    <w:pStyle w:val="13"/>
                    <w:tabs>
                      <w:tab w:val="left" w:pos="2830"/>
                    </w:tabs>
                    <w:jc w:val="center"/>
                    <w:rPr>
                      <w:rFonts w:ascii="Times New Roman" w:hAnsi="Times New Roman"/>
                      <w:color w:val="auto"/>
                      <w:sz w:val="21"/>
                      <w:szCs w:val="21"/>
                    </w:rPr>
                  </w:pPr>
                </w:p>
              </w:tc>
              <w:tc>
                <w:tcPr>
                  <w:tcW w:w="365" w:type="pct"/>
                  <w:vMerge w:val="continue"/>
                  <w:vAlign w:val="center"/>
                </w:tcPr>
                <w:p>
                  <w:pPr>
                    <w:pStyle w:val="13"/>
                    <w:tabs>
                      <w:tab w:val="left" w:pos="2830"/>
                    </w:tabs>
                    <w:jc w:val="center"/>
                    <w:rPr>
                      <w:rFonts w:ascii="Times New Roman" w:hAnsi="Times New Roman"/>
                      <w:color w:val="auto"/>
                      <w:sz w:val="21"/>
                      <w:szCs w:val="21"/>
                    </w:rPr>
                  </w:pPr>
                </w:p>
              </w:tc>
              <w:tc>
                <w:tcPr>
                  <w:tcW w:w="276"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35</w:t>
                  </w:r>
                </w:p>
              </w:tc>
              <w:tc>
                <w:tcPr>
                  <w:tcW w:w="375" w:type="pct"/>
                  <w:vMerge w:val="continue"/>
                  <w:vAlign w:val="center"/>
                </w:tcPr>
                <w:p>
                  <w:pPr>
                    <w:pStyle w:val="13"/>
                    <w:tabs>
                      <w:tab w:val="left" w:pos="2830"/>
                    </w:tabs>
                    <w:jc w:val="center"/>
                    <w:rPr>
                      <w:rFonts w:ascii="Times New Roman" w:hAnsi="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142" w:type="pct"/>
                  <w:tcBorders>
                    <w:top w:val="single" w:color="auto" w:sz="4" w:space="0"/>
                    <w:left w:val="nil"/>
                    <w:bottom w:val="single" w:color="auto" w:sz="4" w:space="0"/>
                  </w:tcBorders>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3</w:t>
                  </w:r>
                </w:p>
              </w:tc>
              <w:tc>
                <w:tcPr>
                  <w:tcW w:w="677"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抛丸</w:t>
                  </w:r>
                  <w:r>
                    <w:rPr>
                      <w:rFonts w:hint="eastAsia" w:ascii="Times New Roman" w:hAnsi="Times New Roman"/>
                      <w:color w:val="auto"/>
                      <w:sz w:val="21"/>
                      <w:szCs w:val="21"/>
                    </w:rPr>
                    <w:t>清洗</w:t>
                  </w:r>
                  <w:r>
                    <w:rPr>
                      <w:rFonts w:ascii="Times New Roman" w:hAnsi="Times New Roman"/>
                      <w:color w:val="auto"/>
                      <w:sz w:val="21"/>
                      <w:szCs w:val="21"/>
                    </w:rPr>
                    <w:t>机</w:t>
                  </w:r>
                </w:p>
              </w:tc>
              <w:tc>
                <w:tcPr>
                  <w:tcW w:w="285"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1</w:t>
                  </w:r>
                </w:p>
              </w:tc>
              <w:tc>
                <w:tcPr>
                  <w:tcW w:w="481"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75~95</w:t>
                  </w:r>
                </w:p>
              </w:tc>
              <w:tc>
                <w:tcPr>
                  <w:tcW w:w="320" w:type="pct"/>
                  <w:vMerge w:val="continue"/>
                  <w:vAlign w:val="center"/>
                </w:tcPr>
                <w:p>
                  <w:pPr>
                    <w:pStyle w:val="13"/>
                    <w:tabs>
                      <w:tab w:val="left" w:pos="2830"/>
                    </w:tabs>
                    <w:jc w:val="center"/>
                    <w:rPr>
                      <w:rFonts w:ascii="Times New Roman" w:hAnsi="Times New Roman"/>
                      <w:color w:val="auto"/>
                      <w:sz w:val="21"/>
                      <w:szCs w:val="21"/>
                    </w:rPr>
                  </w:pPr>
                </w:p>
              </w:tc>
              <w:tc>
                <w:tcPr>
                  <w:tcW w:w="240"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15</w:t>
                  </w:r>
                </w:p>
              </w:tc>
              <w:tc>
                <w:tcPr>
                  <w:tcW w:w="222"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15</w:t>
                  </w:r>
                </w:p>
              </w:tc>
              <w:tc>
                <w:tcPr>
                  <w:tcW w:w="338"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1.5</w:t>
                  </w:r>
                </w:p>
              </w:tc>
              <w:tc>
                <w:tcPr>
                  <w:tcW w:w="383"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S15</w:t>
                  </w:r>
                </w:p>
              </w:tc>
              <w:tc>
                <w:tcPr>
                  <w:tcW w:w="445"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48.5</w:t>
                  </w:r>
                </w:p>
              </w:tc>
              <w:tc>
                <w:tcPr>
                  <w:tcW w:w="445" w:type="pct"/>
                  <w:vMerge w:val="continue"/>
                  <w:vAlign w:val="center"/>
                </w:tcPr>
                <w:p>
                  <w:pPr>
                    <w:pStyle w:val="13"/>
                    <w:tabs>
                      <w:tab w:val="left" w:pos="2830"/>
                    </w:tabs>
                    <w:jc w:val="center"/>
                    <w:rPr>
                      <w:rFonts w:ascii="Times New Roman" w:hAnsi="Times New Roman"/>
                      <w:color w:val="auto"/>
                      <w:sz w:val="21"/>
                      <w:szCs w:val="21"/>
                    </w:rPr>
                  </w:pPr>
                </w:p>
              </w:tc>
              <w:tc>
                <w:tcPr>
                  <w:tcW w:w="365" w:type="pct"/>
                  <w:vMerge w:val="continue"/>
                  <w:vAlign w:val="center"/>
                </w:tcPr>
                <w:p>
                  <w:pPr>
                    <w:pStyle w:val="13"/>
                    <w:tabs>
                      <w:tab w:val="left" w:pos="2830"/>
                    </w:tabs>
                    <w:jc w:val="center"/>
                    <w:rPr>
                      <w:rFonts w:ascii="Times New Roman" w:hAnsi="Times New Roman"/>
                      <w:color w:val="auto"/>
                      <w:sz w:val="21"/>
                      <w:szCs w:val="21"/>
                    </w:rPr>
                  </w:pPr>
                </w:p>
              </w:tc>
              <w:tc>
                <w:tcPr>
                  <w:tcW w:w="276"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23.5</w:t>
                  </w:r>
                </w:p>
              </w:tc>
              <w:tc>
                <w:tcPr>
                  <w:tcW w:w="375" w:type="pct"/>
                  <w:vMerge w:val="continue"/>
                  <w:vAlign w:val="center"/>
                </w:tcPr>
                <w:p>
                  <w:pPr>
                    <w:pStyle w:val="13"/>
                    <w:tabs>
                      <w:tab w:val="left" w:pos="2830"/>
                    </w:tabs>
                    <w:jc w:val="center"/>
                    <w:rPr>
                      <w:rFonts w:ascii="Times New Roman" w:hAnsi="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jc w:val="center"/>
              </w:trPr>
              <w:tc>
                <w:tcPr>
                  <w:tcW w:w="142" w:type="pct"/>
                  <w:tcBorders>
                    <w:top w:val="single" w:color="auto" w:sz="4" w:space="0"/>
                    <w:left w:val="nil"/>
                    <w:bottom w:val="single" w:color="auto" w:sz="4" w:space="0"/>
                  </w:tcBorders>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4</w:t>
                  </w:r>
                </w:p>
              </w:tc>
              <w:tc>
                <w:tcPr>
                  <w:tcW w:w="677"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打磨机</w:t>
                  </w:r>
                </w:p>
              </w:tc>
              <w:tc>
                <w:tcPr>
                  <w:tcW w:w="285"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1</w:t>
                  </w:r>
                </w:p>
              </w:tc>
              <w:tc>
                <w:tcPr>
                  <w:tcW w:w="481"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75~95</w:t>
                  </w:r>
                </w:p>
              </w:tc>
              <w:tc>
                <w:tcPr>
                  <w:tcW w:w="320" w:type="pct"/>
                  <w:vMerge w:val="continue"/>
                  <w:vAlign w:val="center"/>
                </w:tcPr>
                <w:p>
                  <w:pPr>
                    <w:pStyle w:val="13"/>
                    <w:tabs>
                      <w:tab w:val="left" w:pos="2830"/>
                    </w:tabs>
                    <w:jc w:val="center"/>
                    <w:rPr>
                      <w:rFonts w:ascii="Times New Roman" w:hAnsi="Times New Roman"/>
                      <w:color w:val="auto"/>
                      <w:sz w:val="21"/>
                      <w:szCs w:val="21"/>
                    </w:rPr>
                  </w:pPr>
                </w:p>
              </w:tc>
              <w:tc>
                <w:tcPr>
                  <w:tcW w:w="240"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10</w:t>
                  </w:r>
                </w:p>
              </w:tc>
              <w:tc>
                <w:tcPr>
                  <w:tcW w:w="222"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15</w:t>
                  </w:r>
                </w:p>
              </w:tc>
              <w:tc>
                <w:tcPr>
                  <w:tcW w:w="338"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1.5</w:t>
                  </w:r>
                </w:p>
              </w:tc>
              <w:tc>
                <w:tcPr>
                  <w:tcW w:w="383"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S10</w:t>
                  </w:r>
                </w:p>
              </w:tc>
              <w:tc>
                <w:tcPr>
                  <w:tcW w:w="445"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45</w:t>
                  </w:r>
                </w:p>
              </w:tc>
              <w:tc>
                <w:tcPr>
                  <w:tcW w:w="445" w:type="pct"/>
                  <w:vMerge w:val="continue"/>
                  <w:vAlign w:val="center"/>
                </w:tcPr>
                <w:p>
                  <w:pPr>
                    <w:pStyle w:val="13"/>
                    <w:tabs>
                      <w:tab w:val="left" w:pos="2830"/>
                    </w:tabs>
                    <w:jc w:val="center"/>
                    <w:rPr>
                      <w:rFonts w:ascii="Times New Roman" w:hAnsi="Times New Roman"/>
                      <w:color w:val="auto"/>
                      <w:sz w:val="21"/>
                      <w:szCs w:val="21"/>
                    </w:rPr>
                  </w:pPr>
                </w:p>
              </w:tc>
              <w:tc>
                <w:tcPr>
                  <w:tcW w:w="365" w:type="pct"/>
                  <w:vMerge w:val="continue"/>
                  <w:vAlign w:val="center"/>
                </w:tcPr>
                <w:p>
                  <w:pPr>
                    <w:pStyle w:val="13"/>
                    <w:tabs>
                      <w:tab w:val="left" w:pos="2830"/>
                    </w:tabs>
                    <w:jc w:val="center"/>
                    <w:rPr>
                      <w:rFonts w:ascii="Times New Roman" w:hAnsi="Times New Roman"/>
                      <w:color w:val="auto"/>
                      <w:sz w:val="21"/>
                      <w:szCs w:val="21"/>
                    </w:rPr>
                  </w:pPr>
                </w:p>
              </w:tc>
              <w:tc>
                <w:tcPr>
                  <w:tcW w:w="276"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21</w:t>
                  </w:r>
                </w:p>
              </w:tc>
              <w:tc>
                <w:tcPr>
                  <w:tcW w:w="375" w:type="pct"/>
                  <w:vMerge w:val="continue"/>
                  <w:vAlign w:val="center"/>
                </w:tcPr>
                <w:p>
                  <w:pPr>
                    <w:pStyle w:val="13"/>
                    <w:tabs>
                      <w:tab w:val="left" w:pos="2830"/>
                    </w:tabs>
                    <w:jc w:val="center"/>
                    <w:rPr>
                      <w:rFonts w:ascii="Times New Roman" w:hAnsi="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jc w:val="center"/>
              </w:trPr>
              <w:tc>
                <w:tcPr>
                  <w:tcW w:w="142" w:type="pct"/>
                  <w:tcBorders>
                    <w:top w:val="single" w:color="auto" w:sz="4" w:space="0"/>
                    <w:left w:val="nil"/>
                    <w:bottom w:val="single" w:color="auto" w:sz="4" w:space="0"/>
                  </w:tcBorders>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5</w:t>
                  </w:r>
                </w:p>
              </w:tc>
              <w:tc>
                <w:tcPr>
                  <w:tcW w:w="677"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埋弧焊焊机</w:t>
                  </w:r>
                </w:p>
              </w:tc>
              <w:tc>
                <w:tcPr>
                  <w:tcW w:w="285"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2</w:t>
                  </w:r>
                </w:p>
              </w:tc>
              <w:tc>
                <w:tcPr>
                  <w:tcW w:w="481"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75~95</w:t>
                  </w:r>
                </w:p>
              </w:tc>
              <w:tc>
                <w:tcPr>
                  <w:tcW w:w="320" w:type="pct"/>
                  <w:vMerge w:val="continue"/>
                  <w:vAlign w:val="center"/>
                </w:tcPr>
                <w:p>
                  <w:pPr>
                    <w:pStyle w:val="13"/>
                    <w:tabs>
                      <w:tab w:val="left" w:pos="2830"/>
                    </w:tabs>
                    <w:jc w:val="center"/>
                    <w:rPr>
                      <w:rFonts w:ascii="Times New Roman" w:hAnsi="Times New Roman"/>
                      <w:color w:val="auto"/>
                      <w:sz w:val="21"/>
                      <w:szCs w:val="21"/>
                    </w:rPr>
                  </w:pPr>
                </w:p>
              </w:tc>
              <w:tc>
                <w:tcPr>
                  <w:tcW w:w="240"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40</w:t>
                  </w:r>
                </w:p>
              </w:tc>
              <w:tc>
                <w:tcPr>
                  <w:tcW w:w="222"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25</w:t>
                  </w:r>
                </w:p>
              </w:tc>
              <w:tc>
                <w:tcPr>
                  <w:tcW w:w="338"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1.5</w:t>
                  </w:r>
                </w:p>
              </w:tc>
              <w:tc>
                <w:tcPr>
                  <w:tcW w:w="383"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S25</w:t>
                  </w:r>
                </w:p>
              </w:tc>
              <w:tc>
                <w:tcPr>
                  <w:tcW w:w="445"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53</w:t>
                  </w:r>
                </w:p>
              </w:tc>
              <w:tc>
                <w:tcPr>
                  <w:tcW w:w="445" w:type="pct"/>
                  <w:vMerge w:val="continue"/>
                  <w:vAlign w:val="center"/>
                </w:tcPr>
                <w:p>
                  <w:pPr>
                    <w:pStyle w:val="13"/>
                    <w:tabs>
                      <w:tab w:val="left" w:pos="2830"/>
                    </w:tabs>
                    <w:jc w:val="center"/>
                    <w:rPr>
                      <w:rFonts w:ascii="Times New Roman" w:hAnsi="Times New Roman"/>
                      <w:color w:val="auto"/>
                      <w:sz w:val="21"/>
                      <w:szCs w:val="21"/>
                    </w:rPr>
                  </w:pPr>
                </w:p>
              </w:tc>
              <w:tc>
                <w:tcPr>
                  <w:tcW w:w="365" w:type="pct"/>
                  <w:vMerge w:val="continue"/>
                  <w:vAlign w:val="center"/>
                </w:tcPr>
                <w:p>
                  <w:pPr>
                    <w:pStyle w:val="13"/>
                    <w:tabs>
                      <w:tab w:val="left" w:pos="2830"/>
                    </w:tabs>
                    <w:jc w:val="center"/>
                    <w:rPr>
                      <w:rFonts w:ascii="Times New Roman" w:hAnsi="Times New Roman"/>
                      <w:color w:val="auto"/>
                      <w:sz w:val="21"/>
                      <w:szCs w:val="21"/>
                    </w:rPr>
                  </w:pPr>
                </w:p>
              </w:tc>
              <w:tc>
                <w:tcPr>
                  <w:tcW w:w="276"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28</w:t>
                  </w:r>
                </w:p>
              </w:tc>
              <w:tc>
                <w:tcPr>
                  <w:tcW w:w="375" w:type="pct"/>
                  <w:vMerge w:val="continue"/>
                  <w:vAlign w:val="center"/>
                </w:tcPr>
                <w:p>
                  <w:pPr>
                    <w:pStyle w:val="13"/>
                    <w:tabs>
                      <w:tab w:val="left" w:pos="2830"/>
                    </w:tabs>
                    <w:jc w:val="center"/>
                    <w:rPr>
                      <w:rFonts w:ascii="Times New Roman" w:hAnsi="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jc w:val="center"/>
              </w:trPr>
              <w:tc>
                <w:tcPr>
                  <w:tcW w:w="142" w:type="pct"/>
                  <w:tcBorders>
                    <w:top w:val="single" w:color="auto" w:sz="4" w:space="0"/>
                    <w:left w:val="nil"/>
                    <w:bottom w:val="single" w:color="auto" w:sz="4" w:space="0"/>
                  </w:tcBorders>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6</w:t>
                  </w:r>
                </w:p>
              </w:tc>
              <w:tc>
                <w:tcPr>
                  <w:tcW w:w="677"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气体保护焊</w:t>
                  </w:r>
                </w:p>
              </w:tc>
              <w:tc>
                <w:tcPr>
                  <w:tcW w:w="285"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10</w:t>
                  </w:r>
                </w:p>
              </w:tc>
              <w:tc>
                <w:tcPr>
                  <w:tcW w:w="481"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75~95</w:t>
                  </w:r>
                </w:p>
              </w:tc>
              <w:tc>
                <w:tcPr>
                  <w:tcW w:w="320" w:type="pct"/>
                  <w:vMerge w:val="continue"/>
                  <w:vAlign w:val="center"/>
                </w:tcPr>
                <w:p>
                  <w:pPr>
                    <w:pStyle w:val="13"/>
                    <w:tabs>
                      <w:tab w:val="left" w:pos="2830"/>
                    </w:tabs>
                    <w:jc w:val="center"/>
                    <w:rPr>
                      <w:rFonts w:ascii="Times New Roman" w:hAnsi="Times New Roman"/>
                      <w:color w:val="auto"/>
                      <w:sz w:val="21"/>
                      <w:szCs w:val="21"/>
                    </w:rPr>
                  </w:pPr>
                </w:p>
              </w:tc>
              <w:tc>
                <w:tcPr>
                  <w:tcW w:w="240"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50</w:t>
                  </w:r>
                </w:p>
              </w:tc>
              <w:tc>
                <w:tcPr>
                  <w:tcW w:w="222"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30</w:t>
                  </w:r>
                </w:p>
              </w:tc>
              <w:tc>
                <w:tcPr>
                  <w:tcW w:w="338"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1.5</w:t>
                  </w:r>
                </w:p>
              </w:tc>
              <w:tc>
                <w:tcPr>
                  <w:tcW w:w="383"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N15</w:t>
                  </w:r>
                </w:p>
              </w:tc>
              <w:tc>
                <w:tcPr>
                  <w:tcW w:w="445"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54.5</w:t>
                  </w:r>
                </w:p>
              </w:tc>
              <w:tc>
                <w:tcPr>
                  <w:tcW w:w="445" w:type="pct"/>
                  <w:vMerge w:val="continue"/>
                  <w:vAlign w:val="center"/>
                </w:tcPr>
                <w:p>
                  <w:pPr>
                    <w:pStyle w:val="13"/>
                    <w:tabs>
                      <w:tab w:val="left" w:pos="2830"/>
                    </w:tabs>
                    <w:jc w:val="center"/>
                    <w:rPr>
                      <w:rFonts w:ascii="Times New Roman" w:hAnsi="Times New Roman"/>
                      <w:color w:val="auto"/>
                      <w:sz w:val="21"/>
                      <w:szCs w:val="21"/>
                    </w:rPr>
                  </w:pPr>
                </w:p>
              </w:tc>
              <w:tc>
                <w:tcPr>
                  <w:tcW w:w="365" w:type="pct"/>
                  <w:vMerge w:val="continue"/>
                  <w:vAlign w:val="center"/>
                </w:tcPr>
                <w:p>
                  <w:pPr>
                    <w:pStyle w:val="13"/>
                    <w:tabs>
                      <w:tab w:val="left" w:pos="2830"/>
                    </w:tabs>
                    <w:jc w:val="center"/>
                    <w:rPr>
                      <w:rFonts w:ascii="Times New Roman" w:hAnsi="Times New Roman"/>
                      <w:color w:val="auto"/>
                      <w:sz w:val="21"/>
                      <w:szCs w:val="21"/>
                    </w:rPr>
                  </w:pPr>
                </w:p>
              </w:tc>
              <w:tc>
                <w:tcPr>
                  <w:tcW w:w="276"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29.5</w:t>
                  </w:r>
                </w:p>
              </w:tc>
              <w:tc>
                <w:tcPr>
                  <w:tcW w:w="375" w:type="pct"/>
                  <w:vMerge w:val="continue"/>
                  <w:vAlign w:val="center"/>
                </w:tcPr>
                <w:p>
                  <w:pPr>
                    <w:pStyle w:val="13"/>
                    <w:tabs>
                      <w:tab w:val="left" w:pos="2830"/>
                    </w:tabs>
                    <w:jc w:val="center"/>
                    <w:rPr>
                      <w:rFonts w:ascii="Times New Roman" w:hAnsi="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jc w:val="center"/>
              </w:trPr>
              <w:tc>
                <w:tcPr>
                  <w:tcW w:w="142" w:type="pct"/>
                  <w:tcBorders>
                    <w:top w:val="single" w:color="auto" w:sz="4" w:space="0"/>
                    <w:left w:val="nil"/>
                    <w:bottom w:val="single" w:color="auto" w:sz="4" w:space="0"/>
                  </w:tcBorders>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7</w:t>
                  </w:r>
                </w:p>
              </w:tc>
              <w:tc>
                <w:tcPr>
                  <w:tcW w:w="677" w:type="pct"/>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下料机</w:t>
                  </w:r>
                </w:p>
              </w:tc>
              <w:tc>
                <w:tcPr>
                  <w:tcW w:w="285" w:type="pct"/>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1</w:t>
                  </w:r>
                </w:p>
              </w:tc>
              <w:tc>
                <w:tcPr>
                  <w:tcW w:w="481"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75~95</w:t>
                  </w:r>
                </w:p>
              </w:tc>
              <w:tc>
                <w:tcPr>
                  <w:tcW w:w="320" w:type="pct"/>
                  <w:vMerge w:val="continue"/>
                  <w:vAlign w:val="center"/>
                </w:tcPr>
                <w:p>
                  <w:pPr>
                    <w:pStyle w:val="13"/>
                    <w:tabs>
                      <w:tab w:val="left" w:pos="2830"/>
                    </w:tabs>
                    <w:jc w:val="center"/>
                    <w:rPr>
                      <w:rFonts w:ascii="Times New Roman" w:hAnsi="Times New Roman"/>
                      <w:color w:val="auto"/>
                      <w:sz w:val="21"/>
                      <w:szCs w:val="21"/>
                    </w:rPr>
                  </w:pPr>
                </w:p>
              </w:tc>
              <w:tc>
                <w:tcPr>
                  <w:tcW w:w="240" w:type="pct"/>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40</w:t>
                  </w:r>
                </w:p>
              </w:tc>
              <w:tc>
                <w:tcPr>
                  <w:tcW w:w="222" w:type="pct"/>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30</w:t>
                  </w:r>
                </w:p>
              </w:tc>
              <w:tc>
                <w:tcPr>
                  <w:tcW w:w="338" w:type="pct"/>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1.5</w:t>
                  </w:r>
                </w:p>
              </w:tc>
              <w:tc>
                <w:tcPr>
                  <w:tcW w:w="383" w:type="pct"/>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W20</w:t>
                  </w:r>
                </w:p>
              </w:tc>
              <w:tc>
                <w:tcPr>
                  <w:tcW w:w="445" w:type="pct"/>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45</w:t>
                  </w:r>
                </w:p>
              </w:tc>
              <w:tc>
                <w:tcPr>
                  <w:tcW w:w="445" w:type="pct"/>
                  <w:vMerge w:val="continue"/>
                  <w:vAlign w:val="center"/>
                </w:tcPr>
                <w:p>
                  <w:pPr>
                    <w:pStyle w:val="13"/>
                    <w:tabs>
                      <w:tab w:val="left" w:pos="2830"/>
                    </w:tabs>
                    <w:jc w:val="center"/>
                    <w:rPr>
                      <w:rFonts w:ascii="Times New Roman" w:hAnsi="Times New Roman"/>
                      <w:color w:val="auto"/>
                      <w:sz w:val="21"/>
                      <w:szCs w:val="21"/>
                    </w:rPr>
                  </w:pPr>
                </w:p>
              </w:tc>
              <w:tc>
                <w:tcPr>
                  <w:tcW w:w="365" w:type="pct"/>
                  <w:vMerge w:val="continue"/>
                  <w:vAlign w:val="center"/>
                </w:tcPr>
                <w:p>
                  <w:pPr>
                    <w:pStyle w:val="13"/>
                    <w:tabs>
                      <w:tab w:val="left" w:pos="2830"/>
                    </w:tabs>
                    <w:jc w:val="center"/>
                    <w:rPr>
                      <w:rFonts w:ascii="Times New Roman" w:hAnsi="Times New Roman"/>
                      <w:color w:val="auto"/>
                      <w:sz w:val="21"/>
                      <w:szCs w:val="21"/>
                    </w:rPr>
                  </w:pPr>
                </w:p>
              </w:tc>
              <w:tc>
                <w:tcPr>
                  <w:tcW w:w="276" w:type="pct"/>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20</w:t>
                  </w:r>
                </w:p>
              </w:tc>
              <w:tc>
                <w:tcPr>
                  <w:tcW w:w="375" w:type="pct"/>
                  <w:vMerge w:val="continue"/>
                  <w:vAlign w:val="center"/>
                </w:tcPr>
                <w:p>
                  <w:pPr>
                    <w:pStyle w:val="13"/>
                    <w:tabs>
                      <w:tab w:val="left" w:pos="2830"/>
                    </w:tabs>
                    <w:jc w:val="center"/>
                    <w:rPr>
                      <w:rFonts w:ascii="Times New Roman" w:hAnsi="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jc w:val="center"/>
              </w:trPr>
              <w:tc>
                <w:tcPr>
                  <w:tcW w:w="142" w:type="pct"/>
                  <w:tcBorders>
                    <w:top w:val="single" w:color="auto" w:sz="4" w:space="0"/>
                    <w:left w:val="nil"/>
                    <w:bottom w:val="single" w:color="auto" w:sz="4" w:space="0"/>
                  </w:tcBorders>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8</w:t>
                  </w:r>
                </w:p>
              </w:tc>
              <w:tc>
                <w:tcPr>
                  <w:tcW w:w="677" w:type="pct"/>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剪板机</w:t>
                  </w:r>
                </w:p>
              </w:tc>
              <w:tc>
                <w:tcPr>
                  <w:tcW w:w="285" w:type="pct"/>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1</w:t>
                  </w:r>
                </w:p>
              </w:tc>
              <w:tc>
                <w:tcPr>
                  <w:tcW w:w="481"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75~95</w:t>
                  </w:r>
                </w:p>
              </w:tc>
              <w:tc>
                <w:tcPr>
                  <w:tcW w:w="320" w:type="pct"/>
                  <w:vMerge w:val="continue"/>
                  <w:vAlign w:val="center"/>
                </w:tcPr>
                <w:p>
                  <w:pPr>
                    <w:pStyle w:val="13"/>
                    <w:tabs>
                      <w:tab w:val="left" w:pos="2830"/>
                    </w:tabs>
                    <w:jc w:val="center"/>
                    <w:rPr>
                      <w:rFonts w:ascii="Times New Roman" w:hAnsi="Times New Roman"/>
                      <w:color w:val="auto"/>
                      <w:sz w:val="21"/>
                      <w:szCs w:val="21"/>
                    </w:rPr>
                  </w:pPr>
                </w:p>
              </w:tc>
              <w:tc>
                <w:tcPr>
                  <w:tcW w:w="240" w:type="pct"/>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40</w:t>
                  </w:r>
                </w:p>
              </w:tc>
              <w:tc>
                <w:tcPr>
                  <w:tcW w:w="222" w:type="pct"/>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15</w:t>
                  </w:r>
                </w:p>
              </w:tc>
              <w:tc>
                <w:tcPr>
                  <w:tcW w:w="338" w:type="pct"/>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1.5</w:t>
                  </w:r>
                </w:p>
              </w:tc>
              <w:tc>
                <w:tcPr>
                  <w:tcW w:w="383" w:type="pct"/>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W10</w:t>
                  </w:r>
                </w:p>
              </w:tc>
              <w:tc>
                <w:tcPr>
                  <w:tcW w:w="445" w:type="pct"/>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55</w:t>
                  </w:r>
                </w:p>
              </w:tc>
              <w:tc>
                <w:tcPr>
                  <w:tcW w:w="445" w:type="pct"/>
                  <w:vMerge w:val="continue"/>
                  <w:vAlign w:val="center"/>
                </w:tcPr>
                <w:p>
                  <w:pPr>
                    <w:pStyle w:val="13"/>
                    <w:tabs>
                      <w:tab w:val="left" w:pos="2830"/>
                    </w:tabs>
                    <w:jc w:val="center"/>
                    <w:rPr>
                      <w:rFonts w:ascii="Times New Roman" w:hAnsi="Times New Roman"/>
                      <w:color w:val="auto"/>
                      <w:sz w:val="21"/>
                      <w:szCs w:val="21"/>
                    </w:rPr>
                  </w:pPr>
                </w:p>
              </w:tc>
              <w:tc>
                <w:tcPr>
                  <w:tcW w:w="365" w:type="pct"/>
                  <w:vMerge w:val="continue"/>
                  <w:vAlign w:val="center"/>
                </w:tcPr>
                <w:p>
                  <w:pPr>
                    <w:pStyle w:val="13"/>
                    <w:tabs>
                      <w:tab w:val="left" w:pos="2830"/>
                    </w:tabs>
                    <w:jc w:val="center"/>
                    <w:rPr>
                      <w:rFonts w:ascii="Times New Roman" w:hAnsi="Times New Roman"/>
                      <w:color w:val="auto"/>
                      <w:sz w:val="21"/>
                      <w:szCs w:val="21"/>
                    </w:rPr>
                  </w:pPr>
                </w:p>
              </w:tc>
              <w:tc>
                <w:tcPr>
                  <w:tcW w:w="276" w:type="pct"/>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30</w:t>
                  </w:r>
                </w:p>
              </w:tc>
              <w:tc>
                <w:tcPr>
                  <w:tcW w:w="375" w:type="pct"/>
                  <w:vMerge w:val="continue"/>
                  <w:vAlign w:val="center"/>
                </w:tcPr>
                <w:p>
                  <w:pPr>
                    <w:pStyle w:val="13"/>
                    <w:tabs>
                      <w:tab w:val="left" w:pos="2830"/>
                    </w:tabs>
                    <w:jc w:val="center"/>
                    <w:rPr>
                      <w:rFonts w:ascii="Times New Roman" w:hAnsi="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jc w:val="center"/>
              </w:trPr>
              <w:tc>
                <w:tcPr>
                  <w:tcW w:w="142" w:type="pct"/>
                  <w:tcBorders>
                    <w:top w:val="single" w:color="auto" w:sz="4" w:space="0"/>
                    <w:left w:val="nil"/>
                    <w:bottom w:val="single" w:color="auto" w:sz="4" w:space="0"/>
                  </w:tcBorders>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9</w:t>
                  </w:r>
                </w:p>
              </w:tc>
              <w:tc>
                <w:tcPr>
                  <w:tcW w:w="677" w:type="pct"/>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电弧焊机</w:t>
                  </w:r>
                </w:p>
              </w:tc>
              <w:tc>
                <w:tcPr>
                  <w:tcW w:w="285" w:type="pct"/>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1</w:t>
                  </w:r>
                </w:p>
              </w:tc>
              <w:tc>
                <w:tcPr>
                  <w:tcW w:w="481"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75~95</w:t>
                  </w:r>
                </w:p>
              </w:tc>
              <w:tc>
                <w:tcPr>
                  <w:tcW w:w="320" w:type="pct"/>
                  <w:vMerge w:val="continue"/>
                  <w:vAlign w:val="center"/>
                </w:tcPr>
                <w:p>
                  <w:pPr>
                    <w:pStyle w:val="13"/>
                    <w:tabs>
                      <w:tab w:val="left" w:pos="2830"/>
                    </w:tabs>
                    <w:jc w:val="center"/>
                    <w:rPr>
                      <w:rFonts w:ascii="Times New Roman" w:hAnsi="Times New Roman"/>
                      <w:color w:val="auto"/>
                      <w:sz w:val="21"/>
                      <w:szCs w:val="21"/>
                    </w:rPr>
                  </w:pPr>
                </w:p>
              </w:tc>
              <w:tc>
                <w:tcPr>
                  <w:tcW w:w="240" w:type="pct"/>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45</w:t>
                  </w:r>
                </w:p>
              </w:tc>
              <w:tc>
                <w:tcPr>
                  <w:tcW w:w="222" w:type="pct"/>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15</w:t>
                  </w:r>
                </w:p>
              </w:tc>
              <w:tc>
                <w:tcPr>
                  <w:tcW w:w="338" w:type="pct"/>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1.5</w:t>
                  </w:r>
                </w:p>
              </w:tc>
              <w:tc>
                <w:tcPr>
                  <w:tcW w:w="383" w:type="pct"/>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N10</w:t>
                  </w:r>
                </w:p>
              </w:tc>
              <w:tc>
                <w:tcPr>
                  <w:tcW w:w="445" w:type="pct"/>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46</w:t>
                  </w:r>
                </w:p>
              </w:tc>
              <w:tc>
                <w:tcPr>
                  <w:tcW w:w="445" w:type="pct"/>
                  <w:vMerge w:val="continue"/>
                  <w:vAlign w:val="center"/>
                </w:tcPr>
                <w:p>
                  <w:pPr>
                    <w:pStyle w:val="13"/>
                    <w:tabs>
                      <w:tab w:val="left" w:pos="2830"/>
                    </w:tabs>
                    <w:jc w:val="center"/>
                    <w:rPr>
                      <w:rFonts w:ascii="Times New Roman" w:hAnsi="Times New Roman"/>
                      <w:color w:val="auto"/>
                      <w:sz w:val="21"/>
                      <w:szCs w:val="21"/>
                    </w:rPr>
                  </w:pPr>
                </w:p>
              </w:tc>
              <w:tc>
                <w:tcPr>
                  <w:tcW w:w="365" w:type="pct"/>
                  <w:vMerge w:val="continue"/>
                  <w:vAlign w:val="center"/>
                </w:tcPr>
                <w:p>
                  <w:pPr>
                    <w:pStyle w:val="13"/>
                    <w:tabs>
                      <w:tab w:val="left" w:pos="2830"/>
                    </w:tabs>
                    <w:jc w:val="center"/>
                    <w:rPr>
                      <w:rFonts w:ascii="Times New Roman" w:hAnsi="Times New Roman"/>
                      <w:color w:val="auto"/>
                      <w:sz w:val="21"/>
                      <w:szCs w:val="21"/>
                    </w:rPr>
                  </w:pPr>
                </w:p>
              </w:tc>
              <w:tc>
                <w:tcPr>
                  <w:tcW w:w="276" w:type="pct"/>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23</w:t>
                  </w:r>
                </w:p>
              </w:tc>
              <w:tc>
                <w:tcPr>
                  <w:tcW w:w="375" w:type="pct"/>
                  <w:vMerge w:val="continue"/>
                  <w:vAlign w:val="center"/>
                </w:tcPr>
                <w:p>
                  <w:pPr>
                    <w:pStyle w:val="13"/>
                    <w:tabs>
                      <w:tab w:val="left" w:pos="2830"/>
                    </w:tabs>
                    <w:jc w:val="center"/>
                    <w:rPr>
                      <w:rFonts w:ascii="Times New Roman" w:hAnsi="Times New Roman"/>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jc w:val="center"/>
              </w:trPr>
              <w:tc>
                <w:tcPr>
                  <w:tcW w:w="142" w:type="pct"/>
                  <w:tcBorders>
                    <w:top w:val="single" w:color="auto" w:sz="4" w:space="0"/>
                    <w:left w:val="nil"/>
                    <w:bottom w:val="single" w:color="auto" w:sz="4" w:space="0"/>
                  </w:tcBorders>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10</w:t>
                  </w:r>
                </w:p>
              </w:tc>
              <w:tc>
                <w:tcPr>
                  <w:tcW w:w="677" w:type="pct"/>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喷枪</w:t>
                  </w:r>
                </w:p>
              </w:tc>
              <w:tc>
                <w:tcPr>
                  <w:tcW w:w="285" w:type="pct"/>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2</w:t>
                  </w:r>
                </w:p>
              </w:tc>
              <w:tc>
                <w:tcPr>
                  <w:tcW w:w="481"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75~95</w:t>
                  </w:r>
                </w:p>
              </w:tc>
              <w:tc>
                <w:tcPr>
                  <w:tcW w:w="320" w:type="pct"/>
                  <w:vMerge w:val="continue"/>
                  <w:vAlign w:val="center"/>
                </w:tcPr>
                <w:p>
                  <w:pPr>
                    <w:pStyle w:val="13"/>
                    <w:tabs>
                      <w:tab w:val="left" w:pos="2830"/>
                    </w:tabs>
                    <w:jc w:val="center"/>
                    <w:rPr>
                      <w:rFonts w:ascii="Times New Roman" w:hAnsi="Times New Roman"/>
                      <w:color w:val="auto"/>
                      <w:sz w:val="21"/>
                      <w:szCs w:val="21"/>
                    </w:rPr>
                  </w:pPr>
                </w:p>
              </w:tc>
              <w:tc>
                <w:tcPr>
                  <w:tcW w:w="240" w:type="pct"/>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10</w:t>
                  </w:r>
                </w:p>
              </w:tc>
              <w:tc>
                <w:tcPr>
                  <w:tcW w:w="222" w:type="pct"/>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30</w:t>
                  </w:r>
                </w:p>
              </w:tc>
              <w:tc>
                <w:tcPr>
                  <w:tcW w:w="338" w:type="pct"/>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1.5</w:t>
                  </w:r>
                </w:p>
              </w:tc>
              <w:tc>
                <w:tcPr>
                  <w:tcW w:w="383" w:type="pct"/>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S15</w:t>
                  </w:r>
                </w:p>
              </w:tc>
              <w:tc>
                <w:tcPr>
                  <w:tcW w:w="445" w:type="pct"/>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56</w:t>
                  </w:r>
                </w:p>
              </w:tc>
              <w:tc>
                <w:tcPr>
                  <w:tcW w:w="445" w:type="pct"/>
                  <w:vMerge w:val="continue"/>
                  <w:vAlign w:val="center"/>
                </w:tcPr>
                <w:p>
                  <w:pPr>
                    <w:pStyle w:val="13"/>
                    <w:tabs>
                      <w:tab w:val="left" w:pos="2830"/>
                    </w:tabs>
                    <w:jc w:val="center"/>
                    <w:rPr>
                      <w:rFonts w:ascii="Times New Roman" w:hAnsi="Times New Roman"/>
                      <w:color w:val="auto"/>
                      <w:sz w:val="21"/>
                      <w:szCs w:val="21"/>
                    </w:rPr>
                  </w:pPr>
                </w:p>
              </w:tc>
              <w:tc>
                <w:tcPr>
                  <w:tcW w:w="365" w:type="pct"/>
                  <w:vMerge w:val="continue"/>
                  <w:vAlign w:val="center"/>
                </w:tcPr>
                <w:p>
                  <w:pPr>
                    <w:pStyle w:val="13"/>
                    <w:tabs>
                      <w:tab w:val="left" w:pos="2830"/>
                    </w:tabs>
                    <w:jc w:val="center"/>
                    <w:rPr>
                      <w:rFonts w:ascii="Times New Roman" w:hAnsi="Times New Roman"/>
                      <w:color w:val="auto"/>
                      <w:sz w:val="21"/>
                      <w:szCs w:val="21"/>
                    </w:rPr>
                  </w:pPr>
                </w:p>
              </w:tc>
              <w:tc>
                <w:tcPr>
                  <w:tcW w:w="276" w:type="pct"/>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31</w:t>
                  </w:r>
                </w:p>
              </w:tc>
              <w:tc>
                <w:tcPr>
                  <w:tcW w:w="375" w:type="pct"/>
                  <w:vMerge w:val="continue"/>
                  <w:vAlign w:val="center"/>
                </w:tcPr>
                <w:p>
                  <w:pPr>
                    <w:pStyle w:val="13"/>
                    <w:tabs>
                      <w:tab w:val="left" w:pos="2830"/>
                    </w:tabs>
                    <w:jc w:val="center"/>
                    <w:rPr>
                      <w:rFonts w:ascii="Times New Roman" w:hAnsi="Times New Roman"/>
                      <w:color w:val="auto"/>
                      <w:sz w:val="21"/>
                      <w:szCs w:val="21"/>
                    </w:rPr>
                  </w:pPr>
                </w:p>
              </w:tc>
            </w:tr>
          </w:tbl>
          <w:p>
            <w:pPr>
              <w:wordWrap w:val="0"/>
              <w:adjustRightInd w:val="0"/>
              <w:snapToGrid w:val="0"/>
              <w:spacing w:line="360" w:lineRule="auto"/>
              <w:ind w:firstLine="361" w:firstLineChars="200"/>
              <w:rPr>
                <w:b/>
                <w:color w:val="auto"/>
                <w:sz w:val="24"/>
              </w:rPr>
            </w:pPr>
            <w:r>
              <w:rPr>
                <w:b/>
                <w:color w:val="auto"/>
                <w:sz w:val="18"/>
                <w:szCs w:val="18"/>
              </w:rPr>
              <w:t>注*：以1#厂房西北角为原点（0,0,0），东西向X轴，南北向Y轴；房屋隔声量按20dB(A）计。</w:t>
            </w:r>
          </w:p>
          <w:p>
            <w:pPr>
              <w:wordWrap w:val="0"/>
              <w:spacing w:line="360" w:lineRule="auto"/>
              <w:jc w:val="center"/>
              <w:rPr>
                <w:bCs/>
                <w:color w:val="auto"/>
                <w:szCs w:val="20"/>
              </w:rPr>
            </w:pPr>
            <w:r>
              <w:rPr>
                <w:b/>
                <w:color w:val="auto"/>
                <w:szCs w:val="20"/>
              </w:rPr>
              <w:t>表4.2-</w:t>
            </w:r>
            <w:r>
              <w:rPr>
                <w:rFonts w:hint="eastAsia"/>
                <w:b/>
                <w:color w:val="auto"/>
                <w:szCs w:val="20"/>
                <w:lang w:val="en-US" w:eastAsia="zh-CN"/>
              </w:rPr>
              <w:t>17</w:t>
            </w:r>
            <w:r>
              <w:rPr>
                <w:b/>
                <w:color w:val="auto"/>
                <w:szCs w:val="20"/>
              </w:rPr>
              <w:t xml:space="preserve"> 建设项目噪声源强调查清单（室外声源）    </w:t>
            </w:r>
            <w:r>
              <w:rPr>
                <w:bCs/>
                <w:color w:val="auto"/>
                <w:szCs w:val="20"/>
              </w:rPr>
              <w:t>单位：dB（A）</w:t>
            </w:r>
          </w:p>
          <w:tbl>
            <w:tblPr>
              <w:tblStyle w:val="20"/>
              <w:tblW w:w="47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43"/>
              <w:gridCol w:w="1132"/>
              <w:gridCol w:w="708"/>
              <w:gridCol w:w="708"/>
              <w:gridCol w:w="708"/>
              <w:gridCol w:w="852"/>
              <w:gridCol w:w="851"/>
              <w:gridCol w:w="996"/>
              <w:gridCol w:w="703"/>
              <w:gridCol w:w="97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274" w:type="pct"/>
                  <w:vMerge w:val="restart"/>
                  <w:tcMar>
                    <w:top w:w="0" w:type="dxa"/>
                    <w:left w:w="0" w:type="dxa"/>
                    <w:bottom w:w="0" w:type="dxa"/>
                    <w:right w:w="0" w:type="dxa"/>
                  </w:tcMar>
                  <w:vAlign w:val="center"/>
                </w:tcPr>
                <w:p>
                  <w:pPr>
                    <w:widowControl/>
                    <w:jc w:val="center"/>
                    <w:textAlignment w:val="center"/>
                    <w:rPr>
                      <w:b/>
                      <w:bCs/>
                      <w:color w:val="auto"/>
                      <w:szCs w:val="21"/>
                    </w:rPr>
                  </w:pPr>
                  <w:r>
                    <w:rPr>
                      <w:b/>
                      <w:bCs/>
                      <w:color w:val="auto"/>
                      <w:szCs w:val="21"/>
                    </w:rPr>
                    <w:t>序号</w:t>
                  </w:r>
                </w:p>
              </w:tc>
              <w:tc>
                <w:tcPr>
                  <w:tcW w:w="700" w:type="pct"/>
                  <w:vMerge w:val="restart"/>
                  <w:tcMar>
                    <w:top w:w="0" w:type="dxa"/>
                    <w:left w:w="0" w:type="dxa"/>
                    <w:bottom w:w="0" w:type="dxa"/>
                    <w:right w:w="0" w:type="dxa"/>
                  </w:tcMar>
                  <w:vAlign w:val="center"/>
                </w:tcPr>
                <w:p>
                  <w:pPr>
                    <w:widowControl/>
                    <w:jc w:val="center"/>
                    <w:textAlignment w:val="center"/>
                    <w:rPr>
                      <w:b/>
                      <w:bCs/>
                      <w:color w:val="auto"/>
                      <w:szCs w:val="21"/>
                    </w:rPr>
                  </w:pPr>
                  <w:r>
                    <w:rPr>
                      <w:b/>
                      <w:bCs/>
                      <w:color w:val="auto"/>
                      <w:szCs w:val="21"/>
                    </w:rPr>
                    <w:t>声源名称</w:t>
                  </w:r>
                </w:p>
              </w:tc>
              <w:tc>
                <w:tcPr>
                  <w:tcW w:w="438" w:type="pct"/>
                  <w:vMerge w:val="restart"/>
                  <w:tcMar>
                    <w:top w:w="0" w:type="dxa"/>
                    <w:left w:w="0" w:type="dxa"/>
                    <w:bottom w:w="0" w:type="dxa"/>
                    <w:right w:w="0" w:type="dxa"/>
                  </w:tcMar>
                  <w:vAlign w:val="center"/>
                </w:tcPr>
                <w:p>
                  <w:pPr>
                    <w:widowControl/>
                    <w:jc w:val="center"/>
                    <w:textAlignment w:val="center"/>
                    <w:rPr>
                      <w:b/>
                      <w:bCs/>
                      <w:color w:val="auto"/>
                      <w:szCs w:val="21"/>
                    </w:rPr>
                  </w:pPr>
                  <w:r>
                    <w:rPr>
                      <w:b/>
                      <w:bCs/>
                      <w:color w:val="auto"/>
                      <w:szCs w:val="21"/>
                    </w:rPr>
                    <w:t>数量</w:t>
                  </w:r>
                </w:p>
              </w:tc>
              <w:tc>
                <w:tcPr>
                  <w:tcW w:w="1403" w:type="pct"/>
                  <w:gridSpan w:val="3"/>
                  <w:tcMar>
                    <w:top w:w="0" w:type="dxa"/>
                    <w:left w:w="0" w:type="dxa"/>
                    <w:bottom w:w="0" w:type="dxa"/>
                    <w:right w:w="0" w:type="dxa"/>
                  </w:tcMar>
                  <w:vAlign w:val="center"/>
                </w:tcPr>
                <w:p>
                  <w:pPr>
                    <w:widowControl/>
                    <w:jc w:val="center"/>
                    <w:textAlignment w:val="center"/>
                    <w:rPr>
                      <w:b/>
                      <w:bCs/>
                      <w:color w:val="auto"/>
                      <w:szCs w:val="21"/>
                    </w:rPr>
                  </w:pPr>
                  <w:r>
                    <w:rPr>
                      <w:b/>
                      <w:bCs/>
                      <w:color w:val="auto"/>
                      <w:szCs w:val="21"/>
                    </w:rPr>
                    <w:t>空间相对位置m</w:t>
                  </w:r>
                </w:p>
              </w:tc>
              <w:tc>
                <w:tcPr>
                  <w:tcW w:w="1142" w:type="pct"/>
                  <w:gridSpan w:val="2"/>
                  <w:tcMar>
                    <w:top w:w="0" w:type="dxa"/>
                    <w:left w:w="0" w:type="dxa"/>
                    <w:bottom w:w="0" w:type="dxa"/>
                    <w:right w:w="0" w:type="dxa"/>
                  </w:tcMar>
                  <w:vAlign w:val="center"/>
                </w:tcPr>
                <w:p>
                  <w:pPr>
                    <w:widowControl/>
                    <w:jc w:val="center"/>
                    <w:textAlignment w:val="center"/>
                    <w:rPr>
                      <w:b/>
                      <w:bCs/>
                      <w:color w:val="auto"/>
                      <w:szCs w:val="21"/>
                    </w:rPr>
                  </w:pPr>
                  <w:r>
                    <w:rPr>
                      <w:b/>
                      <w:bCs/>
                      <w:color w:val="auto"/>
                      <w:szCs w:val="21"/>
                    </w:rPr>
                    <w:t>声源源强</w:t>
                  </w:r>
                </w:p>
              </w:tc>
              <w:tc>
                <w:tcPr>
                  <w:tcW w:w="435" w:type="pct"/>
                  <w:vMerge w:val="restart"/>
                  <w:tcMar>
                    <w:top w:w="0" w:type="dxa"/>
                    <w:left w:w="0" w:type="dxa"/>
                    <w:bottom w:w="0" w:type="dxa"/>
                    <w:right w:w="0" w:type="dxa"/>
                  </w:tcMar>
                  <w:vAlign w:val="center"/>
                </w:tcPr>
                <w:p>
                  <w:pPr>
                    <w:widowControl/>
                    <w:jc w:val="center"/>
                    <w:textAlignment w:val="center"/>
                    <w:rPr>
                      <w:b/>
                      <w:bCs/>
                      <w:color w:val="auto"/>
                      <w:szCs w:val="21"/>
                    </w:rPr>
                  </w:pPr>
                  <w:r>
                    <w:rPr>
                      <w:b/>
                      <w:bCs/>
                      <w:color w:val="auto"/>
                      <w:szCs w:val="21"/>
                    </w:rPr>
                    <w:t>运行时段</w:t>
                  </w:r>
                </w:p>
              </w:tc>
              <w:tc>
                <w:tcPr>
                  <w:tcW w:w="603" w:type="pct"/>
                  <w:vMerge w:val="restart"/>
                  <w:tcMar>
                    <w:top w:w="0" w:type="dxa"/>
                    <w:left w:w="0" w:type="dxa"/>
                    <w:bottom w:w="0" w:type="dxa"/>
                    <w:right w:w="0" w:type="dxa"/>
                  </w:tcMar>
                  <w:vAlign w:val="center"/>
                </w:tcPr>
                <w:p>
                  <w:pPr>
                    <w:widowControl/>
                    <w:jc w:val="center"/>
                    <w:textAlignment w:val="center"/>
                    <w:rPr>
                      <w:b/>
                      <w:bCs/>
                      <w:color w:val="auto"/>
                      <w:szCs w:val="21"/>
                    </w:rPr>
                  </w:pPr>
                  <w:r>
                    <w:rPr>
                      <w:b/>
                      <w:bCs/>
                      <w:color w:val="auto"/>
                      <w:szCs w:val="21"/>
                    </w:rPr>
                    <w:t>声源控制</w:t>
                  </w:r>
                </w:p>
                <w:p>
                  <w:pPr>
                    <w:widowControl/>
                    <w:jc w:val="center"/>
                    <w:textAlignment w:val="center"/>
                    <w:rPr>
                      <w:b/>
                      <w:bCs/>
                      <w:color w:val="auto"/>
                      <w:szCs w:val="21"/>
                    </w:rPr>
                  </w:pPr>
                  <w:r>
                    <w:rPr>
                      <w:b/>
                      <w:bCs/>
                      <w:color w:val="auto"/>
                      <w:szCs w:val="21"/>
                    </w:rPr>
                    <w:t>措施</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274" w:type="pct"/>
                  <w:vMerge w:val="continue"/>
                  <w:tcMar>
                    <w:top w:w="0" w:type="dxa"/>
                    <w:left w:w="0" w:type="dxa"/>
                    <w:bottom w:w="0" w:type="dxa"/>
                    <w:right w:w="0" w:type="dxa"/>
                  </w:tcMar>
                  <w:vAlign w:val="center"/>
                </w:tcPr>
                <w:p>
                  <w:pPr>
                    <w:widowControl/>
                    <w:jc w:val="center"/>
                    <w:textAlignment w:val="center"/>
                    <w:rPr>
                      <w:b/>
                      <w:bCs/>
                      <w:color w:val="auto"/>
                      <w:szCs w:val="21"/>
                    </w:rPr>
                  </w:pPr>
                </w:p>
              </w:tc>
              <w:tc>
                <w:tcPr>
                  <w:tcW w:w="700" w:type="pct"/>
                  <w:vMerge w:val="continue"/>
                  <w:tcMar>
                    <w:top w:w="0" w:type="dxa"/>
                    <w:left w:w="0" w:type="dxa"/>
                    <w:bottom w:w="0" w:type="dxa"/>
                    <w:right w:w="0" w:type="dxa"/>
                  </w:tcMar>
                  <w:vAlign w:val="center"/>
                </w:tcPr>
                <w:p>
                  <w:pPr>
                    <w:widowControl/>
                    <w:jc w:val="center"/>
                    <w:textAlignment w:val="center"/>
                    <w:rPr>
                      <w:b/>
                      <w:bCs/>
                      <w:color w:val="auto"/>
                      <w:szCs w:val="21"/>
                    </w:rPr>
                  </w:pPr>
                </w:p>
              </w:tc>
              <w:tc>
                <w:tcPr>
                  <w:tcW w:w="438" w:type="pct"/>
                  <w:vMerge w:val="continue"/>
                  <w:tcMar>
                    <w:top w:w="0" w:type="dxa"/>
                    <w:left w:w="0" w:type="dxa"/>
                    <w:bottom w:w="0" w:type="dxa"/>
                    <w:right w:w="0" w:type="dxa"/>
                  </w:tcMar>
                  <w:vAlign w:val="center"/>
                </w:tcPr>
                <w:p>
                  <w:pPr>
                    <w:widowControl/>
                    <w:jc w:val="center"/>
                    <w:textAlignment w:val="center"/>
                    <w:rPr>
                      <w:b/>
                      <w:bCs/>
                      <w:color w:val="auto"/>
                      <w:szCs w:val="21"/>
                    </w:rPr>
                  </w:pPr>
                </w:p>
              </w:tc>
              <w:tc>
                <w:tcPr>
                  <w:tcW w:w="438" w:type="pct"/>
                  <w:tcMar>
                    <w:top w:w="0" w:type="dxa"/>
                    <w:left w:w="0" w:type="dxa"/>
                    <w:bottom w:w="0" w:type="dxa"/>
                    <w:right w:w="0" w:type="dxa"/>
                  </w:tcMar>
                  <w:vAlign w:val="center"/>
                </w:tcPr>
                <w:p>
                  <w:pPr>
                    <w:widowControl/>
                    <w:jc w:val="center"/>
                    <w:textAlignment w:val="center"/>
                    <w:rPr>
                      <w:b/>
                      <w:bCs/>
                      <w:color w:val="auto"/>
                      <w:szCs w:val="21"/>
                    </w:rPr>
                  </w:pPr>
                  <w:r>
                    <w:rPr>
                      <w:b/>
                      <w:bCs/>
                      <w:color w:val="auto"/>
                      <w:szCs w:val="21"/>
                    </w:rPr>
                    <w:t>x</w:t>
                  </w:r>
                </w:p>
              </w:tc>
              <w:tc>
                <w:tcPr>
                  <w:tcW w:w="438" w:type="pct"/>
                  <w:tcMar>
                    <w:top w:w="0" w:type="dxa"/>
                    <w:left w:w="0" w:type="dxa"/>
                    <w:bottom w:w="0" w:type="dxa"/>
                    <w:right w:w="0" w:type="dxa"/>
                  </w:tcMar>
                  <w:vAlign w:val="center"/>
                </w:tcPr>
                <w:p>
                  <w:pPr>
                    <w:widowControl/>
                    <w:jc w:val="center"/>
                    <w:textAlignment w:val="center"/>
                    <w:rPr>
                      <w:b/>
                      <w:bCs/>
                      <w:color w:val="auto"/>
                      <w:szCs w:val="21"/>
                    </w:rPr>
                  </w:pPr>
                  <w:r>
                    <w:rPr>
                      <w:b/>
                      <w:bCs/>
                      <w:color w:val="auto"/>
                      <w:szCs w:val="21"/>
                    </w:rPr>
                    <w:t>y</w:t>
                  </w:r>
                </w:p>
              </w:tc>
              <w:tc>
                <w:tcPr>
                  <w:tcW w:w="526" w:type="pct"/>
                  <w:tcMar>
                    <w:top w:w="0" w:type="dxa"/>
                    <w:left w:w="0" w:type="dxa"/>
                    <w:bottom w:w="0" w:type="dxa"/>
                    <w:right w:w="0" w:type="dxa"/>
                  </w:tcMar>
                  <w:vAlign w:val="center"/>
                </w:tcPr>
                <w:p>
                  <w:pPr>
                    <w:widowControl/>
                    <w:jc w:val="center"/>
                    <w:textAlignment w:val="center"/>
                    <w:rPr>
                      <w:b/>
                      <w:bCs/>
                      <w:color w:val="auto"/>
                      <w:szCs w:val="21"/>
                    </w:rPr>
                  </w:pPr>
                  <w:r>
                    <w:rPr>
                      <w:b/>
                      <w:bCs/>
                      <w:color w:val="auto"/>
                      <w:szCs w:val="21"/>
                    </w:rPr>
                    <w:t>z</w:t>
                  </w:r>
                </w:p>
              </w:tc>
              <w:tc>
                <w:tcPr>
                  <w:tcW w:w="526" w:type="pct"/>
                  <w:tcMar>
                    <w:top w:w="0" w:type="dxa"/>
                    <w:left w:w="0" w:type="dxa"/>
                    <w:bottom w:w="0" w:type="dxa"/>
                    <w:right w:w="0" w:type="dxa"/>
                  </w:tcMar>
                  <w:vAlign w:val="center"/>
                </w:tcPr>
                <w:p>
                  <w:pPr>
                    <w:widowControl/>
                    <w:jc w:val="center"/>
                    <w:textAlignment w:val="center"/>
                    <w:rPr>
                      <w:b/>
                      <w:bCs/>
                      <w:color w:val="auto"/>
                      <w:szCs w:val="21"/>
                    </w:rPr>
                  </w:pPr>
                  <w:r>
                    <w:rPr>
                      <w:b/>
                      <w:bCs/>
                      <w:color w:val="auto"/>
                      <w:szCs w:val="21"/>
                    </w:rPr>
                    <w:t>声压级</w:t>
                  </w:r>
                </w:p>
              </w:tc>
              <w:tc>
                <w:tcPr>
                  <w:tcW w:w="615" w:type="pct"/>
                  <w:tcMar>
                    <w:top w:w="0" w:type="dxa"/>
                    <w:left w:w="0" w:type="dxa"/>
                    <w:bottom w:w="0" w:type="dxa"/>
                    <w:right w:w="0" w:type="dxa"/>
                  </w:tcMar>
                  <w:vAlign w:val="center"/>
                </w:tcPr>
                <w:p>
                  <w:pPr>
                    <w:widowControl/>
                    <w:jc w:val="center"/>
                    <w:textAlignment w:val="center"/>
                    <w:rPr>
                      <w:b/>
                      <w:bCs/>
                      <w:color w:val="auto"/>
                      <w:szCs w:val="21"/>
                    </w:rPr>
                  </w:pPr>
                  <w:r>
                    <w:rPr>
                      <w:b/>
                      <w:bCs/>
                      <w:color w:val="auto"/>
                      <w:szCs w:val="21"/>
                    </w:rPr>
                    <w:t>距声源距离/m</w:t>
                  </w:r>
                </w:p>
              </w:tc>
              <w:tc>
                <w:tcPr>
                  <w:tcW w:w="435" w:type="pct"/>
                  <w:vMerge w:val="continue"/>
                  <w:tcMar>
                    <w:top w:w="0" w:type="dxa"/>
                    <w:left w:w="0" w:type="dxa"/>
                    <w:bottom w:w="0" w:type="dxa"/>
                    <w:right w:w="0" w:type="dxa"/>
                  </w:tcMar>
                  <w:vAlign w:val="center"/>
                </w:tcPr>
                <w:p>
                  <w:pPr>
                    <w:widowControl/>
                    <w:jc w:val="center"/>
                    <w:textAlignment w:val="center"/>
                    <w:rPr>
                      <w:color w:val="auto"/>
                      <w:szCs w:val="21"/>
                    </w:rPr>
                  </w:pPr>
                </w:p>
              </w:tc>
              <w:tc>
                <w:tcPr>
                  <w:tcW w:w="603" w:type="pct"/>
                  <w:vMerge w:val="continue"/>
                  <w:tcMar>
                    <w:top w:w="0" w:type="dxa"/>
                    <w:left w:w="0" w:type="dxa"/>
                    <w:bottom w:w="0" w:type="dxa"/>
                    <w:right w:w="0" w:type="dxa"/>
                  </w:tcMar>
                  <w:vAlign w:val="center"/>
                </w:tcPr>
                <w:p>
                  <w:pPr>
                    <w:widowControl/>
                    <w:jc w:val="center"/>
                    <w:textAlignment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274" w:type="pct"/>
                  <w:tcMar>
                    <w:top w:w="0" w:type="dxa"/>
                    <w:left w:w="0" w:type="dxa"/>
                    <w:bottom w:w="0" w:type="dxa"/>
                    <w:right w:w="0" w:type="dxa"/>
                  </w:tcMar>
                  <w:vAlign w:val="center"/>
                </w:tcPr>
                <w:p>
                  <w:pPr>
                    <w:widowControl/>
                    <w:jc w:val="center"/>
                    <w:textAlignment w:val="center"/>
                    <w:rPr>
                      <w:color w:val="auto"/>
                      <w:szCs w:val="21"/>
                    </w:rPr>
                  </w:pPr>
                  <w:r>
                    <w:rPr>
                      <w:color w:val="auto"/>
                      <w:szCs w:val="21"/>
                    </w:rPr>
                    <w:t>1</w:t>
                  </w:r>
                </w:p>
              </w:tc>
              <w:tc>
                <w:tcPr>
                  <w:tcW w:w="700" w:type="pct"/>
                  <w:tcMar>
                    <w:top w:w="0" w:type="dxa"/>
                    <w:left w:w="0" w:type="dxa"/>
                    <w:bottom w:w="0" w:type="dxa"/>
                    <w:right w:w="0" w:type="dxa"/>
                  </w:tcMar>
                  <w:vAlign w:val="center"/>
                </w:tcPr>
                <w:p>
                  <w:pPr>
                    <w:widowControl/>
                    <w:jc w:val="center"/>
                    <w:textAlignment w:val="center"/>
                    <w:rPr>
                      <w:color w:val="auto"/>
                      <w:szCs w:val="21"/>
                    </w:rPr>
                  </w:pPr>
                  <w:r>
                    <w:rPr>
                      <w:color w:val="auto"/>
                      <w:szCs w:val="21"/>
                    </w:rPr>
                    <w:t>空压机</w:t>
                  </w:r>
                </w:p>
              </w:tc>
              <w:tc>
                <w:tcPr>
                  <w:tcW w:w="438" w:type="pct"/>
                  <w:tcMar>
                    <w:top w:w="0" w:type="dxa"/>
                    <w:left w:w="0" w:type="dxa"/>
                    <w:bottom w:w="0" w:type="dxa"/>
                    <w:right w:w="0" w:type="dxa"/>
                  </w:tcMar>
                  <w:vAlign w:val="center"/>
                </w:tcPr>
                <w:p>
                  <w:pPr>
                    <w:widowControl/>
                    <w:jc w:val="center"/>
                    <w:textAlignment w:val="center"/>
                    <w:rPr>
                      <w:color w:val="auto"/>
                      <w:szCs w:val="21"/>
                    </w:rPr>
                  </w:pPr>
                  <w:r>
                    <w:rPr>
                      <w:color w:val="auto"/>
                      <w:szCs w:val="21"/>
                    </w:rPr>
                    <w:t>1</w:t>
                  </w:r>
                </w:p>
              </w:tc>
              <w:tc>
                <w:tcPr>
                  <w:tcW w:w="438" w:type="pct"/>
                  <w:tcMar>
                    <w:top w:w="0" w:type="dxa"/>
                    <w:left w:w="0" w:type="dxa"/>
                    <w:bottom w:w="0" w:type="dxa"/>
                    <w:right w:w="0" w:type="dxa"/>
                  </w:tcMar>
                  <w:vAlign w:val="center"/>
                </w:tcPr>
                <w:p>
                  <w:pPr>
                    <w:widowControl/>
                    <w:jc w:val="center"/>
                    <w:textAlignment w:val="center"/>
                    <w:rPr>
                      <w:color w:val="auto"/>
                      <w:szCs w:val="21"/>
                    </w:rPr>
                  </w:pPr>
                  <w:r>
                    <w:rPr>
                      <w:color w:val="auto"/>
                      <w:szCs w:val="21"/>
                    </w:rPr>
                    <w:t>-5</w:t>
                  </w:r>
                </w:p>
              </w:tc>
              <w:tc>
                <w:tcPr>
                  <w:tcW w:w="438" w:type="pct"/>
                  <w:tcMar>
                    <w:top w:w="0" w:type="dxa"/>
                    <w:left w:w="0" w:type="dxa"/>
                    <w:bottom w:w="0" w:type="dxa"/>
                    <w:right w:w="0" w:type="dxa"/>
                  </w:tcMar>
                  <w:vAlign w:val="center"/>
                </w:tcPr>
                <w:p>
                  <w:pPr>
                    <w:widowControl/>
                    <w:jc w:val="center"/>
                    <w:textAlignment w:val="center"/>
                    <w:rPr>
                      <w:color w:val="auto"/>
                      <w:szCs w:val="21"/>
                    </w:rPr>
                  </w:pPr>
                  <w:r>
                    <w:rPr>
                      <w:color w:val="auto"/>
                      <w:szCs w:val="21"/>
                    </w:rPr>
                    <w:t>10.2</w:t>
                  </w:r>
                </w:p>
              </w:tc>
              <w:tc>
                <w:tcPr>
                  <w:tcW w:w="526" w:type="pct"/>
                  <w:tcMar>
                    <w:top w:w="0" w:type="dxa"/>
                    <w:left w:w="0" w:type="dxa"/>
                    <w:bottom w:w="0" w:type="dxa"/>
                    <w:right w:w="0" w:type="dxa"/>
                  </w:tcMar>
                  <w:vAlign w:val="center"/>
                </w:tcPr>
                <w:p>
                  <w:pPr>
                    <w:widowControl/>
                    <w:jc w:val="center"/>
                    <w:textAlignment w:val="center"/>
                    <w:rPr>
                      <w:color w:val="auto"/>
                      <w:szCs w:val="21"/>
                    </w:rPr>
                  </w:pPr>
                  <w:r>
                    <w:rPr>
                      <w:color w:val="auto"/>
                      <w:szCs w:val="21"/>
                    </w:rPr>
                    <w:t>1.2</w:t>
                  </w:r>
                </w:p>
              </w:tc>
              <w:tc>
                <w:tcPr>
                  <w:tcW w:w="526" w:type="pct"/>
                  <w:tcMar>
                    <w:top w:w="0" w:type="dxa"/>
                    <w:left w:w="0" w:type="dxa"/>
                    <w:bottom w:w="0" w:type="dxa"/>
                    <w:right w:w="0" w:type="dxa"/>
                  </w:tcMar>
                  <w:vAlign w:val="center"/>
                </w:tcPr>
                <w:p>
                  <w:pPr>
                    <w:widowControl/>
                    <w:jc w:val="center"/>
                    <w:textAlignment w:val="center"/>
                    <w:rPr>
                      <w:color w:val="auto"/>
                      <w:szCs w:val="21"/>
                    </w:rPr>
                  </w:pPr>
                  <w:r>
                    <w:rPr>
                      <w:color w:val="auto"/>
                      <w:szCs w:val="21"/>
                    </w:rPr>
                    <w:t>85</w:t>
                  </w:r>
                </w:p>
              </w:tc>
              <w:tc>
                <w:tcPr>
                  <w:tcW w:w="615" w:type="pct"/>
                  <w:tcMar>
                    <w:top w:w="0" w:type="dxa"/>
                    <w:left w:w="0" w:type="dxa"/>
                    <w:bottom w:w="0" w:type="dxa"/>
                    <w:right w:w="0" w:type="dxa"/>
                  </w:tcMar>
                  <w:vAlign w:val="center"/>
                </w:tcPr>
                <w:p>
                  <w:pPr>
                    <w:widowControl/>
                    <w:jc w:val="center"/>
                    <w:textAlignment w:val="center"/>
                    <w:rPr>
                      <w:color w:val="auto"/>
                      <w:szCs w:val="21"/>
                    </w:rPr>
                  </w:pPr>
                  <w:r>
                    <w:rPr>
                      <w:color w:val="auto"/>
                      <w:szCs w:val="21"/>
                    </w:rPr>
                    <w:t>1</w:t>
                  </w:r>
                </w:p>
              </w:tc>
              <w:tc>
                <w:tcPr>
                  <w:tcW w:w="435" w:type="pct"/>
                  <w:vMerge w:val="restart"/>
                  <w:tcMar>
                    <w:top w:w="0" w:type="dxa"/>
                    <w:left w:w="0" w:type="dxa"/>
                    <w:bottom w:w="0" w:type="dxa"/>
                    <w:right w:w="0" w:type="dxa"/>
                  </w:tcMar>
                  <w:vAlign w:val="center"/>
                </w:tcPr>
                <w:p>
                  <w:pPr>
                    <w:widowControl/>
                    <w:jc w:val="center"/>
                    <w:textAlignment w:val="center"/>
                    <w:rPr>
                      <w:color w:val="auto"/>
                      <w:szCs w:val="21"/>
                    </w:rPr>
                  </w:pPr>
                  <w:r>
                    <w:rPr>
                      <w:color w:val="auto"/>
                      <w:szCs w:val="21"/>
                    </w:rPr>
                    <w:t>9:00-17:00年运行300天</w:t>
                  </w:r>
                </w:p>
              </w:tc>
              <w:tc>
                <w:tcPr>
                  <w:tcW w:w="603" w:type="pct"/>
                  <w:vMerge w:val="restart"/>
                  <w:tcMar>
                    <w:top w:w="0" w:type="dxa"/>
                    <w:left w:w="0" w:type="dxa"/>
                    <w:bottom w:w="0" w:type="dxa"/>
                    <w:right w:w="0" w:type="dxa"/>
                  </w:tcMar>
                  <w:vAlign w:val="center"/>
                </w:tcPr>
                <w:p>
                  <w:pPr>
                    <w:widowControl/>
                    <w:jc w:val="center"/>
                    <w:textAlignment w:val="center"/>
                    <w:rPr>
                      <w:color w:val="auto"/>
                      <w:szCs w:val="21"/>
                    </w:rPr>
                  </w:pPr>
                  <w:r>
                    <w:rPr>
                      <w:color w:val="auto"/>
                      <w:szCs w:val="21"/>
                    </w:rPr>
                    <w:t>基础减振</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274" w:type="pct"/>
                  <w:tcMar>
                    <w:top w:w="0" w:type="dxa"/>
                    <w:left w:w="0" w:type="dxa"/>
                    <w:bottom w:w="0" w:type="dxa"/>
                    <w:right w:w="0" w:type="dxa"/>
                  </w:tcMar>
                  <w:vAlign w:val="center"/>
                </w:tcPr>
                <w:p>
                  <w:pPr>
                    <w:widowControl/>
                    <w:jc w:val="center"/>
                    <w:textAlignment w:val="center"/>
                    <w:rPr>
                      <w:color w:val="auto"/>
                      <w:szCs w:val="21"/>
                    </w:rPr>
                  </w:pPr>
                  <w:r>
                    <w:rPr>
                      <w:rFonts w:hint="eastAsia"/>
                      <w:color w:val="auto"/>
                      <w:szCs w:val="21"/>
                    </w:rPr>
                    <w:t>2</w:t>
                  </w:r>
                </w:p>
              </w:tc>
              <w:tc>
                <w:tcPr>
                  <w:tcW w:w="700" w:type="pct"/>
                  <w:tcMar>
                    <w:top w:w="0" w:type="dxa"/>
                    <w:left w:w="0" w:type="dxa"/>
                    <w:bottom w:w="0" w:type="dxa"/>
                    <w:right w:w="0" w:type="dxa"/>
                  </w:tcMar>
                  <w:vAlign w:val="center"/>
                </w:tcPr>
                <w:p>
                  <w:pPr>
                    <w:widowControl/>
                    <w:jc w:val="center"/>
                    <w:textAlignment w:val="center"/>
                    <w:rPr>
                      <w:color w:val="auto"/>
                      <w:szCs w:val="21"/>
                    </w:rPr>
                  </w:pPr>
                  <w:r>
                    <w:rPr>
                      <w:rFonts w:hint="eastAsia"/>
                      <w:color w:val="auto"/>
                      <w:szCs w:val="21"/>
                    </w:rPr>
                    <w:t>风机</w:t>
                  </w:r>
                </w:p>
              </w:tc>
              <w:tc>
                <w:tcPr>
                  <w:tcW w:w="438" w:type="pct"/>
                  <w:tcMar>
                    <w:top w:w="0" w:type="dxa"/>
                    <w:left w:w="0" w:type="dxa"/>
                    <w:bottom w:w="0" w:type="dxa"/>
                    <w:right w:w="0" w:type="dxa"/>
                  </w:tcMar>
                  <w:vAlign w:val="center"/>
                </w:tcPr>
                <w:p>
                  <w:pPr>
                    <w:widowControl/>
                    <w:jc w:val="center"/>
                    <w:textAlignment w:val="center"/>
                    <w:rPr>
                      <w:rFonts w:hint="eastAsia" w:eastAsia="宋体"/>
                      <w:color w:val="auto"/>
                      <w:szCs w:val="21"/>
                      <w:lang w:eastAsia="zh-CN"/>
                    </w:rPr>
                  </w:pPr>
                  <w:r>
                    <w:rPr>
                      <w:rFonts w:hint="eastAsia"/>
                      <w:color w:val="auto"/>
                      <w:szCs w:val="21"/>
                      <w:lang w:val="en-US" w:eastAsia="zh-CN"/>
                    </w:rPr>
                    <w:t>2</w:t>
                  </w:r>
                </w:p>
              </w:tc>
              <w:tc>
                <w:tcPr>
                  <w:tcW w:w="438" w:type="pct"/>
                  <w:tcMar>
                    <w:top w:w="0" w:type="dxa"/>
                    <w:left w:w="0" w:type="dxa"/>
                    <w:bottom w:w="0" w:type="dxa"/>
                    <w:right w:w="0" w:type="dxa"/>
                  </w:tcMar>
                  <w:vAlign w:val="center"/>
                </w:tcPr>
                <w:p>
                  <w:pPr>
                    <w:widowControl/>
                    <w:jc w:val="center"/>
                    <w:textAlignment w:val="center"/>
                    <w:rPr>
                      <w:color w:val="auto"/>
                      <w:szCs w:val="21"/>
                    </w:rPr>
                  </w:pPr>
                  <w:r>
                    <w:rPr>
                      <w:rFonts w:hint="eastAsia"/>
                      <w:color w:val="auto"/>
                      <w:szCs w:val="21"/>
                    </w:rPr>
                    <w:t>-3</w:t>
                  </w:r>
                </w:p>
              </w:tc>
              <w:tc>
                <w:tcPr>
                  <w:tcW w:w="438" w:type="pct"/>
                  <w:tcMar>
                    <w:top w:w="0" w:type="dxa"/>
                    <w:left w:w="0" w:type="dxa"/>
                    <w:bottom w:w="0" w:type="dxa"/>
                    <w:right w:w="0" w:type="dxa"/>
                  </w:tcMar>
                  <w:vAlign w:val="center"/>
                </w:tcPr>
                <w:p>
                  <w:pPr>
                    <w:widowControl/>
                    <w:jc w:val="center"/>
                    <w:textAlignment w:val="center"/>
                    <w:rPr>
                      <w:color w:val="auto"/>
                      <w:szCs w:val="21"/>
                    </w:rPr>
                  </w:pPr>
                  <w:r>
                    <w:rPr>
                      <w:rFonts w:hint="eastAsia"/>
                      <w:color w:val="auto"/>
                      <w:szCs w:val="21"/>
                    </w:rPr>
                    <w:t>10</w:t>
                  </w:r>
                </w:p>
              </w:tc>
              <w:tc>
                <w:tcPr>
                  <w:tcW w:w="526" w:type="pct"/>
                  <w:tcMar>
                    <w:top w:w="0" w:type="dxa"/>
                    <w:left w:w="0" w:type="dxa"/>
                    <w:bottom w:w="0" w:type="dxa"/>
                    <w:right w:w="0" w:type="dxa"/>
                  </w:tcMar>
                  <w:vAlign w:val="center"/>
                </w:tcPr>
                <w:p>
                  <w:pPr>
                    <w:widowControl/>
                    <w:jc w:val="center"/>
                    <w:textAlignment w:val="center"/>
                    <w:rPr>
                      <w:color w:val="auto"/>
                      <w:szCs w:val="21"/>
                    </w:rPr>
                  </w:pPr>
                  <w:r>
                    <w:rPr>
                      <w:rFonts w:hint="eastAsia"/>
                      <w:color w:val="auto"/>
                      <w:szCs w:val="21"/>
                    </w:rPr>
                    <w:t>1.5</w:t>
                  </w:r>
                </w:p>
              </w:tc>
              <w:tc>
                <w:tcPr>
                  <w:tcW w:w="526" w:type="pct"/>
                  <w:tcMar>
                    <w:top w:w="0" w:type="dxa"/>
                    <w:left w:w="0" w:type="dxa"/>
                    <w:bottom w:w="0" w:type="dxa"/>
                    <w:right w:w="0" w:type="dxa"/>
                  </w:tcMar>
                  <w:vAlign w:val="center"/>
                </w:tcPr>
                <w:p>
                  <w:pPr>
                    <w:widowControl/>
                    <w:jc w:val="center"/>
                    <w:textAlignment w:val="center"/>
                    <w:rPr>
                      <w:color w:val="auto"/>
                      <w:szCs w:val="21"/>
                    </w:rPr>
                  </w:pPr>
                  <w:r>
                    <w:rPr>
                      <w:rFonts w:hint="eastAsia"/>
                      <w:color w:val="auto"/>
                      <w:szCs w:val="21"/>
                    </w:rPr>
                    <w:t>85</w:t>
                  </w:r>
                </w:p>
              </w:tc>
              <w:tc>
                <w:tcPr>
                  <w:tcW w:w="615" w:type="pct"/>
                  <w:tcMar>
                    <w:top w:w="0" w:type="dxa"/>
                    <w:left w:w="0" w:type="dxa"/>
                    <w:bottom w:w="0" w:type="dxa"/>
                    <w:right w:w="0" w:type="dxa"/>
                  </w:tcMar>
                  <w:vAlign w:val="center"/>
                </w:tcPr>
                <w:p>
                  <w:pPr>
                    <w:widowControl/>
                    <w:jc w:val="center"/>
                    <w:textAlignment w:val="center"/>
                    <w:rPr>
                      <w:color w:val="auto"/>
                      <w:szCs w:val="21"/>
                    </w:rPr>
                  </w:pPr>
                  <w:r>
                    <w:rPr>
                      <w:rFonts w:hint="eastAsia"/>
                      <w:color w:val="auto"/>
                      <w:szCs w:val="21"/>
                    </w:rPr>
                    <w:t>1</w:t>
                  </w:r>
                </w:p>
              </w:tc>
              <w:tc>
                <w:tcPr>
                  <w:tcW w:w="435" w:type="pct"/>
                  <w:vMerge w:val="continue"/>
                  <w:tcMar>
                    <w:top w:w="0" w:type="dxa"/>
                    <w:left w:w="0" w:type="dxa"/>
                    <w:bottom w:w="0" w:type="dxa"/>
                    <w:right w:w="0" w:type="dxa"/>
                  </w:tcMar>
                  <w:vAlign w:val="center"/>
                </w:tcPr>
                <w:p>
                  <w:pPr>
                    <w:widowControl/>
                    <w:jc w:val="center"/>
                    <w:textAlignment w:val="center"/>
                    <w:rPr>
                      <w:color w:val="auto"/>
                      <w:szCs w:val="21"/>
                    </w:rPr>
                  </w:pPr>
                </w:p>
              </w:tc>
              <w:tc>
                <w:tcPr>
                  <w:tcW w:w="603" w:type="pct"/>
                  <w:vMerge w:val="continue"/>
                  <w:tcMar>
                    <w:top w:w="0" w:type="dxa"/>
                    <w:left w:w="0" w:type="dxa"/>
                    <w:bottom w:w="0" w:type="dxa"/>
                    <w:right w:w="0" w:type="dxa"/>
                  </w:tcMar>
                  <w:vAlign w:val="center"/>
                </w:tcPr>
                <w:p>
                  <w:pPr>
                    <w:widowControl/>
                    <w:jc w:val="center"/>
                    <w:textAlignment w:val="center"/>
                    <w:rPr>
                      <w:color w:val="auto"/>
                      <w:szCs w:val="21"/>
                    </w:rPr>
                  </w:pPr>
                </w:p>
              </w:tc>
            </w:tr>
          </w:tbl>
          <w:p>
            <w:pPr>
              <w:wordWrap w:val="0"/>
              <w:adjustRightInd w:val="0"/>
              <w:snapToGrid w:val="0"/>
              <w:spacing w:line="360" w:lineRule="auto"/>
              <w:ind w:firstLine="482" w:firstLineChars="200"/>
              <w:rPr>
                <w:b/>
                <w:color w:val="auto"/>
                <w:sz w:val="24"/>
              </w:rPr>
            </w:pPr>
            <w:r>
              <w:rPr>
                <w:b/>
                <w:color w:val="auto"/>
                <w:sz w:val="24"/>
              </w:rPr>
              <w:t>3.2噪声环境影响分析</w:t>
            </w:r>
          </w:p>
          <w:p>
            <w:pPr>
              <w:wordWrap w:val="0"/>
              <w:spacing w:line="360" w:lineRule="auto"/>
              <w:ind w:firstLine="480" w:firstLineChars="200"/>
              <w:rPr>
                <w:color w:val="auto"/>
                <w:sz w:val="24"/>
              </w:rPr>
            </w:pPr>
            <w:r>
              <w:rPr>
                <w:color w:val="auto"/>
                <w:sz w:val="24"/>
              </w:rPr>
              <w:t>声环境影响预测：根据《环境影响评价技术导则 声环境》（HJ2.4-2021）的规定选取预测模式；应用过程中将根据具体情况做必要简化，计算过程如下：</w:t>
            </w:r>
          </w:p>
          <w:p>
            <w:pPr>
              <w:pStyle w:val="45"/>
              <w:wordWrap w:val="0"/>
              <w:rPr>
                <w:color w:val="auto"/>
                <w:kern w:val="44"/>
              </w:rPr>
            </w:pPr>
            <w:r>
              <w:rPr>
                <w:color w:val="auto"/>
                <w:kern w:val="44"/>
              </w:rPr>
              <w:t>室外点声源在预测点产生的声级计算公式：</w:t>
            </w:r>
          </w:p>
          <w:p>
            <w:pPr>
              <w:pStyle w:val="45"/>
              <w:wordWrap w:val="0"/>
              <w:rPr>
                <w:color w:val="auto"/>
                <w:kern w:val="44"/>
              </w:rPr>
            </w:pPr>
            <w:r>
              <w:rPr>
                <w:color w:val="auto"/>
                <w:kern w:val="44"/>
              </w:rPr>
              <w:t>A、已知声源的倍频带声功率级时，预测点位置的倍频带声压级L</w:t>
            </w:r>
            <w:r>
              <w:rPr>
                <w:color w:val="auto"/>
                <w:kern w:val="44"/>
                <w:vertAlign w:val="subscript"/>
              </w:rPr>
              <w:t>p</w:t>
            </w:r>
            <w:r>
              <w:rPr>
                <w:color w:val="auto"/>
                <w:kern w:val="44"/>
              </w:rPr>
              <w:t>（r）计算公式为：</w:t>
            </w:r>
          </w:p>
          <w:p>
            <w:pPr>
              <w:pStyle w:val="45"/>
              <w:wordWrap w:val="0"/>
              <w:ind w:firstLine="0" w:firstLineChars="0"/>
              <w:jc w:val="center"/>
              <w:rPr>
                <w:color w:val="auto"/>
              </w:rPr>
            </w:pPr>
            <w:r>
              <w:rPr>
                <w:color w:val="auto"/>
              </w:rPr>
              <w:t>L</w:t>
            </w:r>
            <w:r>
              <w:rPr>
                <w:color w:val="auto"/>
                <w:vertAlign w:val="subscript"/>
              </w:rPr>
              <w:t>p</w:t>
            </w:r>
            <w:r>
              <w:rPr>
                <w:color w:val="auto"/>
              </w:rPr>
              <w:t>（r）=L</w:t>
            </w:r>
            <w:r>
              <w:rPr>
                <w:color w:val="auto"/>
                <w:vertAlign w:val="subscript"/>
              </w:rPr>
              <w:t>w</w:t>
            </w:r>
            <w:r>
              <w:rPr>
                <w:color w:val="auto"/>
              </w:rPr>
              <w:t>+D</w:t>
            </w:r>
            <w:r>
              <w:rPr>
                <w:color w:val="auto"/>
                <w:vertAlign w:val="subscript"/>
              </w:rPr>
              <w:t>c</w:t>
            </w:r>
            <w:r>
              <w:rPr>
                <w:color w:val="auto"/>
              </w:rPr>
              <w:t>－A</w:t>
            </w:r>
          </w:p>
          <w:p>
            <w:pPr>
              <w:pStyle w:val="45"/>
              <w:wordWrap w:val="0"/>
              <w:ind w:firstLine="0" w:firstLineChars="0"/>
              <w:jc w:val="center"/>
              <w:rPr>
                <w:color w:val="auto"/>
                <w:lang w:val="en-US"/>
              </w:rPr>
            </w:pPr>
            <w:r>
              <w:rPr>
                <w:color w:val="auto"/>
                <w:lang w:val="en-US"/>
              </w:rPr>
              <w:t>A=A</w:t>
            </w:r>
            <w:r>
              <w:rPr>
                <w:color w:val="auto"/>
                <w:vertAlign w:val="subscript"/>
                <w:lang w:val="en-US"/>
              </w:rPr>
              <w:t>div</w:t>
            </w:r>
            <w:r>
              <w:rPr>
                <w:color w:val="auto"/>
                <w:lang w:val="en-US"/>
              </w:rPr>
              <w:t>+A</w:t>
            </w:r>
            <w:r>
              <w:rPr>
                <w:color w:val="auto"/>
                <w:vertAlign w:val="subscript"/>
                <w:lang w:val="en-US"/>
              </w:rPr>
              <w:t>atm</w:t>
            </w:r>
            <w:r>
              <w:rPr>
                <w:color w:val="auto"/>
                <w:lang w:val="en-US"/>
              </w:rPr>
              <w:t>+A</w:t>
            </w:r>
            <w:r>
              <w:rPr>
                <w:color w:val="auto"/>
                <w:vertAlign w:val="subscript"/>
                <w:lang w:val="en-US"/>
              </w:rPr>
              <w:t>gr</w:t>
            </w:r>
            <w:r>
              <w:rPr>
                <w:color w:val="auto"/>
                <w:lang w:val="en-US"/>
              </w:rPr>
              <w:t>+A</w:t>
            </w:r>
            <w:r>
              <w:rPr>
                <w:color w:val="auto"/>
                <w:vertAlign w:val="subscript"/>
                <w:lang w:val="en-US"/>
              </w:rPr>
              <w:t>bar</w:t>
            </w:r>
            <w:r>
              <w:rPr>
                <w:color w:val="auto"/>
                <w:lang w:val="en-US"/>
              </w:rPr>
              <w:t>+A</w:t>
            </w:r>
            <w:r>
              <w:rPr>
                <w:color w:val="auto"/>
                <w:vertAlign w:val="subscript"/>
                <w:lang w:val="en-US"/>
              </w:rPr>
              <w:t>misc</w:t>
            </w:r>
          </w:p>
          <w:p>
            <w:pPr>
              <w:pStyle w:val="45"/>
              <w:wordWrap w:val="0"/>
              <w:rPr>
                <w:color w:val="auto"/>
              </w:rPr>
            </w:pPr>
            <w:r>
              <w:rPr>
                <w:color w:val="auto"/>
              </w:rPr>
              <w:t>式中：L</w:t>
            </w:r>
            <w:r>
              <w:rPr>
                <w:color w:val="auto"/>
                <w:vertAlign w:val="subscript"/>
              </w:rPr>
              <w:t>w</w:t>
            </w:r>
            <w:r>
              <w:rPr>
                <w:color w:val="auto"/>
              </w:rPr>
              <w:t>——声源的倍频带声功率级，dB；</w:t>
            </w:r>
          </w:p>
          <w:p>
            <w:pPr>
              <w:pStyle w:val="45"/>
              <w:wordWrap w:val="0"/>
              <w:rPr>
                <w:color w:val="auto"/>
              </w:rPr>
            </w:pPr>
            <w:r>
              <w:rPr>
                <w:color w:val="auto"/>
              </w:rPr>
              <w:t>D</w:t>
            </w:r>
            <w:r>
              <w:rPr>
                <w:color w:val="auto"/>
                <w:vertAlign w:val="subscript"/>
              </w:rPr>
              <w:t>c</w:t>
            </w:r>
            <w:r>
              <w:rPr>
                <w:color w:val="auto"/>
              </w:rPr>
              <w:t>——指向性校正，dB；对辐射到自由空间的全向点声源D</w:t>
            </w:r>
            <w:r>
              <w:rPr>
                <w:color w:val="auto"/>
                <w:vertAlign w:val="subscript"/>
              </w:rPr>
              <w:t>c</w:t>
            </w:r>
            <w:r>
              <w:rPr>
                <w:color w:val="auto"/>
              </w:rPr>
              <w:t>=0dB；</w:t>
            </w:r>
          </w:p>
          <w:p>
            <w:pPr>
              <w:pStyle w:val="45"/>
              <w:wordWrap w:val="0"/>
              <w:rPr>
                <w:color w:val="auto"/>
              </w:rPr>
            </w:pPr>
            <w:r>
              <w:rPr>
                <w:color w:val="auto"/>
              </w:rPr>
              <w:t>A——倍频带衰减，dB；</w:t>
            </w:r>
          </w:p>
          <w:p>
            <w:pPr>
              <w:pStyle w:val="45"/>
              <w:wordWrap w:val="0"/>
              <w:rPr>
                <w:color w:val="auto"/>
              </w:rPr>
            </w:pPr>
            <w:r>
              <w:rPr>
                <w:color w:val="auto"/>
              </w:rPr>
              <w:t>A</w:t>
            </w:r>
            <w:r>
              <w:rPr>
                <w:color w:val="auto"/>
                <w:vertAlign w:val="subscript"/>
              </w:rPr>
              <w:t>div</w:t>
            </w:r>
            <w:r>
              <w:rPr>
                <w:color w:val="auto"/>
              </w:rPr>
              <w:t>——几何发散引起的倍频带衰减，dB；</w:t>
            </w:r>
          </w:p>
          <w:p>
            <w:pPr>
              <w:pStyle w:val="45"/>
              <w:wordWrap w:val="0"/>
              <w:rPr>
                <w:color w:val="auto"/>
              </w:rPr>
            </w:pPr>
            <w:r>
              <w:rPr>
                <w:color w:val="auto"/>
              </w:rPr>
              <w:t>A</w:t>
            </w:r>
            <w:r>
              <w:rPr>
                <w:color w:val="auto"/>
                <w:vertAlign w:val="subscript"/>
              </w:rPr>
              <w:t>atm</w:t>
            </w:r>
            <w:r>
              <w:rPr>
                <w:color w:val="auto"/>
              </w:rPr>
              <w:t>——大气吸收引起的倍频带衰减，dB；</w:t>
            </w:r>
          </w:p>
          <w:p>
            <w:pPr>
              <w:pStyle w:val="45"/>
              <w:wordWrap w:val="0"/>
              <w:rPr>
                <w:color w:val="auto"/>
              </w:rPr>
            </w:pPr>
            <w:r>
              <w:rPr>
                <w:color w:val="auto"/>
              </w:rPr>
              <w:t>A</w:t>
            </w:r>
            <w:r>
              <w:rPr>
                <w:color w:val="auto"/>
                <w:vertAlign w:val="subscript"/>
              </w:rPr>
              <w:t>gr</w:t>
            </w:r>
            <w:r>
              <w:rPr>
                <w:color w:val="auto"/>
              </w:rPr>
              <w:t>——地面效应引起的倍频带衰减，dB；</w:t>
            </w:r>
          </w:p>
          <w:p>
            <w:pPr>
              <w:pStyle w:val="45"/>
              <w:wordWrap w:val="0"/>
              <w:rPr>
                <w:color w:val="auto"/>
              </w:rPr>
            </w:pPr>
            <w:r>
              <w:rPr>
                <w:color w:val="auto"/>
              </w:rPr>
              <w:t>A</w:t>
            </w:r>
            <w:r>
              <w:rPr>
                <w:color w:val="auto"/>
                <w:vertAlign w:val="subscript"/>
              </w:rPr>
              <w:t>bar</w:t>
            </w:r>
            <w:r>
              <w:rPr>
                <w:color w:val="auto"/>
              </w:rPr>
              <w:t>——声屏障引起的倍频带衰减，dB；</w:t>
            </w:r>
          </w:p>
          <w:p>
            <w:pPr>
              <w:pStyle w:val="45"/>
              <w:wordWrap w:val="0"/>
              <w:rPr>
                <w:color w:val="auto"/>
              </w:rPr>
            </w:pPr>
            <w:r>
              <w:rPr>
                <w:color w:val="auto"/>
              </w:rPr>
              <w:t>A</w:t>
            </w:r>
            <w:r>
              <w:rPr>
                <w:color w:val="auto"/>
                <w:vertAlign w:val="subscript"/>
              </w:rPr>
              <w:t>misc</w:t>
            </w:r>
            <w:r>
              <w:rPr>
                <w:color w:val="auto"/>
              </w:rPr>
              <w:t>——其他多方面效应引起的倍频带衰减，dB。</w:t>
            </w:r>
          </w:p>
          <w:p>
            <w:pPr>
              <w:pStyle w:val="45"/>
              <w:wordWrap w:val="0"/>
              <w:rPr>
                <w:color w:val="auto"/>
              </w:rPr>
            </w:pPr>
            <w:r>
              <w:rPr>
                <w:color w:val="auto"/>
              </w:rPr>
              <w:t>B、已知靠近声源处某点的倍频带声压级Lp（r</w:t>
            </w:r>
            <w:r>
              <w:rPr>
                <w:color w:val="auto"/>
                <w:vertAlign w:val="subscript"/>
              </w:rPr>
              <w:t>0</w:t>
            </w:r>
            <w:r>
              <w:rPr>
                <w:color w:val="auto"/>
              </w:rPr>
              <w:t>）时，预测点位置的倍频带声压级Lp（r）计算公式为：</w:t>
            </w:r>
          </w:p>
          <w:p>
            <w:pPr>
              <w:pStyle w:val="45"/>
              <w:ind w:firstLine="0" w:firstLineChars="0"/>
              <w:jc w:val="center"/>
              <w:rPr>
                <w:color w:val="auto"/>
              </w:rPr>
            </w:pPr>
            <w:r>
              <w:rPr>
                <w:color w:val="auto"/>
              </w:rPr>
              <w:t>L</w:t>
            </w:r>
            <w:r>
              <w:rPr>
                <w:color w:val="auto"/>
                <w:vertAlign w:val="subscript"/>
              </w:rPr>
              <w:t>p</w:t>
            </w:r>
            <w:r>
              <w:rPr>
                <w:color w:val="auto"/>
              </w:rPr>
              <w:t>（r）=L</w:t>
            </w:r>
            <w:r>
              <w:rPr>
                <w:color w:val="auto"/>
                <w:vertAlign w:val="subscript"/>
              </w:rPr>
              <w:t>p</w:t>
            </w:r>
            <w:r>
              <w:rPr>
                <w:color w:val="auto"/>
              </w:rPr>
              <w:t>（r</w:t>
            </w:r>
            <w:r>
              <w:rPr>
                <w:color w:val="auto"/>
                <w:vertAlign w:val="subscript"/>
              </w:rPr>
              <w:t>0</w:t>
            </w:r>
            <w:r>
              <w:rPr>
                <w:color w:val="auto"/>
              </w:rPr>
              <w:t>）－A或L</w:t>
            </w:r>
            <w:r>
              <w:rPr>
                <w:color w:val="auto"/>
                <w:vertAlign w:val="subscript"/>
              </w:rPr>
              <w:t>p</w:t>
            </w:r>
            <w:r>
              <w:rPr>
                <w:color w:val="auto"/>
              </w:rPr>
              <w:t>（r）=L</w:t>
            </w:r>
            <w:r>
              <w:rPr>
                <w:color w:val="auto"/>
                <w:vertAlign w:val="subscript"/>
              </w:rPr>
              <w:t>w</w:t>
            </w:r>
            <w:r>
              <w:rPr>
                <w:color w:val="auto"/>
              </w:rPr>
              <w:t>－A－8</w:t>
            </w:r>
          </w:p>
          <w:p>
            <w:pPr>
              <w:pStyle w:val="45"/>
              <w:wordWrap w:val="0"/>
              <w:rPr>
                <w:color w:val="auto"/>
              </w:rPr>
            </w:pPr>
            <w:r>
              <w:rPr>
                <w:color w:val="auto"/>
              </w:rPr>
              <w:t>预测点的A声级L</w:t>
            </w:r>
            <w:r>
              <w:rPr>
                <w:color w:val="auto"/>
                <w:vertAlign w:val="subscript"/>
              </w:rPr>
              <w:t>A</w:t>
            </w:r>
            <w:r>
              <w:rPr>
                <w:color w:val="auto"/>
              </w:rPr>
              <w:t>（r），可用8个倍频带的声压级按如下公式计算：</w:t>
            </w:r>
          </w:p>
          <w:p>
            <w:pPr>
              <w:wordWrap w:val="0"/>
              <w:jc w:val="center"/>
              <w:rPr>
                <w:color w:val="auto"/>
                <w:kern w:val="44"/>
                <w:szCs w:val="28"/>
              </w:rPr>
            </w:pPr>
            <w:r>
              <w:rPr>
                <w:color w:val="auto"/>
                <w:kern w:val="44"/>
                <w:position w:val="-30"/>
                <w:szCs w:val="28"/>
              </w:rPr>
              <w:drawing>
                <wp:inline distT="0" distB="0" distL="114300" distR="114300">
                  <wp:extent cx="2562225" cy="551815"/>
                  <wp:effectExtent l="0" t="0" r="9525" b="635"/>
                  <wp:docPr id="1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3"/>
                          <pic:cNvPicPr>
                            <a:picLocks noChangeAspect="1"/>
                          </pic:cNvPicPr>
                        </pic:nvPicPr>
                        <pic:blipFill>
                          <a:blip r:embed="rId22"/>
                          <a:stretch>
                            <a:fillRect/>
                          </a:stretch>
                        </pic:blipFill>
                        <pic:spPr>
                          <a:xfrm>
                            <a:off x="0" y="0"/>
                            <a:ext cx="2562225" cy="551815"/>
                          </a:xfrm>
                          <a:prstGeom prst="rect">
                            <a:avLst/>
                          </a:prstGeom>
                          <a:noFill/>
                          <a:ln>
                            <a:noFill/>
                          </a:ln>
                        </pic:spPr>
                      </pic:pic>
                    </a:graphicData>
                  </a:graphic>
                </wp:inline>
              </w:drawing>
            </w:r>
          </w:p>
          <w:p>
            <w:pPr>
              <w:pStyle w:val="45"/>
              <w:wordWrap w:val="0"/>
              <w:rPr>
                <w:color w:val="auto"/>
              </w:rPr>
            </w:pPr>
            <w:r>
              <w:rPr>
                <w:color w:val="auto"/>
              </w:rPr>
              <w:t>式中：L</w:t>
            </w:r>
            <w:r>
              <w:rPr>
                <w:color w:val="auto"/>
                <w:vertAlign w:val="subscript"/>
              </w:rPr>
              <w:t>pi</w:t>
            </w:r>
            <w:r>
              <w:rPr>
                <w:color w:val="auto"/>
              </w:rPr>
              <w:t>(r)——预测点r处，第i倍频带声压级，dB；</w:t>
            </w:r>
          </w:p>
          <w:p>
            <w:pPr>
              <w:pStyle w:val="45"/>
              <w:wordWrap w:val="0"/>
              <w:rPr>
                <w:color w:val="auto"/>
              </w:rPr>
            </w:pPr>
            <w:r>
              <w:rPr>
                <w:color w:val="auto"/>
              </w:rPr>
              <w:t>△L</w:t>
            </w:r>
            <w:r>
              <w:rPr>
                <w:color w:val="auto"/>
                <w:vertAlign w:val="subscript"/>
              </w:rPr>
              <w:t>i</w:t>
            </w:r>
            <w:r>
              <w:rPr>
                <w:color w:val="auto"/>
              </w:rPr>
              <w:t>——i倍频带A计权网络修正值，dB。</w:t>
            </w:r>
          </w:p>
          <w:p>
            <w:pPr>
              <w:pStyle w:val="45"/>
              <w:wordWrap w:val="0"/>
              <w:rPr>
                <w:color w:val="auto"/>
              </w:rPr>
            </w:pPr>
            <w:r>
              <w:rPr>
                <w:color w:val="auto"/>
              </w:rPr>
              <w:t>C、在只能获得A声功率级或某点的A声级时，可做如下近似计算：</w:t>
            </w:r>
          </w:p>
          <w:p>
            <w:pPr>
              <w:pStyle w:val="45"/>
              <w:jc w:val="center"/>
              <w:rPr>
                <w:color w:val="auto"/>
                <w:lang w:val="en-US"/>
              </w:rPr>
            </w:pPr>
            <w:r>
              <w:rPr>
                <w:color w:val="auto"/>
                <w:lang w:val="en-US"/>
              </w:rPr>
              <w:t>L</w:t>
            </w:r>
            <w:r>
              <w:rPr>
                <w:color w:val="auto"/>
                <w:vertAlign w:val="subscript"/>
                <w:lang w:val="en-US"/>
              </w:rPr>
              <w:t>A</w:t>
            </w:r>
            <w:r>
              <w:rPr>
                <w:color w:val="auto"/>
                <w:lang w:val="en-US"/>
              </w:rPr>
              <w:t>（r）=L</w:t>
            </w:r>
            <w:r>
              <w:rPr>
                <w:color w:val="auto"/>
                <w:vertAlign w:val="subscript"/>
                <w:lang w:val="en-US"/>
              </w:rPr>
              <w:t>Aw</w:t>
            </w:r>
            <w:r>
              <w:rPr>
                <w:color w:val="auto"/>
                <w:lang w:val="en-US"/>
              </w:rPr>
              <w:t>+D</w:t>
            </w:r>
            <w:r>
              <w:rPr>
                <w:color w:val="auto"/>
                <w:vertAlign w:val="subscript"/>
                <w:lang w:val="en-US"/>
              </w:rPr>
              <w:t>c</w:t>
            </w:r>
            <w:r>
              <w:rPr>
                <w:color w:val="auto"/>
                <w:lang w:val="en-US"/>
              </w:rPr>
              <w:t>－A</w:t>
            </w:r>
          </w:p>
          <w:p>
            <w:pPr>
              <w:pStyle w:val="45"/>
              <w:wordWrap w:val="0"/>
              <w:jc w:val="center"/>
              <w:rPr>
                <w:color w:val="auto"/>
                <w:lang w:val="en-US"/>
              </w:rPr>
            </w:pPr>
            <w:r>
              <w:rPr>
                <w:color w:val="auto"/>
              </w:rPr>
              <w:t>或</w:t>
            </w:r>
            <w:r>
              <w:rPr>
                <w:color w:val="auto"/>
                <w:lang w:val="en-US"/>
              </w:rPr>
              <w:t>：L</w:t>
            </w:r>
            <w:r>
              <w:rPr>
                <w:color w:val="auto"/>
                <w:vertAlign w:val="subscript"/>
                <w:lang w:val="en-US"/>
              </w:rPr>
              <w:t>A</w:t>
            </w:r>
            <w:r>
              <w:rPr>
                <w:color w:val="auto"/>
                <w:lang w:val="en-US"/>
              </w:rPr>
              <w:t>（r）=L</w:t>
            </w:r>
            <w:r>
              <w:rPr>
                <w:color w:val="auto"/>
                <w:vertAlign w:val="subscript"/>
                <w:lang w:val="en-US"/>
              </w:rPr>
              <w:t>A</w:t>
            </w:r>
            <w:r>
              <w:rPr>
                <w:color w:val="auto"/>
                <w:lang w:val="en-US"/>
              </w:rPr>
              <w:t>（r</w:t>
            </w:r>
            <w:r>
              <w:rPr>
                <w:color w:val="auto"/>
                <w:vertAlign w:val="subscript"/>
                <w:lang w:val="en-US"/>
              </w:rPr>
              <w:t>0</w:t>
            </w:r>
            <w:r>
              <w:rPr>
                <w:color w:val="auto"/>
                <w:lang w:val="en-US"/>
              </w:rPr>
              <w:t>）－A</w:t>
            </w:r>
          </w:p>
          <w:p>
            <w:pPr>
              <w:pStyle w:val="45"/>
              <w:wordWrap w:val="0"/>
              <w:rPr>
                <w:color w:val="auto"/>
              </w:rPr>
            </w:pPr>
            <w:r>
              <w:rPr>
                <w:color w:val="auto"/>
              </w:rPr>
              <w:t>A可选择对A声级影响最大的倍频带计算，一般可选中心频率为500Hz的倍频带做估算。</w:t>
            </w:r>
          </w:p>
          <w:p>
            <w:pPr>
              <w:pStyle w:val="45"/>
              <w:wordWrap w:val="0"/>
              <w:rPr>
                <w:color w:val="auto"/>
              </w:rPr>
            </w:pPr>
            <w:r>
              <w:rPr>
                <w:color w:val="auto"/>
              </w:rPr>
              <w:t>噪声预测值计算：</w:t>
            </w:r>
          </w:p>
          <w:p>
            <w:pPr>
              <w:pStyle w:val="45"/>
              <w:wordWrap w:val="0"/>
              <w:rPr>
                <w:color w:val="auto"/>
              </w:rPr>
            </w:pPr>
            <w:r>
              <w:rPr>
                <w:color w:val="auto"/>
              </w:rPr>
              <w:t>点声源的几何发散衰减为：Adiv＝20lg（r/r</w:t>
            </w:r>
            <w:r>
              <w:rPr>
                <w:color w:val="auto"/>
                <w:vertAlign w:val="subscript"/>
              </w:rPr>
              <w:t>0</w:t>
            </w:r>
            <w:r>
              <w:rPr>
                <w:color w:val="auto"/>
              </w:rPr>
              <w:t>）；其它各种因素（包括声屏障、遮挡物、空气吸收、地面效应）引起的衰减计算可详见导则。</w:t>
            </w:r>
          </w:p>
          <w:p>
            <w:pPr>
              <w:pStyle w:val="45"/>
              <w:wordWrap w:val="0"/>
              <w:rPr>
                <w:color w:val="auto"/>
              </w:rPr>
            </w:pPr>
            <w:r>
              <w:rPr>
                <w:color w:val="auto"/>
              </w:rPr>
              <w:t>建设项目声源对预测点产生的贡献值（Leqg）为：</w:t>
            </w:r>
          </w:p>
          <w:p>
            <w:pPr>
              <w:wordWrap w:val="0"/>
              <w:jc w:val="center"/>
              <w:rPr>
                <w:color w:val="auto"/>
                <w:kern w:val="44"/>
                <w:szCs w:val="28"/>
              </w:rPr>
            </w:pPr>
            <w:r>
              <w:rPr>
                <w:color w:val="auto"/>
                <w:kern w:val="44"/>
                <w:position w:val="-32"/>
                <w:szCs w:val="28"/>
              </w:rPr>
              <w:drawing>
                <wp:inline distT="0" distB="0" distL="114300" distR="114300">
                  <wp:extent cx="3476625" cy="586740"/>
                  <wp:effectExtent l="0" t="0" r="9525" b="3810"/>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23"/>
                          <a:stretch>
                            <a:fillRect/>
                          </a:stretch>
                        </pic:blipFill>
                        <pic:spPr>
                          <a:xfrm>
                            <a:off x="0" y="0"/>
                            <a:ext cx="3476625" cy="586740"/>
                          </a:xfrm>
                          <a:prstGeom prst="rect">
                            <a:avLst/>
                          </a:prstGeom>
                          <a:noFill/>
                          <a:ln>
                            <a:noFill/>
                          </a:ln>
                        </pic:spPr>
                      </pic:pic>
                    </a:graphicData>
                  </a:graphic>
                </wp:inline>
              </w:drawing>
            </w:r>
          </w:p>
          <w:p>
            <w:pPr>
              <w:pStyle w:val="45"/>
              <w:wordWrap w:val="0"/>
              <w:rPr>
                <w:color w:val="auto"/>
              </w:rPr>
            </w:pPr>
            <w:r>
              <w:rPr>
                <w:color w:val="auto"/>
              </w:rPr>
              <w:t>式中：t</w:t>
            </w:r>
            <w:r>
              <w:rPr>
                <w:color w:val="auto"/>
                <w:vertAlign w:val="subscript"/>
              </w:rPr>
              <w:t>j</w:t>
            </w:r>
            <w:r>
              <w:rPr>
                <w:color w:val="auto"/>
              </w:rPr>
              <w:t>——在T时间内j声源工作时间，s；</w:t>
            </w:r>
          </w:p>
          <w:p>
            <w:pPr>
              <w:pStyle w:val="45"/>
              <w:wordWrap w:val="0"/>
              <w:rPr>
                <w:color w:val="auto"/>
              </w:rPr>
            </w:pPr>
            <w:r>
              <w:rPr>
                <w:color w:val="auto"/>
              </w:rPr>
              <w:t>t</w:t>
            </w:r>
            <w:r>
              <w:rPr>
                <w:color w:val="auto"/>
                <w:vertAlign w:val="subscript"/>
              </w:rPr>
              <w:t>j</w:t>
            </w:r>
            <w:r>
              <w:rPr>
                <w:color w:val="auto"/>
              </w:rPr>
              <w:t>——在T时间内i声源工作时间，s；</w:t>
            </w:r>
          </w:p>
          <w:p>
            <w:pPr>
              <w:pStyle w:val="45"/>
              <w:wordWrap w:val="0"/>
              <w:rPr>
                <w:color w:val="auto"/>
              </w:rPr>
            </w:pPr>
            <w:r>
              <w:rPr>
                <w:color w:val="auto"/>
              </w:rPr>
              <w:t>T——用于计算等效声级的时间，s；</w:t>
            </w:r>
          </w:p>
          <w:p>
            <w:pPr>
              <w:pStyle w:val="45"/>
              <w:wordWrap w:val="0"/>
              <w:rPr>
                <w:color w:val="auto"/>
              </w:rPr>
            </w:pPr>
            <w:r>
              <w:rPr>
                <w:color w:val="auto"/>
              </w:rPr>
              <w:t>N——室外声源个数；</w:t>
            </w:r>
          </w:p>
          <w:p>
            <w:pPr>
              <w:pStyle w:val="45"/>
              <w:wordWrap w:val="0"/>
              <w:rPr>
                <w:color w:val="auto"/>
              </w:rPr>
            </w:pPr>
            <w:r>
              <w:rPr>
                <w:color w:val="auto"/>
              </w:rPr>
              <w:t>M——等效室外声源个数。</w:t>
            </w:r>
          </w:p>
          <w:p>
            <w:pPr>
              <w:pStyle w:val="45"/>
              <w:wordWrap w:val="0"/>
              <w:rPr>
                <w:color w:val="auto"/>
              </w:rPr>
            </w:pPr>
            <w:r>
              <w:rPr>
                <w:color w:val="auto"/>
              </w:rPr>
              <w:t>拟建工程声源对预测点等效声级为：</w:t>
            </w:r>
          </w:p>
          <w:p>
            <w:pPr>
              <w:pStyle w:val="45"/>
              <w:wordWrap w:val="0"/>
              <w:ind w:firstLine="0" w:firstLineChars="0"/>
              <w:jc w:val="center"/>
              <w:rPr>
                <w:color w:val="auto"/>
              </w:rPr>
            </w:pPr>
            <w:r>
              <w:rPr>
                <w:color w:val="auto"/>
              </w:rPr>
              <w:t>L</w:t>
            </w:r>
            <w:r>
              <w:rPr>
                <w:color w:val="auto"/>
                <w:vertAlign w:val="subscript"/>
              </w:rPr>
              <w:t>eq</w:t>
            </w:r>
            <w:r>
              <w:rPr>
                <w:color w:val="auto"/>
              </w:rPr>
              <w:t>=10lg（10</w:t>
            </w:r>
            <w:r>
              <w:rPr>
                <w:color w:val="auto"/>
                <w:vertAlign w:val="superscript"/>
              </w:rPr>
              <w:t>0.1Leqg</w:t>
            </w:r>
            <w:r>
              <w:rPr>
                <w:color w:val="auto"/>
              </w:rPr>
              <w:t>+10</w:t>
            </w:r>
            <w:r>
              <w:rPr>
                <w:color w:val="auto"/>
                <w:vertAlign w:val="superscript"/>
              </w:rPr>
              <w:t>0.1Leqb</w:t>
            </w:r>
            <w:r>
              <w:rPr>
                <w:color w:val="auto"/>
              </w:rPr>
              <w:t>）</w:t>
            </w:r>
          </w:p>
          <w:p>
            <w:pPr>
              <w:pStyle w:val="45"/>
              <w:wordWrap w:val="0"/>
              <w:rPr>
                <w:color w:val="auto"/>
              </w:rPr>
            </w:pPr>
            <w:r>
              <w:rPr>
                <w:color w:val="auto"/>
              </w:rPr>
              <w:t>式中：L</w:t>
            </w:r>
            <w:r>
              <w:rPr>
                <w:color w:val="auto"/>
                <w:vertAlign w:val="subscript"/>
              </w:rPr>
              <w:t>eqg</w:t>
            </w:r>
            <w:r>
              <w:rPr>
                <w:color w:val="auto"/>
              </w:rPr>
              <w:t>——建设项目声源在预测点的等效声级贡献值，dB(A)；</w:t>
            </w:r>
          </w:p>
          <w:p>
            <w:pPr>
              <w:pStyle w:val="45"/>
              <w:wordWrap w:val="0"/>
              <w:rPr>
                <w:color w:val="auto"/>
              </w:rPr>
            </w:pPr>
            <w:r>
              <w:rPr>
                <w:color w:val="auto"/>
              </w:rPr>
              <w:t>L</w:t>
            </w:r>
            <w:r>
              <w:rPr>
                <w:color w:val="auto"/>
                <w:vertAlign w:val="subscript"/>
              </w:rPr>
              <w:t>eqb</w:t>
            </w:r>
            <w:r>
              <w:rPr>
                <w:color w:val="auto"/>
              </w:rPr>
              <w:t>——预测点的背景值，dB(A)。</w:t>
            </w:r>
          </w:p>
          <w:p>
            <w:pPr>
              <w:pStyle w:val="45"/>
              <w:wordWrap w:val="0"/>
              <w:rPr>
                <w:color w:val="auto"/>
              </w:rPr>
            </w:pPr>
            <w:r>
              <w:rPr>
                <w:color w:val="auto"/>
              </w:rPr>
              <w:t>噪声在室外空间的传播，由于受到遮挡物的隔断，各种介质的吸收与反射，以及空气介质的吸收等物理作用而逐渐减弱。为了简化计算条件并能考虑到最不利因素，计算时只考虑噪声随距离的衰减。只考虑距离衰减时噪声源对厂界噪声贡献值。</w:t>
            </w:r>
          </w:p>
          <w:p>
            <w:pPr>
              <w:wordWrap w:val="0"/>
              <w:spacing w:line="360" w:lineRule="auto"/>
              <w:jc w:val="center"/>
              <w:rPr>
                <w:b/>
                <w:color w:val="auto"/>
                <w:szCs w:val="21"/>
              </w:rPr>
            </w:pPr>
            <w:r>
              <w:rPr>
                <w:b/>
                <w:color w:val="auto"/>
                <w:szCs w:val="21"/>
              </w:rPr>
              <w:t>表4.2-</w:t>
            </w:r>
            <w:r>
              <w:rPr>
                <w:rFonts w:hint="eastAsia"/>
                <w:b/>
                <w:color w:val="auto"/>
                <w:szCs w:val="21"/>
                <w:lang w:val="en-US" w:eastAsia="zh-CN"/>
              </w:rPr>
              <w:t>18</w:t>
            </w:r>
            <w:r>
              <w:rPr>
                <w:b/>
                <w:color w:val="auto"/>
                <w:szCs w:val="21"/>
              </w:rPr>
              <w:t xml:space="preserve"> 厂界噪声贡献值结果与达标分析表  单位：dB(A)）</w:t>
            </w:r>
          </w:p>
          <w:tbl>
            <w:tblPr>
              <w:tblStyle w:val="20"/>
              <w:tblW w:w="8264" w:type="dxa"/>
              <w:tblInd w:w="5"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157"/>
              <w:gridCol w:w="908"/>
              <w:gridCol w:w="1033"/>
              <w:gridCol w:w="1033"/>
              <w:gridCol w:w="1033"/>
              <w:gridCol w:w="1033"/>
              <w:gridCol w:w="1033"/>
              <w:gridCol w:w="103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90" w:hRule="atLeast"/>
              </w:trPr>
              <w:tc>
                <w:tcPr>
                  <w:tcW w:w="700" w:type="pct"/>
                  <w:vMerge w:val="restart"/>
                  <w:vAlign w:val="center"/>
                </w:tcPr>
                <w:p>
                  <w:pPr>
                    <w:widowControl/>
                    <w:wordWrap w:val="0"/>
                    <w:jc w:val="center"/>
                    <w:textAlignment w:val="center"/>
                    <w:rPr>
                      <w:b/>
                      <w:bCs/>
                      <w:color w:val="auto"/>
                      <w:szCs w:val="21"/>
                    </w:rPr>
                  </w:pPr>
                  <w:r>
                    <w:rPr>
                      <w:b/>
                      <w:bCs/>
                      <w:color w:val="auto"/>
                      <w:szCs w:val="21"/>
                    </w:rPr>
                    <w:t>预测方位</w:t>
                  </w:r>
                </w:p>
              </w:tc>
              <w:tc>
                <w:tcPr>
                  <w:tcW w:w="1799" w:type="pct"/>
                  <w:gridSpan w:val="3"/>
                  <w:vAlign w:val="center"/>
                </w:tcPr>
                <w:p>
                  <w:pPr>
                    <w:widowControl/>
                    <w:wordWrap w:val="0"/>
                    <w:jc w:val="center"/>
                    <w:textAlignment w:val="center"/>
                    <w:rPr>
                      <w:b/>
                      <w:bCs/>
                      <w:color w:val="auto"/>
                      <w:szCs w:val="21"/>
                    </w:rPr>
                  </w:pPr>
                  <w:r>
                    <w:rPr>
                      <w:b/>
                      <w:bCs/>
                      <w:color w:val="auto"/>
                      <w:szCs w:val="21"/>
                    </w:rPr>
                    <w:t>空间相对位置</w:t>
                  </w:r>
                </w:p>
              </w:tc>
              <w:tc>
                <w:tcPr>
                  <w:tcW w:w="625" w:type="pct"/>
                  <w:vMerge w:val="restart"/>
                  <w:vAlign w:val="center"/>
                </w:tcPr>
                <w:p>
                  <w:pPr>
                    <w:widowControl/>
                    <w:jc w:val="center"/>
                    <w:rPr>
                      <w:color w:val="auto"/>
                      <w:szCs w:val="21"/>
                    </w:rPr>
                  </w:pPr>
                  <w:r>
                    <w:rPr>
                      <w:b/>
                      <w:bCs/>
                      <w:color w:val="auto"/>
                      <w:kern w:val="0"/>
                      <w:szCs w:val="21"/>
                      <w:lang w:bidi="ar"/>
                    </w:rPr>
                    <w:t>时段</w:t>
                  </w:r>
                </w:p>
              </w:tc>
              <w:tc>
                <w:tcPr>
                  <w:tcW w:w="625" w:type="pct"/>
                  <w:vMerge w:val="restart"/>
                  <w:vAlign w:val="center"/>
                </w:tcPr>
                <w:p>
                  <w:pPr>
                    <w:widowControl/>
                    <w:jc w:val="center"/>
                    <w:rPr>
                      <w:color w:val="auto"/>
                      <w:szCs w:val="21"/>
                    </w:rPr>
                  </w:pPr>
                  <w:r>
                    <w:rPr>
                      <w:b/>
                      <w:bCs/>
                      <w:color w:val="auto"/>
                      <w:kern w:val="0"/>
                      <w:szCs w:val="21"/>
                      <w:lang w:bidi="ar"/>
                    </w:rPr>
                    <w:t>贡献值</w:t>
                  </w:r>
                </w:p>
              </w:tc>
              <w:tc>
                <w:tcPr>
                  <w:tcW w:w="625" w:type="pct"/>
                  <w:vMerge w:val="restart"/>
                  <w:vAlign w:val="center"/>
                </w:tcPr>
                <w:p>
                  <w:pPr>
                    <w:widowControl/>
                    <w:jc w:val="center"/>
                    <w:rPr>
                      <w:color w:val="auto"/>
                      <w:szCs w:val="21"/>
                    </w:rPr>
                  </w:pPr>
                  <w:r>
                    <w:rPr>
                      <w:b/>
                      <w:bCs/>
                      <w:color w:val="auto"/>
                      <w:kern w:val="0"/>
                      <w:szCs w:val="21"/>
                      <w:lang w:bidi="ar"/>
                    </w:rPr>
                    <w:t>标准限值</w:t>
                  </w:r>
                </w:p>
              </w:tc>
              <w:tc>
                <w:tcPr>
                  <w:tcW w:w="625" w:type="pct"/>
                  <w:vMerge w:val="restart"/>
                  <w:vAlign w:val="center"/>
                </w:tcPr>
                <w:p>
                  <w:pPr>
                    <w:widowControl/>
                    <w:jc w:val="center"/>
                    <w:rPr>
                      <w:color w:val="auto"/>
                      <w:szCs w:val="21"/>
                    </w:rPr>
                  </w:pPr>
                  <w:r>
                    <w:rPr>
                      <w:b/>
                      <w:bCs/>
                      <w:color w:val="auto"/>
                      <w:kern w:val="0"/>
                      <w:szCs w:val="21"/>
                      <w:lang w:bidi="ar"/>
                    </w:rPr>
                    <w:t>达标情况</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59" w:hRule="atLeast"/>
              </w:trPr>
              <w:tc>
                <w:tcPr>
                  <w:tcW w:w="700" w:type="pct"/>
                  <w:vMerge w:val="continue"/>
                  <w:vAlign w:val="center"/>
                </w:tcPr>
                <w:p>
                  <w:pPr>
                    <w:widowControl/>
                    <w:wordWrap w:val="0"/>
                    <w:jc w:val="center"/>
                    <w:textAlignment w:val="center"/>
                    <w:rPr>
                      <w:b/>
                      <w:bCs/>
                      <w:color w:val="auto"/>
                      <w:szCs w:val="21"/>
                    </w:rPr>
                  </w:pPr>
                </w:p>
              </w:tc>
              <w:tc>
                <w:tcPr>
                  <w:tcW w:w="549" w:type="pct"/>
                  <w:vAlign w:val="center"/>
                </w:tcPr>
                <w:p>
                  <w:pPr>
                    <w:widowControl/>
                    <w:wordWrap w:val="0"/>
                    <w:jc w:val="center"/>
                    <w:textAlignment w:val="center"/>
                    <w:rPr>
                      <w:b/>
                      <w:bCs/>
                      <w:color w:val="auto"/>
                      <w:szCs w:val="21"/>
                    </w:rPr>
                  </w:pPr>
                  <w:r>
                    <w:rPr>
                      <w:b/>
                      <w:bCs/>
                      <w:color w:val="auto"/>
                      <w:szCs w:val="21"/>
                    </w:rPr>
                    <w:t>x</w:t>
                  </w:r>
                </w:p>
              </w:tc>
              <w:tc>
                <w:tcPr>
                  <w:tcW w:w="625" w:type="pct"/>
                  <w:vAlign w:val="center"/>
                </w:tcPr>
                <w:p>
                  <w:pPr>
                    <w:widowControl/>
                    <w:wordWrap w:val="0"/>
                    <w:jc w:val="center"/>
                    <w:textAlignment w:val="center"/>
                    <w:rPr>
                      <w:b/>
                      <w:bCs/>
                      <w:color w:val="auto"/>
                      <w:szCs w:val="21"/>
                    </w:rPr>
                  </w:pPr>
                  <w:r>
                    <w:rPr>
                      <w:b/>
                      <w:bCs/>
                      <w:color w:val="auto"/>
                      <w:szCs w:val="21"/>
                    </w:rPr>
                    <w:t>y</w:t>
                  </w:r>
                </w:p>
              </w:tc>
              <w:tc>
                <w:tcPr>
                  <w:tcW w:w="625" w:type="pct"/>
                  <w:vAlign w:val="center"/>
                </w:tcPr>
                <w:p>
                  <w:pPr>
                    <w:widowControl/>
                    <w:wordWrap w:val="0"/>
                    <w:jc w:val="center"/>
                    <w:textAlignment w:val="center"/>
                    <w:rPr>
                      <w:b/>
                      <w:bCs/>
                      <w:color w:val="auto"/>
                      <w:szCs w:val="21"/>
                    </w:rPr>
                  </w:pPr>
                  <w:r>
                    <w:rPr>
                      <w:b/>
                      <w:bCs/>
                      <w:color w:val="auto"/>
                      <w:szCs w:val="21"/>
                    </w:rPr>
                    <w:t>z</w:t>
                  </w:r>
                </w:p>
              </w:tc>
              <w:tc>
                <w:tcPr>
                  <w:tcW w:w="625" w:type="pct"/>
                  <w:vMerge w:val="continue"/>
                  <w:vAlign w:val="center"/>
                </w:tcPr>
                <w:p>
                  <w:pPr>
                    <w:widowControl/>
                    <w:jc w:val="center"/>
                    <w:rPr>
                      <w:b/>
                      <w:bCs/>
                      <w:color w:val="auto"/>
                      <w:kern w:val="0"/>
                      <w:szCs w:val="21"/>
                      <w:lang w:bidi="ar"/>
                    </w:rPr>
                  </w:pPr>
                </w:p>
              </w:tc>
              <w:tc>
                <w:tcPr>
                  <w:tcW w:w="625" w:type="pct"/>
                  <w:vMerge w:val="continue"/>
                  <w:vAlign w:val="center"/>
                </w:tcPr>
                <w:p>
                  <w:pPr>
                    <w:widowControl/>
                    <w:jc w:val="center"/>
                    <w:rPr>
                      <w:b/>
                      <w:bCs/>
                      <w:color w:val="auto"/>
                      <w:kern w:val="0"/>
                      <w:szCs w:val="21"/>
                      <w:lang w:bidi="ar"/>
                    </w:rPr>
                  </w:pPr>
                </w:p>
              </w:tc>
              <w:tc>
                <w:tcPr>
                  <w:tcW w:w="625" w:type="pct"/>
                  <w:vMerge w:val="continue"/>
                  <w:vAlign w:val="center"/>
                </w:tcPr>
                <w:p>
                  <w:pPr>
                    <w:widowControl/>
                    <w:jc w:val="center"/>
                    <w:rPr>
                      <w:b/>
                      <w:bCs/>
                      <w:color w:val="auto"/>
                      <w:kern w:val="0"/>
                      <w:szCs w:val="21"/>
                      <w:lang w:bidi="ar"/>
                    </w:rPr>
                  </w:pPr>
                </w:p>
              </w:tc>
              <w:tc>
                <w:tcPr>
                  <w:tcW w:w="625" w:type="pct"/>
                  <w:vMerge w:val="continue"/>
                  <w:vAlign w:val="center"/>
                </w:tcPr>
                <w:p>
                  <w:pPr>
                    <w:widowControl/>
                    <w:jc w:val="center"/>
                    <w:rPr>
                      <w:b/>
                      <w:bCs/>
                      <w:color w:val="auto"/>
                      <w:kern w:val="0"/>
                      <w:szCs w:val="21"/>
                      <w:lang w:bidi="ar"/>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0" w:type="pct"/>
                  <w:vAlign w:val="center"/>
                </w:tcPr>
                <w:p>
                  <w:pPr>
                    <w:widowControl/>
                    <w:wordWrap w:val="0"/>
                    <w:jc w:val="center"/>
                    <w:textAlignment w:val="center"/>
                    <w:rPr>
                      <w:bCs/>
                      <w:color w:val="auto"/>
                      <w:szCs w:val="21"/>
                    </w:rPr>
                  </w:pPr>
                  <w:r>
                    <w:rPr>
                      <w:bCs/>
                      <w:color w:val="auto"/>
                      <w:szCs w:val="21"/>
                    </w:rPr>
                    <w:t>北厂界</w:t>
                  </w:r>
                </w:p>
              </w:tc>
              <w:tc>
                <w:tcPr>
                  <w:tcW w:w="908"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140</w:t>
                  </w:r>
                </w:p>
              </w:tc>
              <w:tc>
                <w:tcPr>
                  <w:tcW w:w="1033"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10</w:t>
                  </w:r>
                </w:p>
              </w:tc>
              <w:tc>
                <w:tcPr>
                  <w:tcW w:w="1033"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1.2</w:t>
                  </w:r>
                </w:p>
              </w:tc>
              <w:tc>
                <w:tcPr>
                  <w:tcW w:w="625" w:type="pct"/>
                  <w:vAlign w:val="center"/>
                </w:tcPr>
                <w:p>
                  <w:pPr>
                    <w:widowControl/>
                    <w:wordWrap w:val="0"/>
                    <w:jc w:val="center"/>
                    <w:textAlignment w:val="center"/>
                    <w:rPr>
                      <w:color w:val="auto"/>
                      <w:szCs w:val="21"/>
                    </w:rPr>
                  </w:pPr>
                  <w:r>
                    <w:rPr>
                      <w:color w:val="auto"/>
                      <w:szCs w:val="21"/>
                    </w:rPr>
                    <w:t>昼间</w:t>
                  </w:r>
                </w:p>
              </w:tc>
              <w:tc>
                <w:tcPr>
                  <w:tcW w:w="1033"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42.7</w:t>
                  </w:r>
                </w:p>
              </w:tc>
              <w:tc>
                <w:tcPr>
                  <w:tcW w:w="1033"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65</w:t>
                  </w:r>
                </w:p>
              </w:tc>
              <w:tc>
                <w:tcPr>
                  <w:tcW w:w="625" w:type="pct"/>
                  <w:vAlign w:val="center"/>
                </w:tcPr>
                <w:p>
                  <w:pPr>
                    <w:widowControl/>
                    <w:wordWrap w:val="0"/>
                    <w:jc w:val="center"/>
                    <w:textAlignment w:val="center"/>
                    <w:rPr>
                      <w:color w:val="auto"/>
                      <w:szCs w:val="21"/>
                    </w:rPr>
                  </w:pPr>
                  <w:r>
                    <w:rPr>
                      <w:color w:val="auto"/>
                      <w:szCs w:val="21"/>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0" w:type="pct"/>
                  <w:vAlign w:val="center"/>
                </w:tcPr>
                <w:p>
                  <w:pPr>
                    <w:widowControl/>
                    <w:wordWrap w:val="0"/>
                    <w:jc w:val="center"/>
                    <w:textAlignment w:val="center"/>
                    <w:rPr>
                      <w:bCs/>
                      <w:color w:val="auto"/>
                      <w:szCs w:val="21"/>
                    </w:rPr>
                  </w:pPr>
                  <w:r>
                    <w:rPr>
                      <w:bCs/>
                      <w:color w:val="auto"/>
                      <w:szCs w:val="21"/>
                    </w:rPr>
                    <w:t>南厂界</w:t>
                  </w:r>
                </w:p>
              </w:tc>
              <w:tc>
                <w:tcPr>
                  <w:tcW w:w="908"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80</w:t>
                  </w:r>
                </w:p>
              </w:tc>
              <w:tc>
                <w:tcPr>
                  <w:tcW w:w="1033"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-1</w:t>
                  </w:r>
                </w:p>
              </w:tc>
              <w:tc>
                <w:tcPr>
                  <w:tcW w:w="1033"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1.2</w:t>
                  </w:r>
                </w:p>
              </w:tc>
              <w:tc>
                <w:tcPr>
                  <w:tcW w:w="625" w:type="pct"/>
                  <w:vAlign w:val="center"/>
                </w:tcPr>
                <w:p>
                  <w:pPr>
                    <w:widowControl/>
                    <w:wordWrap w:val="0"/>
                    <w:jc w:val="center"/>
                    <w:textAlignment w:val="center"/>
                    <w:rPr>
                      <w:color w:val="auto"/>
                      <w:szCs w:val="21"/>
                    </w:rPr>
                  </w:pPr>
                  <w:r>
                    <w:rPr>
                      <w:color w:val="auto"/>
                      <w:szCs w:val="21"/>
                    </w:rPr>
                    <w:t>昼间</w:t>
                  </w:r>
                </w:p>
              </w:tc>
              <w:tc>
                <w:tcPr>
                  <w:tcW w:w="1033"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49.3</w:t>
                  </w:r>
                </w:p>
              </w:tc>
              <w:tc>
                <w:tcPr>
                  <w:tcW w:w="1033"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65</w:t>
                  </w:r>
                </w:p>
              </w:tc>
              <w:tc>
                <w:tcPr>
                  <w:tcW w:w="625" w:type="pct"/>
                  <w:vAlign w:val="center"/>
                </w:tcPr>
                <w:p>
                  <w:pPr>
                    <w:widowControl/>
                    <w:wordWrap w:val="0"/>
                    <w:jc w:val="center"/>
                    <w:textAlignment w:val="center"/>
                    <w:rPr>
                      <w:color w:val="auto"/>
                      <w:szCs w:val="21"/>
                    </w:rPr>
                  </w:pPr>
                  <w:r>
                    <w:rPr>
                      <w:color w:val="auto"/>
                      <w:szCs w:val="21"/>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0" w:type="pct"/>
                  <w:vAlign w:val="center"/>
                </w:tcPr>
                <w:p>
                  <w:pPr>
                    <w:widowControl/>
                    <w:wordWrap w:val="0"/>
                    <w:jc w:val="center"/>
                    <w:textAlignment w:val="center"/>
                    <w:rPr>
                      <w:bCs/>
                      <w:color w:val="auto"/>
                      <w:szCs w:val="21"/>
                    </w:rPr>
                  </w:pPr>
                  <w:r>
                    <w:rPr>
                      <w:bCs/>
                      <w:color w:val="auto"/>
                      <w:szCs w:val="21"/>
                    </w:rPr>
                    <w:t>西厂界</w:t>
                  </w:r>
                </w:p>
              </w:tc>
              <w:tc>
                <w:tcPr>
                  <w:tcW w:w="908"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-1</w:t>
                  </w:r>
                </w:p>
              </w:tc>
              <w:tc>
                <w:tcPr>
                  <w:tcW w:w="1033"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60</w:t>
                  </w:r>
                </w:p>
              </w:tc>
              <w:tc>
                <w:tcPr>
                  <w:tcW w:w="1033"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1.2</w:t>
                  </w:r>
                </w:p>
              </w:tc>
              <w:tc>
                <w:tcPr>
                  <w:tcW w:w="625" w:type="pct"/>
                  <w:vAlign w:val="center"/>
                </w:tcPr>
                <w:p>
                  <w:pPr>
                    <w:widowControl/>
                    <w:wordWrap w:val="0"/>
                    <w:jc w:val="center"/>
                    <w:textAlignment w:val="center"/>
                    <w:rPr>
                      <w:color w:val="auto"/>
                      <w:szCs w:val="21"/>
                    </w:rPr>
                  </w:pPr>
                  <w:r>
                    <w:rPr>
                      <w:color w:val="auto"/>
                      <w:szCs w:val="21"/>
                    </w:rPr>
                    <w:t>昼间</w:t>
                  </w:r>
                </w:p>
              </w:tc>
              <w:tc>
                <w:tcPr>
                  <w:tcW w:w="1033"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48</w:t>
                  </w:r>
                </w:p>
              </w:tc>
              <w:tc>
                <w:tcPr>
                  <w:tcW w:w="1033"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65</w:t>
                  </w:r>
                </w:p>
              </w:tc>
              <w:tc>
                <w:tcPr>
                  <w:tcW w:w="625" w:type="pct"/>
                  <w:vAlign w:val="center"/>
                </w:tcPr>
                <w:p>
                  <w:pPr>
                    <w:widowControl/>
                    <w:wordWrap w:val="0"/>
                    <w:jc w:val="center"/>
                    <w:textAlignment w:val="center"/>
                    <w:rPr>
                      <w:color w:val="auto"/>
                      <w:szCs w:val="21"/>
                    </w:rPr>
                  </w:pPr>
                  <w:r>
                    <w:rPr>
                      <w:color w:val="auto"/>
                      <w:szCs w:val="21"/>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0" w:type="pct"/>
                  <w:vAlign w:val="center"/>
                </w:tcPr>
                <w:p>
                  <w:pPr>
                    <w:widowControl/>
                    <w:wordWrap w:val="0"/>
                    <w:jc w:val="center"/>
                    <w:textAlignment w:val="center"/>
                    <w:rPr>
                      <w:bCs/>
                      <w:color w:val="auto"/>
                      <w:szCs w:val="21"/>
                    </w:rPr>
                  </w:pPr>
                  <w:r>
                    <w:rPr>
                      <w:bCs/>
                      <w:color w:val="auto"/>
                      <w:szCs w:val="21"/>
                    </w:rPr>
                    <w:t>东厂界</w:t>
                  </w:r>
                </w:p>
              </w:tc>
              <w:tc>
                <w:tcPr>
                  <w:tcW w:w="908"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80</w:t>
                  </w:r>
                </w:p>
              </w:tc>
              <w:tc>
                <w:tcPr>
                  <w:tcW w:w="1033"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130</w:t>
                  </w:r>
                </w:p>
              </w:tc>
              <w:tc>
                <w:tcPr>
                  <w:tcW w:w="1033"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1.2</w:t>
                  </w:r>
                </w:p>
              </w:tc>
              <w:tc>
                <w:tcPr>
                  <w:tcW w:w="625" w:type="pct"/>
                  <w:vAlign w:val="center"/>
                </w:tcPr>
                <w:p>
                  <w:pPr>
                    <w:widowControl/>
                    <w:wordWrap w:val="0"/>
                    <w:jc w:val="center"/>
                    <w:textAlignment w:val="center"/>
                    <w:rPr>
                      <w:color w:val="auto"/>
                      <w:szCs w:val="21"/>
                    </w:rPr>
                  </w:pPr>
                  <w:r>
                    <w:rPr>
                      <w:color w:val="auto"/>
                      <w:szCs w:val="21"/>
                    </w:rPr>
                    <w:t>昼间</w:t>
                  </w:r>
                </w:p>
              </w:tc>
              <w:tc>
                <w:tcPr>
                  <w:tcW w:w="1033"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46.4</w:t>
                  </w:r>
                </w:p>
              </w:tc>
              <w:tc>
                <w:tcPr>
                  <w:tcW w:w="1033"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65</w:t>
                  </w:r>
                </w:p>
              </w:tc>
              <w:tc>
                <w:tcPr>
                  <w:tcW w:w="625" w:type="pct"/>
                  <w:vAlign w:val="center"/>
                </w:tcPr>
                <w:p>
                  <w:pPr>
                    <w:widowControl/>
                    <w:wordWrap w:val="0"/>
                    <w:jc w:val="center"/>
                    <w:textAlignment w:val="center"/>
                    <w:rPr>
                      <w:color w:val="auto"/>
                      <w:szCs w:val="21"/>
                    </w:rPr>
                  </w:pPr>
                  <w:r>
                    <w:rPr>
                      <w:color w:val="auto"/>
                      <w:szCs w:val="21"/>
                    </w:rPr>
                    <w:t>达标</w:t>
                  </w:r>
                </w:p>
              </w:tc>
            </w:tr>
          </w:tbl>
          <w:p>
            <w:pPr>
              <w:wordWrap w:val="0"/>
              <w:spacing w:line="360" w:lineRule="auto"/>
              <w:ind w:firstLine="480" w:firstLineChars="200"/>
              <w:rPr>
                <w:color w:val="auto"/>
                <w:sz w:val="24"/>
              </w:rPr>
            </w:pPr>
            <w:r>
              <w:rPr>
                <w:color w:val="auto"/>
                <w:sz w:val="24"/>
                <w:szCs w:val="22"/>
              </w:rPr>
              <w:t>由于，建设项目不涉及夜间生产，厂界噪声昼夜间贡献值为40.39~66.01dB(A)。厂界东侧、北侧、西侧、南侧均符合《工业企业厂界环境噪声排放标准》（GB12348-2008）中</w:t>
            </w:r>
            <w:r>
              <w:rPr>
                <w:rFonts w:hint="eastAsia"/>
                <w:color w:val="auto"/>
                <w:sz w:val="24"/>
                <w:szCs w:val="22"/>
              </w:rPr>
              <w:t>3</w:t>
            </w:r>
            <w:r>
              <w:rPr>
                <w:color w:val="auto"/>
                <w:sz w:val="24"/>
                <w:szCs w:val="22"/>
              </w:rPr>
              <w:t>类标准要求，经距离衰减后各噪声源对厂界的影响值较小。</w:t>
            </w:r>
          </w:p>
          <w:p>
            <w:pPr>
              <w:wordWrap w:val="0"/>
              <w:adjustRightInd w:val="0"/>
              <w:snapToGrid w:val="0"/>
              <w:spacing w:line="360" w:lineRule="auto"/>
              <w:ind w:firstLine="482" w:firstLineChars="200"/>
              <w:rPr>
                <w:b/>
                <w:bCs/>
                <w:color w:val="auto"/>
                <w:sz w:val="24"/>
              </w:rPr>
            </w:pPr>
            <w:r>
              <w:rPr>
                <w:b/>
                <w:bCs/>
                <w:color w:val="auto"/>
                <w:sz w:val="24"/>
              </w:rPr>
              <w:t>3.3噪声治理措施</w:t>
            </w:r>
          </w:p>
          <w:p>
            <w:pPr>
              <w:pStyle w:val="42"/>
              <w:wordWrap w:val="0"/>
              <w:spacing w:line="360" w:lineRule="auto"/>
              <w:ind w:firstLine="480"/>
              <w:rPr>
                <w:color w:val="auto"/>
                <w:sz w:val="24"/>
              </w:rPr>
            </w:pPr>
            <w:r>
              <w:rPr>
                <w:color w:val="auto"/>
                <w:sz w:val="24"/>
              </w:rPr>
              <w:t>本项目的噪声源主要为生产工艺上设备运行噪声。为降低生产设备噪声对周围环境的影响，建设单位拟采用的噪声治理措施：</w:t>
            </w:r>
          </w:p>
          <w:p>
            <w:pPr>
              <w:wordWrap w:val="0"/>
              <w:spacing w:line="360" w:lineRule="auto"/>
              <w:ind w:firstLine="480" w:firstLineChars="200"/>
              <w:rPr>
                <w:color w:val="auto"/>
                <w:sz w:val="24"/>
                <w:lang w:val="zh-CN"/>
              </w:rPr>
            </w:pPr>
            <w:r>
              <w:rPr>
                <w:color w:val="auto"/>
                <w:sz w:val="24"/>
              </w:rPr>
              <w:t>①</w:t>
            </w:r>
            <w:r>
              <w:rPr>
                <w:color w:val="auto"/>
                <w:sz w:val="24"/>
                <w:lang w:val="zh-CN"/>
              </w:rPr>
              <w:t>选用低噪声设备</w:t>
            </w:r>
          </w:p>
          <w:p>
            <w:pPr>
              <w:wordWrap w:val="0"/>
              <w:spacing w:line="360" w:lineRule="auto"/>
              <w:ind w:firstLine="480" w:firstLineChars="200"/>
              <w:rPr>
                <w:color w:val="auto"/>
                <w:sz w:val="24"/>
                <w:lang w:val="zh-CN"/>
              </w:rPr>
            </w:pPr>
            <w:r>
              <w:rPr>
                <w:color w:val="auto"/>
                <w:sz w:val="24"/>
                <w:lang w:val="zh-CN"/>
              </w:rPr>
              <w:t>在设备选型时选用先进的低噪声设备，在满足工艺设计的前提下，尽量选用满足国际标准的低噪声、低振动型号的设备，降低噪声源强。</w:t>
            </w:r>
          </w:p>
          <w:p>
            <w:pPr>
              <w:wordWrap w:val="0"/>
              <w:spacing w:line="360" w:lineRule="auto"/>
              <w:ind w:firstLine="480" w:firstLineChars="200"/>
              <w:rPr>
                <w:color w:val="auto"/>
                <w:sz w:val="24"/>
                <w:lang w:val="zh-CN"/>
              </w:rPr>
            </w:pPr>
            <w:r>
              <w:rPr>
                <w:color w:val="auto"/>
                <w:sz w:val="24"/>
              </w:rPr>
              <w:t>②</w:t>
            </w:r>
            <w:r>
              <w:rPr>
                <w:color w:val="auto"/>
                <w:sz w:val="24"/>
                <w:lang w:val="zh-CN"/>
              </w:rPr>
              <w:t>设备减振、隔声、消声器</w:t>
            </w:r>
          </w:p>
          <w:p>
            <w:pPr>
              <w:wordWrap w:val="0"/>
              <w:spacing w:line="360" w:lineRule="auto"/>
              <w:ind w:firstLine="480" w:firstLineChars="200"/>
              <w:rPr>
                <w:color w:val="auto"/>
                <w:sz w:val="24"/>
                <w:lang w:val="zh-CN"/>
              </w:rPr>
            </w:pPr>
            <w:r>
              <w:rPr>
                <w:color w:val="auto"/>
                <w:sz w:val="24"/>
                <w:lang w:val="zh-CN"/>
              </w:rPr>
              <w:t>高噪声设备安装减震底座，风机进出口加装消声器，设计降噪量达15dB（A）左右。</w:t>
            </w:r>
          </w:p>
          <w:p>
            <w:pPr>
              <w:wordWrap w:val="0"/>
              <w:spacing w:line="360" w:lineRule="auto"/>
              <w:ind w:firstLine="480" w:firstLineChars="200"/>
              <w:rPr>
                <w:color w:val="auto"/>
                <w:sz w:val="24"/>
                <w:lang w:val="zh-CN"/>
              </w:rPr>
            </w:pPr>
            <w:r>
              <w:rPr>
                <w:color w:val="auto"/>
                <w:sz w:val="24"/>
              </w:rPr>
              <w:t>③</w:t>
            </w:r>
            <w:r>
              <w:rPr>
                <w:color w:val="auto"/>
                <w:sz w:val="24"/>
                <w:lang w:val="zh-CN"/>
              </w:rPr>
              <w:t>加强建筑物隔声措施</w:t>
            </w:r>
          </w:p>
          <w:p>
            <w:pPr>
              <w:wordWrap w:val="0"/>
              <w:spacing w:line="360" w:lineRule="auto"/>
              <w:ind w:firstLine="480" w:firstLineChars="200"/>
              <w:rPr>
                <w:color w:val="auto"/>
                <w:sz w:val="24"/>
                <w:lang w:val="zh-CN"/>
              </w:rPr>
            </w:pPr>
            <w:r>
              <w:rPr>
                <w:color w:val="auto"/>
                <w:sz w:val="24"/>
                <w:lang w:val="zh-CN"/>
              </w:rPr>
              <w:t>高噪声设备均安置在室内，合理布置设备的位置，有效利用了建筑隔声，并采取隔声、吸声材料制作门窗、墙体等，防止噪声的扩散和传播，正常生产时门窗密闭，采取隔声措施，降噪量约10dB（A）左右。</w:t>
            </w:r>
          </w:p>
          <w:p>
            <w:pPr>
              <w:wordWrap w:val="0"/>
              <w:spacing w:line="360" w:lineRule="auto"/>
              <w:ind w:firstLine="480" w:firstLineChars="200"/>
              <w:rPr>
                <w:color w:val="auto"/>
                <w:sz w:val="24"/>
                <w:lang w:val="zh-CN"/>
              </w:rPr>
            </w:pPr>
            <w:r>
              <w:rPr>
                <w:color w:val="auto"/>
                <w:sz w:val="24"/>
              </w:rPr>
              <w:t>④</w:t>
            </w:r>
            <w:r>
              <w:rPr>
                <w:color w:val="auto"/>
                <w:sz w:val="24"/>
                <w:lang w:val="zh-CN"/>
              </w:rPr>
              <w:t>强化生产管理</w:t>
            </w:r>
          </w:p>
          <w:p>
            <w:pPr>
              <w:wordWrap w:val="0"/>
              <w:spacing w:line="360" w:lineRule="auto"/>
              <w:ind w:firstLine="480" w:firstLineChars="200"/>
              <w:rPr>
                <w:color w:val="auto"/>
                <w:sz w:val="24"/>
              </w:rPr>
            </w:pPr>
            <w:r>
              <w:rPr>
                <w:color w:val="auto"/>
                <w:sz w:val="24"/>
                <w:lang w:val="zh-CN"/>
              </w:rPr>
              <w:t>确保各类防治措施有效运行，各设备均保持良好运行状态，防止突发噪声；</w:t>
            </w:r>
            <w:r>
              <w:rPr>
                <w:color w:val="auto"/>
                <w:sz w:val="24"/>
              </w:rPr>
              <w:t>加强管理，加强职工环保意识教育，提倡文明生产，防止人为噪声；对于厂区流动声源（汽车），要强化行车管理制度，设置降噪标准，严禁鸣号，进入厂区低速行驶，最大限度减少流动噪声源。加强设备维护，避免设备故障异常噪声产生。</w:t>
            </w:r>
          </w:p>
          <w:p>
            <w:pPr>
              <w:wordWrap w:val="0"/>
              <w:spacing w:line="360" w:lineRule="auto"/>
              <w:ind w:firstLine="480" w:firstLineChars="200"/>
              <w:rPr>
                <w:color w:val="auto"/>
                <w:sz w:val="24"/>
              </w:rPr>
            </w:pPr>
            <w:r>
              <w:rPr>
                <w:color w:val="auto"/>
                <w:sz w:val="24"/>
              </w:rPr>
              <w:t>通过以上措施，本项目生产过程中产生的噪声经墙体隔声、距离衰减后，东南西北侧厂界噪声可以达到《工业企业厂界环境噪声排放标准》（GB12348-2008）</w:t>
            </w:r>
            <w:r>
              <w:rPr>
                <w:rFonts w:hint="eastAsia"/>
                <w:color w:val="auto"/>
                <w:sz w:val="24"/>
              </w:rPr>
              <w:t>3</w:t>
            </w:r>
            <w:r>
              <w:rPr>
                <w:color w:val="auto"/>
                <w:sz w:val="24"/>
              </w:rPr>
              <w:t>标准。项目对周围环境影响较小。</w:t>
            </w:r>
          </w:p>
          <w:bookmarkEnd w:id="40"/>
          <w:p>
            <w:pPr>
              <w:wordWrap w:val="0"/>
              <w:adjustRightInd w:val="0"/>
              <w:snapToGrid w:val="0"/>
              <w:spacing w:line="360" w:lineRule="auto"/>
              <w:ind w:firstLine="482" w:firstLineChars="200"/>
              <w:rPr>
                <w:b/>
                <w:bCs/>
                <w:color w:val="auto"/>
                <w:sz w:val="24"/>
              </w:rPr>
            </w:pPr>
            <w:r>
              <w:rPr>
                <w:b/>
                <w:bCs/>
                <w:color w:val="auto"/>
                <w:sz w:val="24"/>
              </w:rPr>
              <w:t>3.4监测计划</w:t>
            </w:r>
          </w:p>
          <w:p>
            <w:pPr>
              <w:wordWrap w:val="0"/>
              <w:autoSpaceDE w:val="0"/>
              <w:autoSpaceDN w:val="0"/>
              <w:adjustRightInd w:val="0"/>
              <w:snapToGrid w:val="0"/>
              <w:spacing w:line="360" w:lineRule="auto"/>
              <w:ind w:firstLine="480" w:firstLineChars="200"/>
              <w:rPr>
                <w:bCs/>
                <w:color w:val="auto"/>
                <w:sz w:val="24"/>
              </w:rPr>
            </w:pPr>
            <w:r>
              <w:rPr>
                <w:bCs/>
                <w:color w:val="auto"/>
                <w:sz w:val="24"/>
              </w:rPr>
              <w:t>根据《排污单位自行监测技术指南 总则》（HJ819-2017）及《排污单位自行监测技术指南 金属铸造工业》（HJ 1251-2022），排污单位应按照规定对污染物排放情况进行监测，噪声监测情况具体见下表。</w:t>
            </w:r>
          </w:p>
          <w:p>
            <w:pPr>
              <w:wordWrap w:val="0"/>
              <w:spacing w:line="360" w:lineRule="auto"/>
              <w:jc w:val="center"/>
              <w:rPr>
                <w:b/>
                <w:color w:val="auto"/>
                <w:kern w:val="0"/>
                <w:szCs w:val="21"/>
              </w:rPr>
            </w:pPr>
          </w:p>
          <w:p>
            <w:pPr>
              <w:wordWrap w:val="0"/>
              <w:spacing w:line="360" w:lineRule="auto"/>
              <w:jc w:val="center"/>
              <w:rPr>
                <w:b/>
                <w:color w:val="auto"/>
                <w:kern w:val="0"/>
                <w:szCs w:val="21"/>
              </w:rPr>
            </w:pPr>
          </w:p>
          <w:p>
            <w:pPr>
              <w:wordWrap w:val="0"/>
              <w:spacing w:line="360" w:lineRule="auto"/>
              <w:jc w:val="center"/>
              <w:rPr>
                <w:b/>
                <w:color w:val="auto"/>
                <w:kern w:val="0"/>
                <w:szCs w:val="21"/>
              </w:rPr>
            </w:pPr>
            <w:r>
              <w:rPr>
                <w:b/>
                <w:color w:val="auto"/>
                <w:kern w:val="0"/>
                <w:szCs w:val="21"/>
              </w:rPr>
              <w:t>表4.2-</w:t>
            </w:r>
            <w:r>
              <w:rPr>
                <w:rFonts w:hint="eastAsia"/>
                <w:b/>
                <w:color w:val="auto"/>
                <w:kern w:val="0"/>
                <w:szCs w:val="21"/>
                <w:lang w:val="en-US" w:eastAsia="zh-CN"/>
              </w:rPr>
              <w:t>19</w:t>
            </w:r>
            <w:r>
              <w:rPr>
                <w:b/>
                <w:color w:val="auto"/>
                <w:kern w:val="0"/>
                <w:szCs w:val="21"/>
              </w:rPr>
              <w:t xml:space="preserve">  噪声监测计划表</w:t>
            </w:r>
          </w:p>
          <w:tbl>
            <w:tblPr>
              <w:tblStyle w:val="20"/>
              <w:tblW w:w="4997" w:type="pct"/>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1276"/>
              <w:gridCol w:w="1362"/>
              <w:gridCol w:w="2090"/>
              <w:gridCol w:w="3684"/>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758" w:type="pct"/>
                  <w:vAlign w:val="center"/>
                </w:tcPr>
                <w:p>
                  <w:pPr>
                    <w:wordWrap w:val="0"/>
                    <w:snapToGrid w:val="0"/>
                    <w:jc w:val="center"/>
                    <w:rPr>
                      <w:b/>
                      <w:color w:val="auto"/>
                      <w:szCs w:val="21"/>
                    </w:rPr>
                  </w:pPr>
                  <w:r>
                    <w:rPr>
                      <w:b/>
                      <w:color w:val="auto"/>
                      <w:szCs w:val="21"/>
                    </w:rPr>
                    <w:t>监测位置</w:t>
                  </w:r>
                </w:p>
              </w:tc>
              <w:tc>
                <w:tcPr>
                  <w:tcW w:w="809" w:type="pct"/>
                  <w:vAlign w:val="center"/>
                </w:tcPr>
                <w:p>
                  <w:pPr>
                    <w:wordWrap w:val="0"/>
                    <w:snapToGrid w:val="0"/>
                    <w:ind w:left="103" w:hanging="103" w:hangingChars="49"/>
                    <w:jc w:val="center"/>
                    <w:rPr>
                      <w:b/>
                      <w:color w:val="auto"/>
                      <w:szCs w:val="21"/>
                    </w:rPr>
                  </w:pPr>
                  <w:r>
                    <w:rPr>
                      <w:b/>
                      <w:color w:val="auto"/>
                      <w:szCs w:val="21"/>
                    </w:rPr>
                    <w:t>监测项目</w:t>
                  </w:r>
                </w:p>
              </w:tc>
              <w:tc>
                <w:tcPr>
                  <w:tcW w:w="1242" w:type="pct"/>
                  <w:vAlign w:val="center"/>
                </w:tcPr>
                <w:p>
                  <w:pPr>
                    <w:wordWrap w:val="0"/>
                    <w:snapToGrid w:val="0"/>
                    <w:ind w:firstLine="103" w:firstLineChars="49"/>
                    <w:jc w:val="center"/>
                    <w:rPr>
                      <w:b/>
                      <w:color w:val="auto"/>
                      <w:szCs w:val="21"/>
                    </w:rPr>
                  </w:pPr>
                  <w:r>
                    <w:rPr>
                      <w:b/>
                      <w:color w:val="auto"/>
                      <w:szCs w:val="21"/>
                    </w:rPr>
                    <w:t>监测频次</w:t>
                  </w:r>
                </w:p>
              </w:tc>
              <w:tc>
                <w:tcPr>
                  <w:tcW w:w="2189" w:type="pct"/>
                  <w:vAlign w:val="center"/>
                </w:tcPr>
                <w:p>
                  <w:pPr>
                    <w:wordWrap w:val="0"/>
                    <w:snapToGrid w:val="0"/>
                    <w:jc w:val="center"/>
                    <w:rPr>
                      <w:b/>
                      <w:color w:val="auto"/>
                      <w:szCs w:val="21"/>
                    </w:rPr>
                  </w:pPr>
                  <w:r>
                    <w:rPr>
                      <w:b/>
                      <w:color w:val="auto"/>
                      <w:szCs w:val="21"/>
                    </w:rPr>
                    <w:t>执行标准</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770" w:hRule="atLeast"/>
                <w:jc w:val="center"/>
              </w:trPr>
              <w:tc>
                <w:tcPr>
                  <w:tcW w:w="758" w:type="pct"/>
                  <w:vAlign w:val="center"/>
                </w:tcPr>
                <w:p>
                  <w:pPr>
                    <w:wordWrap w:val="0"/>
                    <w:snapToGrid w:val="0"/>
                    <w:jc w:val="center"/>
                    <w:rPr>
                      <w:color w:val="auto"/>
                      <w:szCs w:val="21"/>
                    </w:rPr>
                  </w:pPr>
                  <w:r>
                    <w:rPr>
                      <w:color w:val="auto"/>
                      <w:szCs w:val="21"/>
                    </w:rPr>
                    <w:t>东、西、南、北侧厂界</w:t>
                  </w:r>
                </w:p>
              </w:tc>
              <w:tc>
                <w:tcPr>
                  <w:tcW w:w="809" w:type="pct"/>
                  <w:vAlign w:val="center"/>
                </w:tcPr>
                <w:p>
                  <w:pPr>
                    <w:wordWrap w:val="0"/>
                    <w:snapToGrid w:val="0"/>
                    <w:spacing w:line="300" w:lineRule="exact"/>
                    <w:jc w:val="center"/>
                    <w:rPr>
                      <w:color w:val="auto"/>
                      <w:szCs w:val="21"/>
                    </w:rPr>
                  </w:pPr>
                  <w:r>
                    <w:rPr>
                      <w:color w:val="auto"/>
                      <w:szCs w:val="21"/>
                    </w:rPr>
                    <w:t>等效A声级</w:t>
                  </w:r>
                </w:p>
              </w:tc>
              <w:tc>
                <w:tcPr>
                  <w:tcW w:w="1242" w:type="pct"/>
                  <w:vAlign w:val="center"/>
                </w:tcPr>
                <w:p>
                  <w:pPr>
                    <w:wordWrap w:val="0"/>
                    <w:snapToGrid w:val="0"/>
                    <w:spacing w:line="300" w:lineRule="exact"/>
                    <w:jc w:val="center"/>
                    <w:rPr>
                      <w:color w:val="auto"/>
                      <w:szCs w:val="21"/>
                    </w:rPr>
                  </w:pPr>
                  <w:r>
                    <w:rPr>
                      <w:color w:val="auto"/>
                      <w:szCs w:val="21"/>
                    </w:rPr>
                    <w:t>1次/季度</w:t>
                  </w:r>
                </w:p>
              </w:tc>
              <w:tc>
                <w:tcPr>
                  <w:tcW w:w="2189" w:type="pct"/>
                  <w:vAlign w:val="center"/>
                </w:tcPr>
                <w:p>
                  <w:pPr>
                    <w:wordWrap w:val="0"/>
                    <w:snapToGrid w:val="0"/>
                    <w:jc w:val="center"/>
                    <w:rPr>
                      <w:color w:val="auto"/>
                      <w:szCs w:val="21"/>
                    </w:rPr>
                  </w:pPr>
                  <w:r>
                    <w:rPr>
                      <w:color w:val="auto"/>
                      <w:szCs w:val="21"/>
                    </w:rPr>
                    <w:t>《工业企业厂界环境噪声排放标准》（GB12348-2008）中的</w:t>
                  </w:r>
                  <w:r>
                    <w:rPr>
                      <w:rFonts w:hint="eastAsia"/>
                      <w:color w:val="auto"/>
                      <w:szCs w:val="21"/>
                    </w:rPr>
                    <w:t>3</w:t>
                  </w:r>
                  <w:r>
                    <w:rPr>
                      <w:color w:val="auto"/>
                      <w:szCs w:val="21"/>
                    </w:rPr>
                    <w:t>类标准</w:t>
                  </w:r>
                </w:p>
              </w:tc>
            </w:tr>
          </w:tbl>
          <w:p>
            <w:pPr>
              <w:wordWrap w:val="0"/>
              <w:spacing w:before="120" w:beforeLines="50" w:line="360" w:lineRule="auto"/>
              <w:ind w:firstLine="482" w:firstLineChars="200"/>
              <w:rPr>
                <w:b/>
                <w:bCs/>
                <w:color w:val="auto"/>
                <w:sz w:val="24"/>
              </w:rPr>
            </w:pPr>
            <w:r>
              <w:rPr>
                <w:b/>
                <w:bCs/>
                <w:color w:val="auto"/>
                <w:sz w:val="24"/>
              </w:rPr>
              <w:t>4、固体废物</w:t>
            </w:r>
          </w:p>
          <w:p>
            <w:pPr>
              <w:wordWrap w:val="0"/>
              <w:spacing w:line="360" w:lineRule="auto"/>
              <w:ind w:firstLine="482" w:firstLineChars="200"/>
              <w:rPr>
                <w:b/>
                <w:bCs/>
                <w:color w:val="auto"/>
                <w:sz w:val="24"/>
              </w:rPr>
            </w:pPr>
            <w:r>
              <w:rPr>
                <w:b/>
                <w:bCs/>
                <w:color w:val="auto"/>
                <w:sz w:val="24"/>
              </w:rPr>
              <w:t>4.1固体废物鉴别</w:t>
            </w:r>
          </w:p>
          <w:p>
            <w:pPr>
              <w:wordWrap w:val="0"/>
              <w:spacing w:line="360" w:lineRule="auto"/>
              <w:ind w:firstLine="480" w:firstLineChars="200"/>
              <w:rPr>
                <w:color w:val="auto"/>
                <w:sz w:val="24"/>
              </w:rPr>
            </w:pPr>
            <w:r>
              <w:rPr>
                <w:color w:val="auto"/>
                <w:sz w:val="24"/>
              </w:rPr>
              <w:t>根据《中华人民共和国固体废物污染环境防治法》（2020年9月1日实施）、《固体废物鉴别标准 通则》（GB34330-2017）、《一般固体废物分类与代码》（GB/T39198-2020）中相关编制要求，本项目的固体废物鉴别情况见下表。</w:t>
            </w:r>
          </w:p>
          <w:p>
            <w:pPr>
              <w:wordWrap w:val="0"/>
              <w:spacing w:line="360" w:lineRule="auto"/>
              <w:jc w:val="center"/>
              <w:rPr>
                <w:b/>
                <w:bCs/>
                <w:color w:val="auto"/>
                <w:szCs w:val="21"/>
              </w:rPr>
            </w:pPr>
            <w:r>
              <w:rPr>
                <w:b/>
                <w:bCs/>
                <w:color w:val="auto"/>
                <w:szCs w:val="21"/>
              </w:rPr>
              <w:t>表4.2-</w:t>
            </w:r>
            <w:r>
              <w:rPr>
                <w:rFonts w:hint="eastAsia"/>
                <w:b/>
                <w:bCs/>
                <w:color w:val="auto"/>
                <w:szCs w:val="21"/>
                <w:lang w:val="en-US" w:eastAsia="zh-CN"/>
              </w:rPr>
              <w:t>20</w:t>
            </w:r>
            <w:r>
              <w:rPr>
                <w:b/>
                <w:bCs/>
                <w:color w:val="auto"/>
                <w:szCs w:val="21"/>
              </w:rPr>
              <w:t xml:space="preserve"> 本项目固体废物属性判定结果</w:t>
            </w:r>
          </w:p>
          <w:tbl>
            <w:tblPr>
              <w:tblStyle w:val="20"/>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616"/>
              <w:gridCol w:w="1725"/>
              <w:gridCol w:w="1374"/>
              <w:gridCol w:w="726"/>
              <w:gridCol w:w="1598"/>
              <w:gridCol w:w="1017"/>
              <w:gridCol w:w="640"/>
              <w:gridCol w:w="667"/>
              <w:gridCol w:w="5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30" w:type="pct"/>
                <w:cantSplit/>
                <w:trHeight w:val="90" w:hRule="atLeast"/>
                <w:jc w:val="center"/>
              </w:trPr>
              <w:tc>
                <w:tcPr>
                  <w:tcW w:w="366" w:type="pct"/>
                  <w:vMerge w:val="restart"/>
                  <w:vAlign w:val="center"/>
                </w:tcPr>
                <w:p>
                  <w:pPr>
                    <w:widowControl/>
                    <w:wordWrap w:val="0"/>
                    <w:jc w:val="center"/>
                    <w:textAlignment w:val="center"/>
                    <w:rPr>
                      <w:b/>
                      <w:bCs/>
                      <w:color w:val="auto"/>
                      <w:szCs w:val="21"/>
                    </w:rPr>
                  </w:pPr>
                  <w:r>
                    <w:rPr>
                      <w:b/>
                      <w:bCs/>
                      <w:color w:val="auto"/>
                      <w:kern w:val="0"/>
                      <w:szCs w:val="21"/>
                      <w:lang w:bidi="ar"/>
                    </w:rPr>
                    <w:t>编号</w:t>
                  </w:r>
                </w:p>
              </w:tc>
              <w:tc>
                <w:tcPr>
                  <w:tcW w:w="1025" w:type="pct"/>
                  <w:vMerge w:val="restart"/>
                  <w:vAlign w:val="center"/>
                </w:tcPr>
                <w:p>
                  <w:pPr>
                    <w:widowControl/>
                    <w:wordWrap w:val="0"/>
                    <w:jc w:val="center"/>
                    <w:textAlignment w:val="center"/>
                    <w:rPr>
                      <w:b/>
                      <w:bCs/>
                      <w:color w:val="auto"/>
                      <w:szCs w:val="21"/>
                    </w:rPr>
                  </w:pPr>
                  <w:r>
                    <w:rPr>
                      <w:b/>
                      <w:bCs/>
                      <w:color w:val="auto"/>
                      <w:kern w:val="0"/>
                      <w:szCs w:val="21"/>
                      <w:lang w:bidi="ar"/>
                    </w:rPr>
                    <w:t>固废名称</w:t>
                  </w:r>
                </w:p>
              </w:tc>
              <w:tc>
                <w:tcPr>
                  <w:tcW w:w="816" w:type="pct"/>
                  <w:vMerge w:val="restart"/>
                  <w:vAlign w:val="center"/>
                </w:tcPr>
                <w:p>
                  <w:pPr>
                    <w:widowControl/>
                    <w:wordWrap w:val="0"/>
                    <w:jc w:val="center"/>
                    <w:textAlignment w:val="center"/>
                    <w:rPr>
                      <w:b/>
                      <w:bCs/>
                      <w:color w:val="auto"/>
                      <w:szCs w:val="21"/>
                    </w:rPr>
                  </w:pPr>
                  <w:r>
                    <w:rPr>
                      <w:b/>
                      <w:bCs/>
                      <w:color w:val="auto"/>
                      <w:kern w:val="0"/>
                      <w:szCs w:val="21"/>
                      <w:lang w:bidi="ar"/>
                    </w:rPr>
                    <w:t>产生工序</w:t>
                  </w:r>
                </w:p>
              </w:tc>
              <w:tc>
                <w:tcPr>
                  <w:tcW w:w="431" w:type="pct"/>
                  <w:vMerge w:val="restart"/>
                  <w:vAlign w:val="center"/>
                </w:tcPr>
                <w:p>
                  <w:pPr>
                    <w:widowControl/>
                    <w:wordWrap w:val="0"/>
                    <w:jc w:val="center"/>
                    <w:textAlignment w:val="center"/>
                    <w:rPr>
                      <w:b/>
                      <w:bCs/>
                      <w:color w:val="auto"/>
                      <w:szCs w:val="21"/>
                    </w:rPr>
                  </w:pPr>
                  <w:r>
                    <w:rPr>
                      <w:b/>
                      <w:bCs/>
                      <w:color w:val="auto"/>
                      <w:kern w:val="0"/>
                      <w:szCs w:val="21"/>
                      <w:lang w:bidi="ar"/>
                    </w:rPr>
                    <w:t>形态</w:t>
                  </w:r>
                </w:p>
              </w:tc>
              <w:tc>
                <w:tcPr>
                  <w:tcW w:w="949" w:type="pct"/>
                  <w:vMerge w:val="restart"/>
                  <w:vAlign w:val="center"/>
                </w:tcPr>
                <w:p>
                  <w:pPr>
                    <w:widowControl/>
                    <w:wordWrap w:val="0"/>
                    <w:jc w:val="center"/>
                    <w:textAlignment w:val="center"/>
                    <w:rPr>
                      <w:b/>
                      <w:bCs/>
                      <w:color w:val="auto"/>
                      <w:szCs w:val="21"/>
                    </w:rPr>
                  </w:pPr>
                  <w:r>
                    <w:rPr>
                      <w:b/>
                      <w:bCs/>
                      <w:color w:val="auto"/>
                      <w:kern w:val="0"/>
                      <w:szCs w:val="21"/>
                      <w:lang w:bidi="ar"/>
                    </w:rPr>
                    <w:t>主要成分</w:t>
                  </w:r>
                </w:p>
              </w:tc>
              <w:tc>
                <w:tcPr>
                  <w:tcW w:w="1381" w:type="pct"/>
                  <w:gridSpan w:val="3"/>
                  <w:vAlign w:val="center"/>
                </w:tcPr>
                <w:p>
                  <w:pPr>
                    <w:widowControl/>
                    <w:wordWrap w:val="0"/>
                    <w:jc w:val="center"/>
                    <w:textAlignment w:val="center"/>
                    <w:rPr>
                      <w:b/>
                      <w:bCs/>
                      <w:color w:val="auto"/>
                      <w:szCs w:val="21"/>
                    </w:rPr>
                  </w:pPr>
                  <w:r>
                    <w:rPr>
                      <w:b/>
                      <w:bCs/>
                      <w:color w:val="auto"/>
                      <w:kern w:val="0"/>
                      <w:szCs w:val="21"/>
                      <w:lang w:bidi="ar"/>
                    </w:rPr>
                    <w:t>种类判断</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66" w:type="pct"/>
                  <w:vMerge w:val="continue"/>
                  <w:vAlign w:val="center"/>
                </w:tcPr>
                <w:p>
                  <w:pPr>
                    <w:widowControl/>
                    <w:wordWrap w:val="0"/>
                    <w:jc w:val="center"/>
                    <w:textAlignment w:val="center"/>
                    <w:rPr>
                      <w:color w:val="auto"/>
                      <w:szCs w:val="21"/>
                    </w:rPr>
                  </w:pPr>
                </w:p>
              </w:tc>
              <w:tc>
                <w:tcPr>
                  <w:tcW w:w="1025" w:type="pct"/>
                  <w:vMerge w:val="continue"/>
                  <w:vAlign w:val="center"/>
                </w:tcPr>
                <w:p>
                  <w:pPr>
                    <w:widowControl/>
                    <w:wordWrap w:val="0"/>
                    <w:jc w:val="center"/>
                    <w:textAlignment w:val="center"/>
                    <w:rPr>
                      <w:color w:val="auto"/>
                      <w:szCs w:val="21"/>
                    </w:rPr>
                  </w:pPr>
                </w:p>
              </w:tc>
              <w:tc>
                <w:tcPr>
                  <w:tcW w:w="816" w:type="pct"/>
                  <w:vMerge w:val="continue"/>
                  <w:vAlign w:val="center"/>
                </w:tcPr>
                <w:p>
                  <w:pPr>
                    <w:widowControl/>
                    <w:wordWrap w:val="0"/>
                    <w:jc w:val="center"/>
                    <w:textAlignment w:val="center"/>
                    <w:rPr>
                      <w:color w:val="auto"/>
                      <w:szCs w:val="21"/>
                    </w:rPr>
                  </w:pPr>
                </w:p>
              </w:tc>
              <w:tc>
                <w:tcPr>
                  <w:tcW w:w="431" w:type="pct"/>
                  <w:vMerge w:val="continue"/>
                  <w:vAlign w:val="center"/>
                </w:tcPr>
                <w:p>
                  <w:pPr>
                    <w:widowControl/>
                    <w:wordWrap w:val="0"/>
                    <w:jc w:val="center"/>
                    <w:textAlignment w:val="center"/>
                    <w:rPr>
                      <w:color w:val="auto"/>
                      <w:szCs w:val="21"/>
                    </w:rPr>
                  </w:pPr>
                </w:p>
              </w:tc>
              <w:tc>
                <w:tcPr>
                  <w:tcW w:w="949" w:type="pct"/>
                  <w:vMerge w:val="continue"/>
                  <w:vAlign w:val="center"/>
                </w:tcPr>
                <w:p>
                  <w:pPr>
                    <w:widowControl/>
                    <w:wordWrap w:val="0"/>
                    <w:jc w:val="center"/>
                    <w:textAlignment w:val="center"/>
                    <w:rPr>
                      <w:color w:val="auto"/>
                      <w:szCs w:val="21"/>
                    </w:rPr>
                  </w:pPr>
                </w:p>
              </w:tc>
              <w:tc>
                <w:tcPr>
                  <w:tcW w:w="604" w:type="pct"/>
                  <w:vAlign w:val="center"/>
                </w:tcPr>
                <w:p>
                  <w:pPr>
                    <w:widowControl/>
                    <w:wordWrap w:val="0"/>
                    <w:jc w:val="center"/>
                    <w:textAlignment w:val="center"/>
                    <w:rPr>
                      <w:b/>
                      <w:bCs/>
                      <w:color w:val="auto"/>
                      <w:kern w:val="0"/>
                      <w:szCs w:val="21"/>
                      <w:lang w:bidi="ar"/>
                    </w:rPr>
                  </w:pPr>
                  <w:r>
                    <w:rPr>
                      <w:b/>
                      <w:bCs/>
                      <w:color w:val="auto"/>
                      <w:kern w:val="0"/>
                      <w:szCs w:val="21"/>
                      <w:lang w:bidi="ar"/>
                    </w:rPr>
                    <w:t>是否属于固体废物</w:t>
                  </w:r>
                </w:p>
              </w:tc>
              <w:tc>
                <w:tcPr>
                  <w:tcW w:w="380" w:type="pct"/>
                  <w:vAlign w:val="center"/>
                </w:tcPr>
                <w:p>
                  <w:pPr>
                    <w:widowControl/>
                    <w:jc w:val="left"/>
                    <w:rPr>
                      <w:b/>
                      <w:bCs/>
                      <w:color w:val="auto"/>
                      <w:kern w:val="0"/>
                      <w:szCs w:val="21"/>
                      <w:lang w:bidi="ar"/>
                    </w:rPr>
                  </w:pPr>
                  <w:r>
                    <w:rPr>
                      <w:b/>
                      <w:bCs/>
                      <w:color w:val="auto"/>
                      <w:kern w:val="0"/>
                      <w:szCs w:val="21"/>
                      <w:lang w:bidi="ar"/>
                    </w:rPr>
                    <w:t>副产品</w:t>
                  </w:r>
                </w:p>
              </w:tc>
              <w:tc>
                <w:tcPr>
                  <w:tcW w:w="426" w:type="pct"/>
                  <w:gridSpan w:val="2"/>
                  <w:vAlign w:val="center"/>
                </w:tcPr>
                <w:p>
                  <w:pPr>
                    <w:widowControl/>
                    <w:wordWrap w:val="0"/>
                    <w:jc w:val="center"/>
                    <w:textAlignment w:val="center"/>
                    <w:rPr>
                      <w:b/>
                      <w:bCs/>
                      <w:color w:val="auto"/>
                      <w:kern w:val="0"/>
                      <w:szCs w:val="21"/>
                      <w:lang w:bidi="ar"/>
                    </w:rPr>
                  </w:pPr>
                  <w:r>
                    <w:rPr>
                      <w:b/>
                      <w:bCs/>
                      <w:color w:val="auto"/>
                      <w:kern w:val="0"/>
                      <w:szCs w:val="21"/>
                      <w:lang w:bidi="ar"/>
                    </w:rPr>
                    <w:t>判定依据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66"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1</w:t>
                  </w:r>
                </w:p>
              </w:tc>
              <w:tc>
                <w:tcPr>
                  <w:tcW w:w="1025" w:type="pct"/>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lang w:eastAsia="zh-CN"/>
                    </w:rPr>
                    <w:t>废</w:t>
                  </w:r>
                  <w:r>
                    <w:rPr>
                      <w:rFonts w:ascii="Times New Roman" w:hAnsi="Times New Roman"/>
                      <w:color w:val="auto"/>
                      <w:sz w:val="21"/>
                      <w:szCs w:val="21"/>
                    </w:rPr>
                    <w:t>边角料</w:t>
                  </w:r>
                </w:p>
              </w:tc>
              <w:tc>
                <w:tcPr>
                  <w:tcW w:w="816" w:type="pct"/>
                  <w:noWrap/>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下料</w:t>
                  </w:r>
                </w:p>
              </w:tc>
              <w:tc>
                <w:tcPr>
                  <w:tcW w:w="431"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固态</w:t>
                  </w:r>
                </w:p>
              </w:tc>
              <w:tc>
                <w:tcPr>
                  <w:tcW w:w="949"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钢材</w:t>
                  </w:r>
                </w:p>
              </w:tc>
              <w:tc>
                <w:tcPr>
                  <w:tcW w:w="604" w:type="pct"/>
                  <w:vAlign w:val="center"/>
                </w:tcPr>
                <w:p>
                  <w:pPr>
                    <w:widowControl/>
                    <w:wordWrap w:val="0"/>
                    <w:jc w:val="center"/>
                    <w:textAlignment w:val="center"/>
                    <w:rPr>
                      <w:color w:val="auto"/>
                      <w:szCs w:val="21"/>
                    </w:rPr>
                  </w:pPr>
                  <w:r>
                    <w:rPr>
                      <w:color w:val="auto"/>
                      <w:szCs w:val="21"/>
                    </w:rPr>
                    <w:t>是</w:t>
                  </w:r>
                </w:p>
              </w:tc>
              <w:tc>
                <w:tcPr>
                  <w:tcW w:w="380" w:type="pct"/>
                  <w:vAlign w:val="center"/>
                </w:tcPr>
                <w:p>
                  <w:pPr>
                    <w:widowControl/>
                    <w:wordWrap w:val="0"/>
                    <w:jc w:val="center"/>
                    <w:textAlignment w:val="center"/>
                    <w:rPr>
                      <w:color w:val="auto"/>
                      <w:szCs w:val="21"/>
                    </w:rPr>
                  </w:pPr>
                  <w:r>
                    <w:rPr>
                      <w:color w:val="auto"/>
                      <w:szCs w:val="21"/>
                    </w:rPr>
                    <w:t>/</w:t>
                  </w:r>
                </w:p>
              </w:tc>
              <w:tc>
                <w:tcPr>
                  <w:tcW w:w="426" w:type="pct"/>
                  <w:gridSpan w:val="2"/>
                  <w:vMerge w:val="restart"/>
                  <w:vAlign w:val="center"/>
                </w:tcPr>
                <w:p>
                  <w:pPr>
                    <w:widowControl/>
                    <w:wordWrap w:val="0"/>
                    <w:jc w:val="center"/>
                    <w:textAlignment w:val="center"/>
                    <w:rPr>
                      <w:color w:val="auto"/>
                      <w:szCs w:val="21"/>
                    </w:rPr>
                  </w:pPr>
                  <w:r>
                    <w:rPr>
                      <w:color w:val="auto"/>
                      <w:kern w:val="0"/>
                      <w:szCs w:val="21"/>
                      <w:lang w:bidi="ar"/>
                    </w:rPr>
                    <w:t>《固体废物鉴别标准通则》（GB 34330-2017）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66"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2</w:t>
                  </w:r>
                </w:p>
              </w:tc>
              <w:tc>
                <w:tcPr>
                  <w:tcW w:w="1025" w:type="pct"/>
                  <w:vAlign w:val="center"/>
                </w:tcPr>
                <w:p>
                  <w:pPr>
                    <w:pStyle w:val="13"/>
                    <w:tabs>
                      <w:tab w:val="left" w:pos="2830"/>
                    </w:tabs>
                    <w:jc w:val="center"/>
                    <w:rPr>
                      <w:rFonts w:ascii="Times New Roman" w:hAnsi="Times New Roman"/>
                      <w:snapToGrid w:val="0"/>
                      <w:color w:val="auto"/>
                      <w:spacing w:val="-2"/>
                      <w:sz w:val="21"/>
                      <w:szCs w:val="21"/>
                    </w:rPr>
                  </w:pPr>
                  <w:r>
                    <w:rPr>
                      <w:rFonts w:ascii="Times New Roman" w:hAnsi="Times New Roman"/>
                      <w:color w:val="auto"/>
                      <w:sz w:val="21"/>
                      <w:szCs w:val="21"/>
                    </w:rPr>
                    <w:t>废钢丸</w:t>
                  </w:r>
                </w:p>
              </w:tc>
              <w:tc>
                <w:tcPr>
                  <w:tcW w:w="816" w:type="pct"/>
                  <w:noWrap/>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抛丸</w:t>
                  </w:r>
                </w:p>
              </w:tc>
              <w:tc>
                <w:tcPr>
                  <w:tcW w:w="431"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稠状</w:t>
                  </w:r>
                </w:p>
              </w:tc>
              <w:tc>
                <w:tcPr>
                  <w:tcW w:w="949"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钢材</w:t>
                  </w:r>
                </w:p>
              </w:tc>
              <w:tc>
                <w:tcPr>
                  <w:tcW w:w="604" w:type="pct"/>
                  <w:noWrap/>
                  <w:vAlign w:val="center"/>
                </w:tcPr>
                <w:p>
                  <w:pPr>
                    <w:widowControl/>
                    <w:wordWrap w:val="0"/>
                    <w:jc w:val="center"/>
                    <w:textAlignment w:val="center"/>
                    <w:rPr>
                      <w:color w:val="auto"/>
                      <w:kern w:val="0"/>
                      <w:szCs w:val="21"/>
                      <w:lang w:bidi="ar"/>
                    </w:rPr>
                  </w:pPr>
                  <w:r>
                    <w:rPr>
                      <w:color w:val="auto"/>
                      <w:szCs w:val="21"/>
                    </w:rPr>
                    <w:t>是</w:t>
                  </w:r>
                </w:p>
              </w:tc>
              <w:tc>
                <w:tcPr>
                  <w:tcW w:w="380" w:type="pct"/>
                  <w:noWrap/>
                  <w:vAlign w:val="center"/>
                </w:tcPr>
                <w:p>
                  <w:pPr>
                    <w:widowControl/>
                    <w:wordWrap w:val="0"/>
                    <w:jc w:val="center"/>
                    <w:textAlignment w:val="center"/>
                    <w:rPr>
                      <w:color w:val="auto"/>
                      <w:kern w:val="0"/>
                      <w:szCs w:val="21"/>
                      <w:lang w:bidi="ar"/>
                    </w:rPr>
                  </w:pPr>
                  <w:r>
                    <w:rPr>
                      <w:color w:val="auto"/>
                      <w:kern w:val="0"/>
                      <w:szCs w:val="21"/>
                      <w:lang w:bidi="ar"/>
                    </w:rPr>
                    <w:t>/</w:t>
                  </w:r>
                </w:p>
              </w:tc>
              <w:tc>
                <w:tcPr>
                  <w:tcW w:w="426" w:type="pct"/>
                  <w:gridSpan w:val="2"/>
                  <w:vMerge w:val="continue"/>
                  <w:vAlign w:val="center"/>
                </w:tcPr>
                <w:p>
                  <w:pPr>
                    <w:widowControl/>
                    <w:wordWrap w:val="0"/>
                    <w:jc w:val="center"/>
                    <w:textAlignment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66"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3</w:t>
                  </w:r>
                </w:p>
              </w:tc>
              <w:tc>
                <w:tcPr>
                  <w:tcW w:w="1025"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废气处置收集的粉尘</w:t>
                  </w:r>
                </w:p>
              </w:tc>
              <w:tc>
                <w:tcPr>
                  <w:tcW w:w="816" w:type="pct"/>
                  <w:noWrap/>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废气治理</w:t>
                  </w:r>
                </w:p>
              </w:tc>
              <w:tc>
                <w:tcPr>
                  <w:tcW w:w="431"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固态</w:t>
                  </w:r>
                </w:p>
              </w:tc>
              <w:tc>
                <w:tcPr>
                  <w:tcW w:w="949"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金属粉尘</w:t>
                  </w:r>
                </w:p>
              </w:tc>
              <w:tc>
                <w:tcPr>
                  <w:tcW w:w="604" w:type="pct"/>
                  <w:noWrap/>
                  <w:vAlign w:val="center"/>
                </w:tcPr>
                <w:p>
                  <w:pPr>
                    <w:widowControl/>
                    <w:wordWrap w:val="0"/>
                    <w:jc w:val="center"/>
                    <w:textAlignment w:val="center"/>
                    <w:rPr>
                      <w:color w:val="auto"/>
                      <w:szCs w:val="21"/>
                    </w:rPr>
                  </w:pPr>
                  <w:r>
                    <w:rPr>
                      <w:color w:val="auto"/>
                      <w:szCs w:val="21"/>
                    </w:rPr>
                    <w:t>是</w:t>
                  </w:r>
                </w:p>
              </w:tc>
              <w:tc>
                <w:tcPr>
                  <w:tcW w:w="380" w:type="pct"/>
                  <w:noWrap/>
                  <w:vAlign w:val="center"/>
                </w:tcPr>
                <w:p>
                  <w:pPr>
                    <w:widowControl/>
                    <w:wordWrap w:val="0"/>
                    <w:jc w:val="center"/>
                    <w:textAlignment w:val="center"/>
                    <w:rPr>
                      <w:color w:val="auto"/>
                      <w:kern w:val="0"/>
                      <w:szCs w:val="21"/>
                      <w:lang w:bidi="ar"/>
                    </w:rPr>
                  </w:pPr>
                  <w:r>
                    <w:rPr>
                      <w:color w:val="auto"/>
                      <w:kern w:val="0"/>
                      <w:szCs w:val="21"/>
                      <w:lang w:bidi="ar"/>
                    </w:rPr>
                    <w:t>/</w:t>
                  </w:r>
                </w:p>
              </w:tc>
              <w:tc>
                <w:tcPr>
                  <w:tcW w:w="426" w:type="pct"/>
                  <w:gridSpan w:val="2"/>
                  <w:vMerge w:val="continue"/>
                  <w:vAlign w:val="center"/>
                </w:tcPr>
                <w:p>
                  <w:pPr>
                    <w:widowControl/>
                    <w:wordWrap w:val="0"/>
                    <w:jc w:val="center"/>
                    <w:textAlignment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66"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4</w:t>
                  </w:r>
                </w:p>
              </w:tc>
              <w:tc>
                <w:tcPr>
                  <w:tcW w:w="1025"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废布袋</w:t>
                  </w:r>
                </w:p>
              </w:tc>
              <w:tc>
                <w:tcPr>
                  <w:tcW w:w="816" w:type="pct"/>
                  <w:noWrap/>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废气治理</w:t>
                  </w:r>
                </w:p>
              </w:tc>
              <w:tc>
                <w:tcPr>
                  <w:tcW w:w="431"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固态</w:t>
                  </w:r>
                </w:p>
              </w:tc>
              <w:tc>
                <w:tcPr>
                  <w:tcW w:w="949"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布袋</w:t>
                  </w:r>
                </w:p>
              </w:tc>
              <w:tc>
                <w:tcPr>
                  <w:tcW w:w="604" w:type="pct"/>
                  <w:noWrap/>
                  <w:vAlign w:val="center"/>
                </w:tcPr>
                <w:p>
                  <w:pPr>
                    <w:widowControl/>
                    <w:wordWrap w:val="0"/>
                    <w:jc w:val="center"/>
                    <w:textAlignment w:val="center"/>
                    <w:rPr>
                      <w:color w:val="auto"/>
                      <w:szCs w:val="21"/>
                    </w:rPr>
                  </w:pPr>
                  <w:r>
                    <w:rPr>
                      <w:color w:val="auto"/>
                      <w:szCs w:val="21"/>
                    </w:rPr>
                    <w:t>是</w:t>
                  </w:r>
                </w:p>
              </w:tc>
              <w:tc>
                <w:tcPr>
                  <w:tcW w:w="380" w:type="pct"/>
                  <w:noWrap/>
                  <w:vAlign w:val="center"/>
                </w:tcPr>
                <w:p>
                  <w:pPr>
                    <w:widowControl/>
                    <w:wordWrap w:val="0"/>
                    <w:jc w:val="center"/>
                    <w:textAlignment w:val="center"/>
                    <w:rPr>
                      <w:color w:val="auto"/>
                      <w:szCs w:val="21"/>
                    </w:rPr>
                  </w:pPr>
                  <w:r>
                    <w:rPr>
                      <w:color w:val="auto"/>
                      <w:szCs w:val="21"/>
                    </w:rPr>
                    <w:t>/</w:t>
                  </w:r>
                </w:p>
              </w:tc>
              <w:tc>
                <w:tcPr>
                  <w:tcW w:w="426" w:type="pct"/>
                  <w:gridSpan w:val="2"/>
                  <w:vMerge w:val="continue"/>
                  <w:vAlign w:val="center"/>
                </w:tcPr>
                <w:p>
                  <w:pPr>
                    <w:widowControl/>
                    <w:wordWrap w:val="0"/>
                    <w:jc w:val="center"/>
                    <w:textAlignment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66" w:type="pct"/>
                  <w:vAlign w:val="center"/>
                </w:tcPr>
                <w:p>
                  <w:pPr>
                    <w:pStyle w:val="13"/>
                    <w:tabs>
                      <w:tab w:val="left" w:pos="2830"/>
                    </w:tabs>
                    <w:jc w:val="center"/>
                    <w:rPr>
                      <w:rFonts w:ascii="Times New Roman" w:hAnsi="Times New Roman" w:eastAsia="宋体" w:cs="Times New Roman"/>
                      <w:color w:val="auto"/>
                      <w:kern w:val="0"/>
                      <w:sz w:val="21"/>
                      <w:szCs w:val="21"/>
                      <w:lang w:val="en-US" w:eastAsia="zh-CN" w:bidi="ar-SA"/>
                    </w:rPr>
                  </w:pPr>
                  <w:r>
                    <w:rPr>
                      <w:rFonts w:ascii="Times New Roman" w:hAnsi="Times New Roman"/>
                      <w:color w:val="auto"/>
                      <w:sz w:val="21"/>
                      <w:szCs w:val="21"/>
                    </w:rPr>
                    <w:t>5</w:t>
                  </w:r>
                </w:p>
              </w:tc>
              <w:tc>
                <w:tcPr>
                  <w:tcW w:w="1025" w:type="pct"/>
                  <w:vAlign w:val="center"/>
                </w:tcPr>
                <w:p>
                  <w:pPr>
                    <w:pStyle w:val="13"/>
                    <w:tabs>
                      <w:tab w:val="left" w:pos="2830"/>
                    </w:tabs>
                    <w:jc w:val="center"/>
                    <w:rPr>
                      <w:rFonts w:ascii="Times New Roman" w:hAnsi="Times New Roman" w:eastAsia="宋体" w:cs="Times New Roman"/>
                      <w:bCs/>
                      <w:color w:val="auto"/>
                      <w:kern w:val="0"/>
                      <w:sz w:val="21"/>
                      <w:szCs w:val="21"/>
                      <w:lang w:val="en-US" w:eastAsia="zh-CN" w:bidi="ar-SA"/>
                    </w:rPr>
                  </w:pPr>
                  <w:r>
                    <w:rPr>
                      <w:rFonts w:ascii="Times New Roman" w:hAnsi="Times New Roman"/>
                      <w:color w:val="auto"/>
                      <w:sz w:val="21"/>
                      <w:szCs w:val="21"/>
                    </w:rPr>
                    <w:t>废砂轮片</w:t>
                  </w:r>
                </w:p>
              </w:tc>
              <w:tc>
                <w:tcPr>
                  <w:tcW w:w="816" w:type="pct"/>
                  <w:noWrap/>
                  <w:vAlign w:val="center"/>
                </w:tcPr>
                <w:p>
                  <w:pPr>
                    <w:pStyle w:val="13"/>
                    <w:tabs>
                      <w:tab w:val="left" w:pos="2830"/>
                    </w:tabs>
                    <w:jc w:val="center"/>
                    <w:rPr>
                      <w:rFonts w:ascii="Times New Roman" w:hAnsi="Times New Roman" w:eastAsia="宋体" w:cs="Times New Roman"/>
                      <w:color w:val="auto"/>
                      <w:kern w:val="0"/>
                      <w:sz w:val="21"/>
                      <w:szCs w:val="21"/>
                      <w:lang w:val="en-US" w:eastAsia="zh-CN" w:bidi="ar-SA"/>
                    </w:rPr>
                  </w:pPr>
                  <w:r>
                    <w:rPr>
                      <w:rFonts w:ascii="Times New Roman" w:hAnsi="Times New Roman"/>
                      <w:color w:val="auto"/>
                      <w:sz w:val="21"/>
                      <w:szCs w:val="21"/>
                    </w:rPr>
                    <w:t>打磨</w:t>
                  </w:r>
                </w:p>
              </w:tc>
              <w:tc>
                <w:tcPr>
                  <w:tcW w:w="431" w:type="pct"/>
                  <w:vAlign w:val="center"/>
                </w:tcPr>
                <w:p>
                  <w:pPr>
                    <w:pStyle w:val="13"/>
                    <w:tabs>
                      <w:tab w:val="left" w:pos="2830"/>
                    </w:tabs>
                    <w:jc w:val="center"/>
                    <w:rPr>
                      <w:rFonts w:ascii="Times New Roman" w:hAnsi="Times New Roman" w:eastAsia="宋体" w:cs="Times New Roman"/>
                      <w:color w:val="auto"/>
                      <w:kern w:val="0"/>
                      <w:sz w:val="21"/>
                      <w:szCs w:val="21"/>
                      <w:lang w:val="en-US" w:eastAsia="zh-CN" w:bidi="ar-SA"/>
                    </w:rPr>
                  </w:pPr>
                  <w:r>
                    <w:rPr>
                      <w:rFonts w:ascii="Times New Roman" w:hAnsi="Times New Roman"/>
                      <w:color w:val="auto"/>
                      <w:sz w:val="21"/>
                      <w:szCs w:val="21"/>
                    </w:rPr>
                    <w:t>固态</w:t>
                  </w:r>
                </w:p>
              </w:tc>
              <w:tc>
                <w:tcPr>
                  <w:tcW w:w="949" w:type="pct"/>
                  <w:vAlign w:val="center"/>
                </w:tcPr>
                <w:p>
                  <w:pPr>
                    <w:pStyle w:val="13"/>
                    <w:tabs>
                      <w:tab w:val="left" w:pos="2830"/>
                    </w:tabs>
                    <w:jc w:val="center"/>
                    <w:rPr>
                      <w:rFonts w:ascii="Times New Roman" w:hAnsi="Times New Roman" w:eastAsia="宋体" w:cs="Times New Roman"/>
                      <w:color w:val="auto"/>
                      <w:kern w:val="0"/>
                      <w:sz w:val="21"/>
                      <w:szCs w:val="21"/>
                      <w:lang w:val="en-US" w:eastAsia="zh-CN" w:bidi="ar-SA"/>
                    </w:rPr>
                  </w:pPr>
                  <w:r>
                    <w:rPr>
                      <w:rFonts w:ascii="Times New Roman" w:hAnsi="Times New Roman"/>
                      <w:color w:val="auto"/>
                      <w:sz w:val="21"/>
                      <w:szCs w:val="21"/>
                    </w:rPr>
                    <w:t>砂轮片</w:t>
                  </w:r>
                </w:p>
              </w:tc>
              <w:tc>
                <w:tcPr>
                  <w:tcW w:w="604" w:type="pct"/>
                  <w:noWrap/>
                  <w:vAlign w:val="center"/>
                </w:tcPr>
                <w:p>
                  <w:pPr>
                    <w:widowControl/>
                    <w:wordWrap w:val="0"/>
                    <w:jc w:val="center"/>
                    <w:textAlignment w:val="center"/>
                    <w:rPr>
                      <w:rFonts w:ascii="Times New Roman" w:hAnsi="Times New Roman" w:eastAsia="宋体" w:cs="Times New Roman"/>
                      <w:color w:val="auto"/>
                      <w:kern w:val="2"/>
                      <w:sz w:val="21"/>
                      <w:szCs w:val="21"/>
                      <w:lang w:val="en-US" w:eastAsia="zh-CN" w:bidi="ar-SA"/>
                    </w:rPr>
                  </w:pPr>
                  <w:r>
                    <w:rPr>
                      <w:color w:val="auto"/>
                      <w:szCs w:val="21"/>
                    </w:rPr>
                    <w:t>是</w:t>
                  </w:r>
                </w:p>
              </w:tc>
              <w:tc>
                <w:tcPr>
                  <w:tcW w:w="380" w:type="pct"/>
                  <w:noWrap/>
                  <w:vAlign w:val="center"/>
                </w:tcPr>
                <w:p>
                  <w:pPr>
                    <w:widowControl/>
                    <w:wordWrap w:val="0"/>
                    <w:jc w:val="center"/>
                    <w:textAlignment w:val="center"/>
                    <w:rPr>
                      <w:color w:val="auto"/>
                      <w:szCs w:val="21"/>
                    </w:rPr>
                  </w:pPr>
                  <w:r>
                    <w:rPr>
                      <w:color w:val="auto"/>
                      <w:szCs w:val="21"/>
                    </w:rPr>
                    <w:t>/</w:t>
                  </w:r>
                </w:p>
              </w:tc>
              <w:tc>
                <w:tcPr>
                  <w:tcW w:w="426" w:type="pct"/>
                  <w:gridSpan w:val="2"/>
                  <w:vMerge w:val="continue"/>
                  <w:vAlign w:val="center"/>
                </w:tcPr>
                <w:p>
                  <w:pPr>
                    <w:widowControl/>
                    <w:wordWrap w:val="0"/>
                    <w:jc w:val="center"/>
                    <w:textAlignment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66" w:type="pct"/>
                  <w:vAlign w:val="center"/>
                </w:tcPr>
                <w:p>
                  <w:pPr>
                    <w:pStyle w:val="13"/>
                    <w:tabs>
                      <w:tab w:val="left" w:pos="2830"/>
                    </w:tabs>
                    <w:jc w:val="center"/>
                    <w:rPr>
                      <w:rFonts w:ascii="Times New Roman" w:hAnsi="Times New Roman" w:eastAsia="宋体" w:cs="Times New Roman"/>
                      <w:color w:val="auto"/>
                      <w:kern w:val="0"/>
                      <w:sz w:val="21"/>
                      <w:szCs w:val="21"/>
                      <w:lang w:val="en-US" w:eastAsia="zh-CN" w:bidi="ar-SA"/>
                    </w:rPr>
                  </w:pPr>
                  <w:r>
                    <w:rPr>
                      <w:rFonts w:ascii="Times New Roman" w:hAnsi="Times New Roman"/>
                      <w:color w:val="auto"/>
                      <w:sz w:val="21"/>
                      <w:szCs w:val="21"/>
                    </w:rPr>
                    <w:t>6</w:t>
                  </w:r>
                </w:p>
              </w:tc>
              <w:tc>
                <w:tcPr>
                  <w:tcW w:w="1025" w:type="pct"/>
                  <w:vAlign w:val="center"/>
                </w:tcPr>
                <w:p>
                  <w:pPr>
                    <w:pStyle w:val="13"/>
                    <w:tabs>
                      <w:tab w:val="left" w:pos="2830"/>
                    </w:tabs>
                    <w:jc w:val="center"/>
                    <w:rPr>
                      <w:rFonts w:ascii="Times New Roman" w:hAnsi="Times New Roman" w:eastAsia="宋体" w:cs="Times New Roman"/>
                      <w:color w:val="auto"/>
                      <w:kern w:val="0"/>
                      <w:sz w:val="21"/>
                      <w:szCs w:val="21"/>
                      <w:lang w:val="en-US" w:eastAsia="zh-CN" w:bidi="ar-SA"/>
                    </w:rPr>
                  </w:pPr>
                  <w:r>
                    <w:rPr>
                      <w:rFonts w:ascii="Times New Roman" w:hAnsi="Times New Roman"/>
                      <w:color w:val="auto"/>
                      <w:sz w:val="21"/>
                      <w:szCs w:val="21"/>
                    </w:rPr>
                    <w:t>废焊渣</w:t>
                  </w:r>
                </w:p>
              </w:tc>
              <w:tc>
                <w:tcPr>
                  <w:tcW w:w="816" w:type="pct"/>
                  <w:noWrap/>
                  <w:vAlign w:val="center"/>
                </w:tcPr>
                <w:p>
                  <w:pPr>
                    <w:pStyle w:val="13"/>
                    <w:tabs>
                      <w:tab w:val="left" w:pos="2830"/>
                    </w:tabs>
                    <w:jc w:val="center"/>
                    <w:rPr>
                      <w:rFonts w:ascii="Times New Roman" w:hAnsi="Times New Roman" w:eastAsia="宋体" w:cs="Times New Roman"/>
                      <w:color w:val="auto"/>
                      <w:kern w:val="0"/>
                      <w:sz w:val="21"/>
                      <w:szCs w:val="21"/>
                      <w:lang w:val="en-US" w:eastAsia="zh-CN" w:bidi="ar-SA"/>
                    </w:rPr>
                  </w:pPr>
                  <w:r>
                    <w:rPr>
                      <w:rFonts w:ascii="Times New Roman" w:hAnsi="Times New Roman"/>
                      <w:color w:val="auto"/>
                      <w:sz w:val="21"/>
                      <w:szCs w:val="21"/>
                    </w:rPr>
                    <w:t>埋弧焊、焊接</w:t>
                  </w:r>
                </w:p>
              </w:tc>
              <w:tc>
                <w:tcPr>
                  <w:tcW w:w="431" w:type="pct"/>
                  <w:vAlign w:val="center"/>
                </w:tcPr>
                <w:p>
                  <w:pPr>
                    <w:pStyle w:val="13"/>
                    <w:tabs>
                      <w:tab w:val="left" w:pos="2830"/>
                    </w:tabs>
                    <w:jc w:val="center"/>
                    <w:rPr>
                      <w:rFonts w:ascii="Times New Roman" w:hAnsi="Times New Roman" w:eastAsia="宋体" w:cs="Times New Roman"/>
                      <w:color w:val="auto"/>
                      <w:kern w:val="0"/>
                      <w:sz w:val="21"/>
                      <w:szCs w:val="21"/>
                      <w:lang w:val="en-US" w:eastAsia="zh-CN" w:bidi="ar-SA"/>
                    </w:rPr>
                  </w:pPr>
                  <w:r>
                    <w:rPr>
                      <w:rFonts w:ascii="Times New Roman" w:hAnsi="Times New Roman"/>
                      <w:color w:val="auto"/>
                      <w:sz w:val="21"/>
                      <w:szCs w:val="21"/>
                    </w:rPr>
                    <w:t>固态</w:t>
                  </w:r>
                </w:p>
              </w:tc>
              <w:tc>
                <w:tcPr>
                  <w:tcW w:w="949" w:type="pct"/>
                  <w:vAlign w:val="center"/>
                </w:tcPr>
                <w:p>
                  <w:pPr>
                    <w:pStyle w:val="13"/>
                    <w:tabs>
                      <w:tab w:val="left" w:pos="2830"/>
                    </w:tabs>
                    <w:jc w:val="center"/>
                    <w:rPr>
                      <w:rFonts w:ascii="Times New Roman" w:hAnsi="Times New Roman" w:eastAsia="宋体" w:cs="Times New Roman"/>
                      <w:color w:val="auto"/>
                      <w:kern w:val="0"/>
                      <w:sz w:val="21"/>
                      <w:szCs w:val="21"/>
                      <w:lang w:val="en-US" w:eastAsia="zh-CN" w:bidi="ar-SA"/>
                    </w:rPr>
                  </w:pPr>
                  <w:r>
                    <w:rPr>
                      <w:rFonts w:ascii="Times New Roman" w:hAnsi="Times New Roman"/>
                      <w:color w:val="auto"/>
                      <w:sz w:val="21"/>
                      <w:szCs w:val="21"/>
                    </w:rPr>
                    <w:t>焊丝氧化物</w:t>
                  </w:r>
                </w:p>
              </w:tc>
              <w:tc>
                <w:tcPr>
                  <w:tcW w:w="604" w:type="pct"/>
                  <w:noWrap/>
                  <w:vAlign w:val="center"/>
                </w:tcPr>
                <w:p>
                  <w:pPr>
                    <w:widowControl/>
                    <w:wordWrap w:val="0"/>
                    <w:jc w:val="center"/>
                    <w:textAlignment w:val="center"/>
                    <w:rPr>
                      <w:rFonts w:ascii="Times New Roman" w:hAnsi="Times New Roman" w:eastAsia="宋体" w:cs="Times New Roman"/>
                      <w:color w:val="auto"/>
                      <w:kern w:val="2"/>
                      <w:sz w:val="21"/>
                      <w:szCs w:val="21"/>
                      <w:lang w:val="en-US" w:eastAsia="zh-CN" w:bidi="ar-SA"/>
                    </w:rPr>
                  </w:pPr>
                  <w:r>
                    <w:rPr>
                      <w:color w:val="auto"/>
                      <w:szCs w:val="21"/>
                    </w:rPr>
                    <w:t>是</w:t>
                  </w:r>
                </w:p>
              </w:tc>
              <w:tc>
                <w:tcPr>
                  <w:tcW w:w="380" w:type="pct"/>
                  <w:noWrap/>
                  <w:vAlign w:val="center"/>
                </w:tcPr>
                <w:p>
                  <w:pPr>
                    <w:widowControl/>
                    <w:wordWrap w:val="0"/>
                    <w:jc w:val="center"/>
                    <w:textAlignment w:val="center"/>
                    <w:rPr>
                      <w:rFonts w:ascii="Times New Roman" w:hAnsi="Times New Roman" w:eastAsia="宋体" w:cs="Times New Roman"/>
                      <w:color w:val="auto"/>
                      <w:kern w:val="0"/>
                      <w:sz w:val="21"/>
                      <w:szCs w:val="21"/>
                      <w:lang w:val="en-US" w:eastAsia="zh-CN" w:bidi="ar"/>
                    </w:rPr>
                  </w:pPr>
                  <w:r>
                    <w:rPr>
                      <w:color w:val="auto"/>
                      <w:kern w:val="0"/>
                      <w:szCs w:val="21"/>
                      <w:lang w:bidi="ar"/>
                    </w:rPr>
                    <w:t>/</w:t>
                  </w:r>
                </w:p>
              </w:tc>
              <w:tc>
                <w:tcPr>
                  <w:tcW w:w="426" w:type="pct"/>
                  <w:gridSpan w:val="2"/>
                  <w:vMerge w:val="continue"/>
                  <w:vAlign w:val="center"/>
                </w:tcPr>
                <w:p>
                  <w:pPr>
                    <w:widowControl/>
                    <w:wordWrap w:val="0"/>
                    <w:jc w:val="center"/>
                    <w:textAlignment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66" w:type="pct"/>
                  <w:vAlign w:val="center"/>
                </w:tcPr>
                <w:p>
                  <w:pPr>
                    <w:pStyle w:val="13"/>
                    <w:tabs>
                      <w:tab w:val="left" w:pos="2830"/>
                    </w:tabs>
                    <w:jc w:val="center"/>
                    <w:rPr>
                      <w:rFonts w:ascii="Times New Roman" w:hAnsi="Times New Roman" w:eastAsia="宋体" w:cs="Times New Roman"/>
                      <w:color w:val="auto"/>
                      <w:kern w:val="0"/>
                      <w:sz w:val="21"/>
                      <w:szCs w:val="21"/>
                      <w:lang w:val="en-US" w:eastAsia="zh-CN" w:bidi="ar-SA"/>
                    </w:rPr>
                  </w:pPr>
                  <w:r>
                    <w:rPr>
                      <w:rFonts w:ascii="Times New Roman" w:hAnsi="Times New Roman"/>
                      <w:color w:val="auto"/>
                      <w:sz w:val="21"/>
                      <w:szCs w:val="21"/>
                    </w:rPr>
                    <w:t>7</w:t>
                  </w:r>
                </w:p>
              </w:tc>
              <w:tc>
                <w:tcPr>
                  <w:tcW w:w="1025" w:type="pct"/>
                  <w:vAlign w:val="center"/>
                </w:tcPr>
                <w:p>
                  <w:pPr>
                    <w:adjustRightInd w:val="0"/>
                    <w:snapToGrid w:val="0"/>
                    <w:jc w:val="center"/>
                    <w:rPr>
                      <w:rFonts w:hint="eastAsia" w:ascii="Times New Roman" w:cs="Times New Roman" w:hAnsiTheme="minorEastAsia" w:eastAsiaTheme="minorEastAsia"/>
                      <w:color w:val="auto"/>
                      <w:kern w:val="2"/>
                      <w:sz w:val="21"/>
                      <w:szCs w:val="21"/>
                      <w:lang w:val="en-US" w:eastAsia="zh-CN" w:bidi="ar-SA"/>
                    </w:rPr>
                  </w:pPr>
                  <w:r>
                    <w:rPr>
                      <w:rFonts w:hint="eastAsia" w:hAnsiTheme="minorEastAsia" w:eastAsiaTheme="minorEastAsia"/>
                      <w:color w:val="auto"/>
                      <w:sz w:val="21"/>
                      <w:szCs w:val="21"/>
                      <w:lang w:eastAsia="zh-CN"/>
                    </w:rPr>
                    <w:t>废金属屑</w:t>
                  </w:r>
                </w:p>
              </w:tc>
              <w:tc>
                <w:tcPr>
                  <w:tcW w:w="816" w:type="pct"/>
                  <w:noWrap/>
                  <w:vAlign w:val="center"/>
                </w:tcPr>
                <w:p>
                  <w:pPr>
                    <w:adjustRightInd w:val="0"/>
                    <w:snapToGrid w:val="0"/>
                    <w:jc w:val="center"/>
                    <w:rPr>
                      <w:rFonts w:hint="eastAsia" w:ascii="Times New Roman" w:cs="Times New Roman" w:hAnsiTheme="minorEastAsia" w:eastAsiaTheme="minorEastAsia"/>
                      <w:color w:val="auto"/>
                      <w:kern w:val="2"/>
                      <w:sz w:val="21"/>
                      <w:szCs w:val="21"/>
                      <w:lang w:val="en-US" w:eastAsia="zh-CN" w:bidi="ar-SA"/>
                    </w:rPr>
                  </w:pPr>
                  <w:r>
                    <w:rPr>
                      <w:rFonts w:hint="eastAsia" w:hAnsiTheme="minorEastAsia" w:eastAsiaTheme="minorEastAsia"/>
                      <w:color w:val="auto"/>
                      <w:sz w:val="21"/>
                      <w:szCs w:val="21"/>
                      <w:lang w:eastAsia="zh-CN"/>
                    </w:rPr>
                    <w:t>切割、抛丸、打磨</w:t>
                  </w:r>
                </w:p>
              </w:tc>
              <w:tc>
                <w:tcPr>
                  <w:tcW w:w="431" w:type="pct"/>
                  <w:vAlign w:val="center"/>
                </w:tcPr>
                <w:p>
                  <w:pPr>
                    <w:adjustRightInd w:val="0"/>
                    <w:snapToGrid w:val="0"/>
                    <w:jc w:val="center"/>
                    <w:rPr>
                      <w:rFonts w:ascii="Times New Roman" w:cs="Times New Roman" w:hAnsiTheme="minorEastAsia" w:eastAsiaTheme="minorEastAsia"/>
                      <w:color w:val="auto"/>
                      <w:kern w:val="2"/>
                      <w:sz w:val="21"/>
                      <w:szCs w:val="21"/>
                      <w:lang w:val="en-US" w:eastAsia="zh-CN" w:bidi="ar-SA"/>
                    </w:rPr>
                  </w:pPr>
                  <w:r>
                    <w:rPr>
                      <w:rFonts w:hAnsiTheme="minorEastAsia" w:eastAsiaTheme="minorEastAsia"/>
                      <w:color w:val="auto"/>
                      <w:sz w:val="21"/>
                      <w:szCs w:val="21"/>
                    </w:rPr>
                    <w:t>固态</w:t>
                  </w:r>
                </w:p>
              </w:tc>
              <w:tc>
                <w:tcPr>
                  <w:tcW w:w="949" w:type="pct"/>
                  <w:vAlign w:val="center"/>
                </w:tcPr>
                <w:p>
                  <w:pPr>
                    <w:adjustRightInd w:val="0"/>
                    <w:snapToGrid w:val="0"/>
                    <w:jc w:val="center"/>
                    <w:rPr>
                      <w:rFonts w:hint="eastAsia" w:ascii="Times New Roman" w:cs="Times New Roman" w:hAnsiTheme="minorEastAsia" w:eastAsiaTheme="minorEastAsia"/>
                      <w:color w:val="auto"/>
                      <w:kern w:val="2"/>
                      <w:sz w:val="21"/>
                      <w:szCs w:val="21"/>
                      <w:lang w:val="en-US" w:eastAsia="zh-CN" w:bidi="ar-SA"/>
                    </w:rPr>
                  </w:pPr>
                  <w:r>
                    <w:rPr>
                      <w:rFonts w:ascii="Times New Roman" w:hAnsi="Times New Roman"/>
                      <w:color w:val="auto"/>
                      <w:sz w:val="21"/>
                      <w:szCs w:val="21"/>
                    </w:rPr>
                    <w:t>钢材</w:t>
                  </w:r>
                </w:p>
              </w:tc>
              <w:tc>
                <w:tcPr>
                  <w:tcW w:w="604" w:type="pct"/>
                  <w:noWrap/>
                  <w:vAlign w:val="center"/>
                </w:tcPr>
                <w:p>
                  <w:pPr>
                    <w:adjustRightInd w:val="0"/>
                    <w:snapToGrid w:val="0"/>
                    <w:jc w:val="center"/>
                    <w:rPr>
                      <w:rFonts w:ascii="Times New Roman" w:hAnsi="Times New Roman" w:eastAsia="宋体" w:cs="Times New Roman"/>
                      <w:color w:val="auto"/>
                      <w:kern w:val="2"/>
                      <w:sz w:val="21"/>
                      <w:szCs w:val="21"/>
                      <w:lang w:val="en-US" w:eastAsia="zh-CN" w:bidi="ar-SA"/>
                    </w:rPr>
                  </w:pPr>
                  <w:r>
                    <w:rPr>
                      <w:color w:val="auto"/>
                      <w:sz w:val="21"/>
                      <w:szCs w:val="21"/>
                    </w:rPr>
                    <w:t>是</w:t>
                  </w:r>
                </w:p>
              </w:tc>
              <w:tc>
                <w:tcPr>
                  <w:tcW w:w="380" w:type="pct"/>
                  <w:noWrap/>
                  <w:vAlign w:val="center"/>
                </w:tcPr>
                <w:p>
                  <w:pPr>
                    <w:widowControl/>
                    <w:wordWrap w:val="0"/>
                    <w:jc w:val="center"/>
                    <w:textAlignment w:val="center"/>
                    <w:rPr>
                      <w:rFonts w:ascii="Times New Roman" w:hAnsi="Times New Roman" w:eastAsia="宋体" w:cs="Times New Roman"/>
                      <w:color w:val="auto"/>
                      <w:kern w:val="0"/>
                      <w:sz w:val="21"/>
                      <w:szCs w:val="21"/>
                      <w:lang w:val="en-US" w:eastAsia="zh-CN" w:bidi="ar"/>
                    </w:rPr>
                  </w:pPr>
                  <w:r>
                    <w:rPr>
                      <w:color w:val="auto"/>
                      <w:kern w:val="0"/>
                      <w:szCs w:val="21"/>
                      <w:lang w:bidi="ar"/>
                    </w:rPr>
                    <w:t>/</w:t>
                  </w:r>
                </w:p>
              </w:tc>
              <w:tc>
                <w:tcPr>
                  <w:tcW w:w="426" w:type="pct"/>
                  <w:gridSpan w:val="2"/>
                  <w:vMerge w:val="continue"/>
                  <w:vAlign w:val="center"/>
                </w:tcPr>
                <w:p>
                  <w:pPr>
                    <w:widowControl/>
                    <w:wordWrap w:val="0"/>
                    <w:jc w:val="center"/>
                    <w:textAlignment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66" w:type="pct"/>
                  <w:vAlign w:val="center"/>
                </w:tcPr>
                <w:p>
                  <w:pPr>
                    <w:pStyle w:val="13"/>
                    <w:tabs>
                      <w:tab w:val="left" w:pos="2830"/>
                    </w:tabs>
                    <w:jc w:val="center"/>
                    <w:rPr>
                      <w:rFonts w:ascii="Times New Roman" w:hAnsi="Times New Roman" w:eastAsia="宋体" w:cs="Times New Roman"/>
                      <w:color w:val="auto"/>
                      <w:kern w:val="0"/>
                      <w:sz w:val="21"/>
                      <w:szCs w:val="21"/>
                      <w:lang w:val="en-US" w:eastAsia="zh-CN" w:bidi="ar-SA"/>
                    </w:rPr>
                  </w:pPr>
                  <w:r>
                    <w:rPr>
                      <w:rFonts w:ascii="Times New Roman" w:hAnsi="Times New Roman"/>
                      <w:color w:val="auto"/>
                      <w:sz w:val="21"/>
                      <w:szCs w:val="21"/>
                    </w:rPr>
                    <w:t>8</w:t>
                  </w:r>
                </w:p>
              </w:tc>
              <w:tc>
                <w:tcPr>
                  <w:tcW w:w="1025"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废漆渣</w:t>
                  </w:r>
                </w:p>
              </w:tc>
              <w:tc>
                <w:tcPr>
                  <w:tcW w:w="816" w:type="pct"/>
                  <w:noWrap/>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喷漆</w:t>
                  </w:r>
                </w:p>
              </w:tc>
              <w:tc>
                <w:tcPr>
                  <w:tcW w:w="431"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固态</w:t>
                  </w:r>
                </w:p>
              </w:tc>
              <w:tc>
                <w:tcPr>
                  <w:tcW w:w="949"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漆</w:t>
                  </w:r>
                </w:p>
              </w:tc>
              <w:tc>
                <w:tcPr>
                  <w:tcW w:w="604" w:type="pct"/>
                  <w:noWrap/>
                  <w:vAlign w:val="center"/>
                </w:tcPr>
                <w:p>
                  <w:pPr>
                    <w:widowControl/>
                    <w:wordWrap w:val="0"/>
                    <w:jc w:val="center"/>
                    <w:textAlignment w:val="center"/>
                    <w:rPr>
                      <w:color w:val="auto"/>
                      <w:szCs w:val="21"/>
                    </w:rPr>
                  </w:pPr>
                  <w:r>
                    <w:rPr>
                      <w:color w:val="auto"/>
                      <w:szCs w:val="21"/>
                    </w:rPr>
                    <w:t>是</w:t>
                  </w:r>
                </w:p>
              </w:tc>
              <w:tc>
                <w:tcPr>
                  <w:tcW w:w="380" w:type="pct"/>
                  <w:noWrap/>
                  <w:vAlign w:val="center"/>
                </w:tcPr>
                <w:p>
                  <w:pPr>
                    <w:widowControl/>
                    <w:wordWrap w:val="0"/>
                    <w:jc w:val="center"/>
                    <w:textAlignment w:val="center"/>
                    <w:rPr>
                      <w:color w:val="auto"/>
                      <w:szCs w:val="21"/>
                    </w:rPr>
                  </w:pPr>
                  <w:r>
                    <w:rPr>
                      <w:color w:val="auto"/>
                      <w:szCs w:val="21"/>
                    </w:rPr>
                    <w:t>/</w:t>
                  </w:r>
                </w:p>
              </w:tc>
              <w:tc>
                <w:tcPr>
                  <w:tcW w:w="426" w:type="pct"/>
                  <w:gridSpan w:val="2"/>
                  <w:vMerge w:val="continue"/>
                  <w:vAlign w:val="center"/>
                </w:tcPr>
                <w:p>
                  <w:pPr>
                    <w:widowControl/>
                    <w:wordWrap w:val="0"/>
                    <w:jc w:val="center"/>
                    <w:textAlignment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66" w:type="pct"/>
                  <w:vAlign w:val="center"/>
                </w:tcPr>
                <w:p>
                  <w:pPr>
                    <w:pStyle w:val="13"/>
                    <w:tabs>
                      <w:tab w:val="left" w:pos="2830"/>
                    </w:tabs>
                    <w:jc w:val="center"/>
                    <w:rPr>
                      <w:rFonts w:ascii="Times New Roman" w:hAnsi="Times New Roman" w:eastAsia="宋体" w:cs="Times New Roman"/>
                      <w:bCs/>
                      <w:color w:val="auto"/>
                      <w:kern w:val="0"/>
                      <w:sz w:val="21"/>
                      <w:szCs w:val="21"/>
                      <w:lang w:val="en-US" w:eastAsia="zh-CN" w:bidi="ar-SA"/>
                    </w:rPr>
                  </w:pPr>
                  <w:r>
                    <w:rPr>
                      <w:rFonts w:ascii="Times New Roman" w:hAnsi="Times New Roman"/>
                      <w:color w:val="auto"/>
                      <w:sz w:val="21"/>
                      <w:szCs w:val="21"/>
                    </w:rPr>
                    <w:t>9</w:t>
                  </w:r>
                </w:p>
              </w:tc>
              <w:tc>
                <w:tcPr>
                  <w:tcW w:w="1025"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废漆桶</w:t>
                  </w:r>
                </w:p>
              </w:tc>
              <w:tc>
                <w:tcPr>
                  <w:tcW w:w="816" w:type="pct"/>
                  <w:noWrap/>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包装</w:t>
                  </w:r>
                </w:p>
              </w:tc>
              <w:tc>
                <w:tcPr>
                  <w:tcW w:w="431"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固态</w:t>
                  </w:r>
                </w:p>
              </w:tc>
              <w:tc>
                <w:tcPr>
                  <w:tcW w:w="949"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有机物</w:t>
                  </w:r>
                </w:p>
              </w:tc>
              <w:tc>
                <w:tcPr>
                  <w:tcW w:w="604" w:type="pct"/>
                  <w:noWrap/>
                  <w:vAlign w:val="center"/>
                </w:tcPr>
                <w:p>
                  <w:pPr>
                    <w:widowControl/>
                    <w:wordWrap w:val="0"/>
                    <w:jc w:val="center"/>
                    <w:textAlignment w:val="center"/>
                    <w:rPr>
                      <w:color w:val="auto"/>
                      <w:szCs w:val="21"/>
                    </w:rPr>
                  </w:pPr>
                  <w:r>
                    <w:rPr>
                      <w:color w:val="auto"/>
                      <w:szCs w:val="21"/>
                    </w:rPr>
                    <w:t>是</w:t>
                  </w:r>
                </w:p>
              </w:tc>
              <w:tc>
                <w:tcPr>
                  <w:tcW w:w="380" w:type="pct"/>
                  <w:noWrap/>
                  <w:vAlign w:val="center"/>
                </w:tcPr>
                <w:p>
                  <w:pPr>
                    <w:widowControl/>
                    <w:wordWrap w:val="0"/>
                    <w:jc w:val="center"/>
                    <w:textAlignment w:val="center"/>
                    <w:rPr>
                      <w:color w:val="auto"/>
                      <w:kern w:val="0"/>
                      <w:szCs w:val="21"/>
                      <w:lang w:bidi="ar"/>
                    </w:rPr>
                  </w:pPr>
                  <w:r>
                    <w:rPr>
                      <w:color w:val="auto"/>
                      <w:kern w:val="0"/>
                      <w:szCs w:val="21"/>
                      <w:lang w:bidi="ar"/>
                    </w:rPr>
                    <w:t>/</w:t>
                  </w:r>
                </w:p>
              </w:tc>
              <w:tc>
                <w:tcPr>
                  <w:tcW w:w="426" w:type="pct"/>
                  <w:gridSpan w:val="2"/>
                  <w:vMerge w:val="continue"/>
                  <w:vAlign w:val="center"/>
                </w:tcPr>
                <w:p>
                  <w:pPr>
                    <w:widowControl/>
                    <w:wordWrap w:val="0"/>
                    <w:jc w:val="center"/>
                    <w:textAlignment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66" w:type="pct"/>
                  <w:vAlign w:val="center"/>
                </w:tcPr>
                <w:p>
                  <w:pPr>
                    <w:pStyle w:val="13"/>
                    <w:tabs>
                      <w:tab w:val="left" w:pos="2830"/>
                    </w:tabs>
                    <w:jc w:val="center"/>
                    <w:rPr>
                      <w:rFonts w:hint="default" w:ascii="Times New Roman" w:hAnsi="Times New Roman" w:eastAsia="宋体" w:cs="Times New Roman"/>
                      <w:bCs/>
                      <w:color w:val="auto"/>
                      <w:kern w:val="0"/>
                      <w:sz w:val="21"/>
                      <w:szCs w:val="21"/>
                      <w:lang w:val="en-US" w:eastAsia="zh-CN" w:bidi="ar-SA"/>
                    </w:rPr>
                  </w:pPr>
                  <w:r>
                    <w:rPr>
                      <w:rFonts w:hint="eastAsia" w:ascii="Times New Roman" w:hAnsi="Times New Roman"/>
                      <w:bCs/>
                      <w:color w:val="auto"/>
                      <w:sz w:val="21"/>
                      <w:szCs w:val="21"/>
                      <w:lang w:val="en-US" w:eastAsia="zh-CN"/>
                    </w:rPr>
                    <w:t>10</w:t>
                  </w:r>
                </w:p>
              </w:tc>
              <w:tc>
                <w:tcPr>
                  <w:tcW w:w="1025"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废油桶</w:t>
                  </w:r>
                </w:p>
              </w:tc>
              <w:tc>
                <w:tcPr>
                  <w:tcW w:w="816" w:type="pct"/>
                  <w:noWrap/>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原辅料</w:t>
                  </w:r>
                </w:p>
              </w:tc>
              <w:tc>
                <w:tcPr>
                  <w:tcW w:w="431"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固态</w:t>
                  </w:r>
                </w:p>
              </w:tc>
              <w:tc>
                <w:tcPr>
                  <w:tcW w:w="949"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矿物油、铁桶</w:t>
                  </w:r>
                </w:p>
              </w:tc>
              <w:tc>
                <w:tcPr>
                  <w:tcW w:w="604" w:type="pct"/>
                  <w:noWrap/>
                  <w:vAlign w:val="center"/>
                </w:tcPr>
                <w:p>
                  <w:pPr>
                    <w:widowControl/>
                    <w:wordWrap w:val="0"/>
                    <w:jc w:val="center"/>
                    <w:textAlignment w:val="center"/>
                    <w:rPr>
                      <w:color w:val="auto"/>
                      <w:szCs w:val="21"/>
                    </w:rPr>
                  </w:pPr>
                  <w:r>
                    <w:rPr>
                      <w:color w:val="auto"/>
                      <w:szCs w:val="21"/>
                    </w:rPr>
                    <w:t>是</w:t>
                  </w:r>
                </w:p>
              </w:tc>
              <w:tc>
                <w:tcPr>
                  <w:tcW w:w="380" w:type="pct"/>
                  <w:noWrap/>
                  <w:vAlign w:val="center"/>
                </w:tcPr>
                <w:p>
                  <w:pPr>
                    <w:widowControl/>
                    <w:wordWrap w:val="0"/>
                    <w:jc w:val="center"/>
                    <w:textAlignment w:val="center"/>
                    <w:rPr>
                      <w:color w:val="auto"/>
                      <w:kern w:val="0"/>
                      <w:szCs w:val="21"/>
                      <w:lang w:bidi="ar"/>
                    </w:rPr>
                  </w:pPr>
                  <w:r>
                    <w:rPr>
                      <w:color w:val="auto"/>
                      <w:kern w:val="0"/>
                      <w:szCs w:val="21"/>
                      <w:lang w:bidi="ar"/>
                    </w:rPr>
                    <w:t>/</w:t>
                  </w:r>
                </w:p>
              </w:tc>
              <w:tc>
                <w:tcPr>
                  <w:tcW w:w="426" w:type="pct"/>
                  <w:gridSpan w:val="2"/>
                  <w:vMerge w:val="continue"/>
                  <w:vAlign w:val="center"/>
                </w:tcPr>
                <w:p>
                  <w:pPr>
                    <w:widowControl/>
                    <w:wordWrap w:val="0"/>
                    <w:jc w:val="center"/>
                    <w:textAlignment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66" w:type="pct"/>
                  <w:vAlign w:val="center"/>
                </w:tcPr>
                <w:p>
                  <w:pPr>
                    <w:pStyle w:val="13"/>
                    <w:tabs>
                      <w:tab w:val="left" w:pos="2830"/>
                    </w:tabs>
                    <w:jc w:val="center"/>
                    <w:rPr>
                      <w:rFonts w:ascii="Times New Roman" w:hAnsi="Times New Roman" w:eastAsia="宋体" w:cs="Times New Roman"/>
                      <w:bCs/>
                      <w:color w:val="auto"/>
                      <w:kern w:val="0"/>
                      <w:sz w:val="21"/>
                      <w:szCs w:val="21"/>
                      <w:lang w:val="en-US" w:eastAsia="zh-CN" w:bidi="ar-SA"/>
                    </w:rPr>
                  </w:pPr>
                  <w:r>
                    <w:rPr>
                      <w:rFonts w:ascii="Times New Roman" w:hAnsi="Times New Roman"/>
                      <w:color w:val="auto"/>
                      <w:sz w:val="21"/>
                      <w:szCs w:val="21"/>
                    </w:rPr>
                    <w:t>11</w:t>
                  </w:r>
                </w:p>
              </w:tc>
              <w:tc>
                <w:tcPr>
                  <w:tcW w:w="1025"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废活性炭</w:t>
                  </w:r>
                </w:p>
              </w:tc>
              <w:tc>
                <w:tcPr>
                  <w:tcW w:w="816" w:type="pct"/>
                  <w:noWrap/>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废气治理</w:t>
                  </w:r>
                </w:p>
              </w:tc>
              <w:tc>
                <w:tcPr>
                  <w:tcW w:w="431"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固态</w:t>
                  </w:r>
                </w:p>
              </w:tc>
              <w:tc>
                <w:tcPr>
                  <w:tcW w:w="949"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活性炭</w:t>
                  </w:r>
                </w:p>
              </w:tc>
              <w:tc>
                <w:tcPr>
                  <w:tcW w:w="604" w:type="pct"/>
                  <w:noWrap/>
                  <w:vAlign w:val="center"/>
                </w:tcPr>
                <w:p>
                  <w:pPr>
                    <w:widowControl/>
                    <w:wordWrap w:val="0"/>
                    <w:jc w:val="center"/>
                    <w:textAlignment w:val="center"/>
                    <w:rPr>
                      <w:color w:val="auto"/>
                      <w:szCs w:val="21"/>
                    </w:rPr>
                  </w:pPr>
                  <w:r>
                    <w:rPr>
                      <w:color w:val="auto"/>
                      <w:szCs w:val="21"/>
                    </w:rPr>
                    <w:t>是</w:t>
                  </w:r>
                </w:p>
              </w:tc>
              <w:tc>
                <w:tcPr>
                  <w:tcW w:w="380" w:type="pct"/>
                  <w:noWrap/>
                  <w:vAlign w:val="center"/>
                </w:tcPr>
                <w:p>
                  <w:pPr>
                    <w:widowControl/>
                    <w:wordWrap w:val="0"/>
                    <w:jc w:val="center"/>
                    <w:textAlignment w:val="center"/>
                    <w:rPr>
                      <w:color w:val="auto"/>
                      <w:szCs w:val="21"/>
                    </w:rPr>
                  </w:pPr>
                  <w:r>
                    <w:rPr>
                      <w:color w:val="auto"/>
                      <w:szCs w:val="21"/>
                    </w:rPr>
                    <w:t>/</w:t>
                  </w:r>
                </w:p>
              </w:tc>
              <w:tc>
                <w:tcPr>
                  <w:tcW w:w="426" w:type="pct"/>
                  <w:gridSpan w:val="2"/>
                  <w:vMerge w:val="continue"/>
                  <w:vAlign w:val="center"/>
                </w:tcPr>
                <w:p>
                  <w:pPr>
                    <w:widowControl/>
                    <w:wordWrap w:val="0"/>
                    <w:jc w:val="center"/>
                    <w:textAlignment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66" w:type="pct"/>
                  <w:vAlign w:val="center"/>
                </w:tcPr>
                <w:p>
                  <w:pPr>
                    <w:pStyle w:val="13"/>
                    <w:tabs>
                      <w:tab w:val="left" w:pos="2830"/>
                    </w:tabs>
                    <w:jc w:val="center"/>
                    <w:rPr>
                      <w:rFonts w:ascii="Times New Roman" w:hAnsi="Times New Roman" w:eastAsia="宋体" w:cs="Times New Roman"/>
                      <w:bCs/>
                      <w:color w:val="auto"/>
                      <w:kern w:val="0"/>
                      <w:sz w:val="21"/>
                      <w:szCs w:val="21"/>
                      <w:lang w:val="en-US" w:eastAsia="zh-CN" w:bidi="ar-SA"/>
                    </w:rPr>
                  </w:pPr>
                  <w:r>
                    <w:rPr>
                      <w:rFonts w:ascii="Times New Roman" w:hAnsi="Times New Roman"/>
                      <w:color w:val="auto"/>
                      <w:sz w:val="21"/>
                      <w:szCs w:val="21"/>
                    </w:rPr>
                    <w:t>12</w:t>
                  </w:r>
                </w:p>
              </w:tc>
              <w:tc>
                <w:tcPr>
                  <w:tcW w:w="1025"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废润滑油</w:t>
                  </w:r>
                </w:p>
              </w:tc>
              <w:tc>
                <w:tcPr>
                  <w:tcW w:w="816" w:type="pct"/>
                  <w:noWrap/>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机器维修</w:t>
                  </w:r>
                </w:p>
              </w:tc>
              <w:tc>
                <w:tcPr>
                  <w:tcW w:w="431"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液态</w:t>
                  </w:r>
                </w:p>
              </w:tc>
              <w:tc>
                <w:tcPr>
                  <w:tcW w:w="949"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矿物油</w:t>
                  </w:r>
                </w:p>
              </w:tc>
              <w:tc>
                <w:tcPr>
                  <w:tcW w:w="604" w:type="pct"/>
                  <w:noWrap/>
                  <w:vAlign w:val="center"/>
                </w:tcPr>
                <w:p>
                  <w:pPr>
                    <w:widowControl/>
                    <w:wordWrap w:val="0"/>
                    <w:jc w:val="center"/>
                    <w:textAlignment w:val="center"/>
                    <w:rPr>
                      <w:color w:val="auto"/>
                      <w:szCs w:val="21"/>
                    </w:rPr>
                  </w:pPr>
                  <w:r>
                    <w:rPr>
                      <w:color w:val="auto"/>
                      <w:szCs w:val="21"/>
                    </w:rPr>
                    <w:t>是</w:t>
                  </w:r>
                </w:p>
              </w:tc>
              <w:tc>
                <w:tcPr>
                  <w:tcW w:w="380" w:type="pct"/>
                  <w:noWrap/>
                  <w:vAlign w:val="center"/>
                </w:tcPr>
                <w:p>
                  <w:pPr>
                    <w:widowControl/>
                    <w:wordWrap w:val="0"/>
                    <w:jc w:val="center"/>
                    <w:textAlignment w:val="center"/>
                    <w:rPr>
                      <w:color w:val="auto"/>
                      <w:szCs w:val="21"/>
                    </w:rPr>
                  </w:pPr>
                  <w:r>
                    <w:rPr>
                      <w:color w:val="auto"/>
                      <w:szCs w:val="21"/>
                    </w:rPr>
                    <w:t>/</w:t>
                  </w:r>
                </w:p>
              </w:tc>
              <w:tc>
                <w:tcPr>
                  <w:tcW w:w="426" w:type="pct"/>
                  <w:gridSpan w:val="2"/>
                  <w:vMerge w:val="continue"/>
                  <w:vAlign w:val="center"/>
                </w:tcPr>
                <w:p>
                  <w:pPr>
                    <w:widowControl/>
                    <w:wordWrap w:val="0"/>
                    <w:jc w:val="center"/>
                    <w:textAlignment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66" w:type="pct"/>
                  <w:vAlign w:val="center"/>
                </w:tcPr>
                <w:p>
                  <w:pPr>
                    <w:pStyle w:val="13"/>
                    <w:tabs>
                      <w:tab w:val="left" w:pos="2830"/>
                    </w:tabs>
                    <w:jc w:val="center"/>
                    <w:rPr>
                      <w:rFonts w:hint="default" w:ascii="Times New Roman" w:hAnsi="Times New Roman" w:eastAsia="宋体" w:cs="Times New Roman"/>
                      <w:bCs/>
                      <w:color w:val="auto"/>
                      <w:kern w:val="0"/>
                      <w:sz w:val="21"/>
                      <w:szCs w:val="21"/>
                      <w:lang w:val="en-US" w:eastAsia="zh-CN" w:bidi="ar-SA"/>
                    </w:rPr>
                  </w:pPr>
                  <w:r>
                    <w:rPr>
                      <w:rFonts w:ascii="Times New Roman" w:hAnsi="Times New Roman"/>
                      <w:color w:val="auto"/>
                      <w:sz w:val="21"/>
                      <w:szCs w:val="21"/>
                    </w:rPr>
                    <w:t>1</w:t>
                  </w:r>
                  <w:r>
                    <w:rPr>
                      <w:rFonts w:hint="eastAsia" w:ascii="Times New Roman" w:hAnsi="Times New Roman"/>
                      <w:color w:val="auto"/>
                      <w:sz w:val="21"/>
                      <w:szCs w:val="21"/>
                    </w:rPr>
                    <w:t>3</w:t>
                  </w:r>
                </w:p>
              </w:tc>
              <w:tc>
                <w:tcPr>
                  <w:tcW w:w="1025" w:type="pct"/>
                  <w:vAlign w:val="center"/>
                </w:tcPr>
                <w:p>
                  <w:pPr>
                    <w:adjustRightInd w:val="0"/>
                    <w:snapToGrid w:val="0"/>
                    <w:jc w:val="center"/>
                    <w:rPr>
                      <w:rFonts w:ascii="Times New Roman" w:hAnsi="Times New Roman" w:eastAsia="宋体" w:cs="Times New Roman"/>
                      <w:color w:val="auto"/>
                      <w:kern w:val="2"/>
                      <w:sz w:val="21"/>
                      <w:szCs w:val="21"/>
                      <w:lang w:val="en-US" w:eastAsia="zh-CN" w:bidi="ar-SA"/>
                    </w:rPr>
                  </w:pPr>
                  <w:r>
                    <w:rPr>
                      <w:rFonts w:hint="eastAsia" w:hAnsiTheme="minorEastAsia" w:eastAsiaTheme="minorEastAsia"/>
                      <w:color w:val="auto"/>
                      <w:sz w:val="21"/>
                      <w:szCs w:val="21"/>
                    </w:rPr>
                    <w:t>废喷枪枪头</w:t>
                  </w:r>
                </w:p>
              </w:tc>
              <w:tc>
                <w:tcPr>
                  <w:tcW w:w="816" w:type="pct"/>
                  <w:noWrap/>
                  <w:vAlign w:val="center"/>
                </w:tcPr>
                <w:p>
                  <w:pPr>
                    <w:adjustRightInd w:val="0"/>
                    <w:snapToGrid w:val="0"/>
                    <w:jc w:val="center"/>
                    <w:rPr>
                      <w:rFonts w:ascii="Times New Roman" w:hAnsi="Times New Roman" w:eastAsia="宋体" w:cs="Times New Roman"/>
                      <w:color w:val="auto"/>
                      <w:kern w:val="2"/>
                      <w:sz w:val="21"/>
                      <w:szCs w:val="21"/>
                      <w:lang w:val="en-US" w:eastAsia="zh-CN" w:bidi="ar-SA"/>
                    </w:rPr>
                  </w:pPr>
                  <w:r>
                    <w:rPr>
                      <w:rFonts w:hint="eastAsia" w:hAnsiTheme="minorEastAsia" w:eastAsiaTheme="minorEastAsia"/>
                      <w:color w:val="auto"/>
                      <w:sz w:val="21"/>
                      <w:szCs w:val="21"/>
                    </w:rPr>
                    <w:t>喷漆</w:t>
                  </w:r>
                </w:p>
              </w:tc>
              <w:tc>
                <w:tcPr>
                  <w:tcW w:w="431" w:type="pct"/>
                  <w:vAlign w:val="center"/>
                </w:tcPr>
                <w:p>
                  <w:pPr>
                    <w:adjustRightInd w:val="0"/>
                    <w:snapToGrid w:val="0"/>
                    <w:jc w:val="center"/>
                    <w:rPr>
                      <w:rFonts w:ascii="Times New Roman" w:hAnsi="Times New Roman" w:eastAsia="宋体" w:cs="Times New Roman"/>
                      <w:color w:val="auto"/>
                      <w:kern w:val="2"/>
                      <w:sz w:val="21"/>
                      <w:szCs w:val="21"/>
                      <w:lang w:val="en-US" w:eastAsia="zh-CN" w:bidi="ar-SA"/>
                    </w:rPr>
                  </w:pPr>
                  <w:r>
                    <w:rPr>
                      <w:rFonts w:hAnsiTheme="minorEastAsia" w:eastAsiaTheme="minorEastAsia"/>
                      <w:color w:val="auto"/>
                      <w:sz w:val="21"/>
                      <w:szCs w:val="21"/>
                    </w:rPr>
                    <w:t>固态</w:t>
                  </w:r>
                </w:p>
              </w:tc>
              <w:tc>
                <w:tcPr>
                  <w:tcW w:w="949" w:type="pct"/>
                  <w:vAlign w:val="center"/>
                </w:tcPr>
                <w:p>
                  <w:pPr>
                    <w:adjustRightInd w:val="0"/>
                    <w:snapToGrid w:val="0"/>
                    <w:jc w:val="center"/>
                    <w:rPr>
                      <w:rFonts w:ascii="Times New Roman" w:hAnsi="Times New Roman" w:eastAsia="宋体" w:cs="Times New Roman"/>
                      <w:color w:val="auto"/>
                      <w:kern w:val="2"/>
                      <w:sz w:val="21"/>
                      <w:szCs w:val="21"/>
                      <w:lang w:val="en-US" w:eastAsia="zh-CN" w:bidi="ar-SA"/>
                    </w:rPr>
                  </w:pPr>
                  <w:r>
                    <w:rPr>
                      <w:rFonts w:hint="eastAsia" w:hAnsiTheme="minorEastAsia" w:eastAsiaTheme="minorEastAsia"/>
                      <w:color w:val="auto"/>
                      <w:sz w:val="21"/>
                      <w:szCs w:val="21"/>
                    </w:rPr>
                    <w:t>喷漆枪头</w:t>
                  </w:r>
                </w:p>
              </w:tc>
              <w:tc>
                <w:tcPr>
                  <w:tcW w:w="604" w:type="pct"/>
                  <w:noWrap/>
                  <w:vAlign w:val="center"/>
                </w:tcPr>
                <w:p>
                  <w:pPr>
                    <w:adjustRightInd w:val="0"/>
                    <w:snapToGrid w:val="0"/>
                    <w:jc w:val="center"/>
                    <w:rPr>
                      <w:rFonts w:ascii="Times New Roman" w:hAnsi="Times New Roman" w:eastAsia="宋体" w:cs="Times New Roman"/>
                      <w:color w:val="auto"/>
                      <w:kern w:val="2"/>
                      <w:sz w:val="21"/>
                      <w:szCs w:val="21"/>
                      <w:lang w:val="en-US" w:eastAsia="zh-CN" w:bidi="ar-SA"/>
                    </w:rPr>
                  </w:pPr>
                  <w:r>
                    <w:rPr>
                      <w:color w:val="auto"/>
                      <w:sz w:val="21"/>
                      <w:szCs w:val="21"/>
                    </w:rPr>
                    <w:t>是</w:t>
                  </w:r>
                </w:p>
              </w:tc>
              <w:tc>
                <w:tcPr>
                  <w:tcW w:w="380" w:type="pct"/>
                  <w:noWrap/>
                  <w:vAlign w:val="center"/>
                </w:tcPr>
                <w:p>
                  <w:pPr>
                    <w:widowControl/>
                    <w:wordWrap w:val="0"/>
                    <w:jc w:val="center"/>
                    <w:textAlignment w:val="center"/>
                    <w:rPr>
                      <w:rFonts w:ascii="Times New Roman" w:hAnsi="Times New Roman" w:eastAsia="宋体" w:cs="Times New Roman"/>
                      <w:color w:val="auto"/>
                      <w:kern w:val="0"/>
                      <w:sz w:val="21"/>
                      <w:szCs w:val="21"/>
                      <w:lang w:val="en-US" w:eastAsia="zh-CN" w:bidi="ar"/>
                    </w:rPr>
                  </w:pPr>
                  <w:r>
                    <w:rPr>
                      <w:color w:val="auto"/>
                      <w:kern w:val="0"/>
                      <w:szCs w:val="21"/>
                      <w:lang w:bidi="ar"/>
                    </w:rPr>
                    <w:t>/</w:t>
                  </w:r>
                </w:p>
              </w:tc>
              <w:tc>
                <w:tcPr>
                  <w:tcW w:w="426" w:type="pct"/>
                  <w:gridSpan w:val="2"/>
                  <w:vMerge w:val="continue"/>
                  <w:vAlign w:val="center"/>
                </w:tcPr>
                <w:p>
                  <w:pPr>
                    <w:widowControl/>
                    <w:wordWrap w:val="0"/>
                    <w:jc w:val="center"/>
                    <w:textAlignment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66" w:type="pct"/>
                  <w:vAlign w:val="center"/>
                </w:tcPr>
                <w:p>
                  <w:pPr>
                    <w:pStyle w:val="13"/>
                    <w:tabs>
                      <w:tab w:val="left" w:pos="2830"/>
                    </w:tabs>
                    <w:jc w:val="center"/>
                    <w:rPr>
                      <w:rFonts w:ascii="Times New Roman" w:hAnsi="Times New Roman" w:eastAsia="宋体" w:cs="Times New Roman"/>
                      <w:color w:val="auto"/>
                      <w:kern w:val="0"/>
                      <w:sz w:val="21"/>
                      <w:szCs w:val="21"/>
                      <w:lang w:val="en-US" w:eastAsia="zh-CN" w:bidi="ar-SA"/>
                    </w:rPr>
                  </w:pPr>
                  <w:r>
                    <w:rPr>
                      <w:rFonts w:ascii="Times New Roman" w:hAnsi="Times New Roman"/>
                      <w:color w:val="auto"/>
                      <w:sz w:val="21"/>
                      <w:szCs w:val="21"/>
                    </w:rPr>
                    <w:t>1</w:t>
                  </w:r>
                  <w:r>
                    <w:rPr>
                      <w:rFonts w:hint="eastAsia" w:ascii="Times New Roman" w:hAnsi="Times New Roman"/>
                      <w:color w:val="auto"/>
                      <w:sz w:val="21"/>
                      <w:szCs w:val="21"/>
                    </w:rPr>
                    <w:t>4</w:t>
                  </w:r>
                </w:p>
              </w:tc>
              <w:tc>
                <w:tcPr>
                  <w:tcW w:w="1025" w:type="pct"/>
                  <w:vAlign w:val="center"/>
                </w:tcPr>
                <w:p>
                  <w:pPr>
                    <w:pStyle w:val="13"/>
                    <w:tabs>
                      <w:tab w:val="left" w:pos="2830"/>
                    </w:tabs>
                    <w:jc w:val="center"/>
                    <w:rPr>
                      <w:rFonts w:ascii="Times New Roman" w:hAnsi="Times New Roman" w:eastAsia="宋体" w:cs="Times New Roman"/>
                      <w:bCs/>
                      <w:color w:val="auto"/>
                      <w:kern w:val="0"/>
                      <w:sz w:val="21"/>
                      <w:szCs w:val="21"/>
                      <w:lang w:val="en-US" w:eastAsia="zh-CN" w:bidi="ar-SA"/>
                    </w:rPr>
                  </w:pPr>
                  <w:r>
                    <w:rPr>
                      <w:rFonts w:ascii="Times New Roman" w:hAnsi="Times New Roman"/>
                      <w:color w:val="auto"/>
                      <w:sz w:val="21"/>
                      <w:szCs w:val="21"/>
                    </w:rPr>
                    <w:t>废过滤棉</w:t>
                  </w:r>
                </w:p>
              </w:tc>
              <w:tc>
                <w:tcPr>
                  <w:tcW w:w="816" w:type="pct"/>
                  <w:noWrap/>
                  <w:vAlign w:val="center"/>
                </w:tcPr>
                <w:p>
                  <w:pPr>
                    <w:pStyle w:val="13"/>
                    <w:tabs>
                      <w:tab w:val="left" w:pos="2830"/>
                    </w:tabs>
                    <w:jc w:val="center"/>
                    <w:rPr>
                      <w:rFonts w:ascii="Times New Roman" w:hAnsi="Times New Roman" w:eastAsia="宋体" w:cs="Times New Roman"/>
                      <w:color w:val="auto"/>
                      <w:kern w:val="0"/>
                      <w:sz w:val="21"/>
                      <w:szCs w:val="21"/>
                      <w:lang w:val="en-US" w:eastAsia="zh-CN" w:bidi="ar-SA"/>
                    </w:rPr>
                  </w:pPr>
                  <w:r>
                    <w:rPr>
                      <w:rFonts w:ascii="Times New Roman" w:hAnsi="Times New Roman"/>
                      <w:color w:val="auto"/>
                      <w:sz w:val="21"/>
                      <w:szCs w:val="21"/>
                    </w:rPr>
                    <w:t>废气治理</w:t>
                  </w:r>
                </w:p>
              </w:tc>
              <w:tc>
                <w:tcPr>
                  <w:tcW w:w="431" w:type="pct"/>
                  <w:vAlign w:val="center"/>
                </w:tcPr>
                <w:p>
                  <w:pPr>
                    <w:pStyle w:val="13"/>
                    <w:tabs>
                      <w:tab w:val="left" w:pos="2830"/>
                    </w:tabs>
                    <w:jc w:val="center"/>
                    <w:rPr>
                      <w:rFonts w:ascii="Times New Roman" w:hAnsi="Times New Roman" w:eastAsia="宋体" w:cs="Times New Roman"/>
                      <w:color w:val="auto"/>
                      <w:kern w:val="0"/>
                      <w:sz w:val="21"/>
                      <w:szCs w:val="21"/>
                      <w:lang w:val="en-US" w:eastAsia="zh-CN" w:bidi="ar-SA"/>
                    </w:rPr>
                  </w:pPr>
                  <w:r>
                    <w:rPr>
                      <w:rFonts w:ascii="Times New Roman" w:hAnsi="Times New Roman"/>
                      <w:color w:val="auto"/>
                      <w:sz w:val="21"/>
                      <w:szCs w:val="21"/>
                    </w:rPr>
                    <w:t>固态</w:t>
                  </w:r>
                </w:p>
              </w:tc>
              <w:tc>
                <w:tcPr>
                  <w:tcW w:w="949" w:type="pct"/>
                  <w:vAlign w:val="center"/>
                </w:tcPr>
                <w:p>
                  <w:pPr>
                    <w:pStyle w:val="13"/>
                    <w:tabs>
                      <w:tab w:val="left" w:pos="2830"/>
                    </w:tabs>
                    <w:jc w:val="center"/>
                    <w:rPr>
                      <w:rFonts w:ascii="Times New Roman" w:hAnsi="Times New Roman" w:eastAsia="宋体" w:cs="Times New Roman"/>
                      <w:color w:val="auto"/>
                      <w:kern w:val="0"/>
                      <w:sz w:val="21"/>
                      <w:szCs w:val="21"/>
                      <w:lang w:val="en-US" w:eastAsia="zh-CN" w:bidi="ar-SA"/>
                    </w:rPr>
                  </w:pPr>
                  <w:r>
                    <w:rPr>
                      <w:rFonts w:ascii="Times New Roman" w:hAnsi="Times New Roman"/>
                      <w:color w:val="auto"/>
                      <w:sz w:val="21"/>
                      <w:szCs w:val="21"/>
                    </w:rPr>
                    <w:t>过滤棉</w:t>
                  </w:r>
                </w:p>
              </w:tc>
              <w:tc>
                <w:tcPr>
                  <w:tcW w:w="604" w:type="pct"/>
                  <w:noWrap/>
                  <w:vAlign w:val="center"/>
                </w:tcPr>
                <w:p>
                  <w:pPr>
                    <w:widowControl/>
                    <w:wordWrap w:val="0"/>
                    <w:jc w:val="center"/>
                    <w:textAlignment w:val="center"/>
                    <w:rPr>
                      <w:rFonts w:ascii="Times New Roman" w:hAnsi="Times New Roman" w:eastAsia="宋体" w:cs="Times New Roman"/>
                      <w:color w:val="auto"/>
                      <w:kern w:val="2"/>
                      <w:sz w:val="21"/>
                      <w:szCs w:val="21"/>
                      <w:lang w:val="en-US" w:eastAsia="zh-CN" w:bidi="ar-SA"/>
                    </w:rPr>
                  </w:pPr>
                  <w:r>
                    <w:rPr>
                      <w:color w:val="auto"/>
                      <w:szCs w:val="21"/>
                    </w:rPr>
                    <w:t>是</w:t>
                  </w:r>
                </w:p>
              </w:tc>
              <w:tc>
                <w:tcPr>
                  <w:tcW w:w="380" w:type="pct"/>
                  <w:noWrap/>
                  <w:vAlign w:val="center"/>
                </w:tcPr>
                <w:p>
                  <w:pPr>
                    <w:widowControl/>
                    <w:wordWrap w:val="0"/>
                    <w:jc w:val="center"/>
                    <w:textAlignment w:val="center"/>
                    <w:rPr>
                      <w:rFonts w:ascii="Times New Roman" w:hAnsi="Times New Roman" w:eastAsia="宋体" w:cs="Times New Roman"/>
                      <w:color w:val="auto"/>
                      <w:kern w:val="0"/>
                      <w:sz w:val="21"/>
                      <w:szCs w:val="21"/>
                      <w:lang w:val="en-US" w:eastAsia="zh-CN" w:bidi="ar"/>
                    </w:rPr>
                  </w:pPr>
                  <w:r>
                    <w:rPr>
                      <w:color w:val="auto"/>
                      <w:szCs w:val="21"/>
                    </w:rPr>
                    <w:t>/</w:t>
                  </w:r>
                </w:p>
              </w:tc>
              <w:tc>
                <w:tcPr>
                  <w:tcW w:w="426" w:type="pct"/>
                  <w:gridSpan w:val="2"/>
                  <w:vMerge w:val="continue"/>
                  <w:vAlign w:val="center"/>
                </w:tcPr>
                <w:p>
                  <w:pPr>
                    <w:widowControl/>
                    <w:wordWrap w:val="0"/>
                    <w:jc w:val="center"/>
                    <w:textAlignment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66" w:type="pct"/>
                  <w:vAlign w:val="center"/>
                </w:tcPr>
                <w:p>
                  <w:pPr>
                    <w:pStyle w:val="13"/>
                    <w:tabs>
                      <w:tab w:val="left" w:pos="2830"/>
                    </w:tabs>
                    <w:jc w:val="center"/>
                    <w:rPr>
                      <w:rFonts w:hint="default" w:ascii="Times New Roman" w:hAnsi="Times New Roman" w:eastAsia="宋体" w:cs="Times New Roman"/>
                      <w:color w:val="auto"/>
                      <w:kern w:val="0"/>
                      <w:sz w:val="21"/>
                      <w:szCs w:val="21"/>
                      <w:lang w:val="en-US" w:eastAsia="zh-CN" w:bidi="ar-SA"/>
                    </w:rPr>
                  </w:pPr>
                  <w:r>
                    <w:rPr>
                      <w:rFonts w:ascii="Times New Roman" w:hAnsi="Times New Roman"/>
                      <w:color w:val="auto"/>
                      <w:sz w:val="21"/>
                      <w:szCs w:val="21"/>
                    </w:rPr>
                    <w:t>1</w:t>
                  </w:r>
                  <w:r>
                    <w:rPr>
                      <w:rFonts w:hint="eastAsia" w:ascii="Times New Roman" w:hAnsi="Times New Roman"/>
                      <w:color w:val="auto"/>
                      <w:sz w:val="21"/>
                      <w:szCs w:val="21"/>
                    </w:rPr>
                    <w:t>5</w:t>
                  </w:r>
                </w:p>
              </w:tc>
              <w:tc>
                <w:tcPr>
                  <w:tcW w:w="1025" w:type="pct"/>
                  <w:vAlign w:val="center"/>
                </w:tcPr>
                <w:p>
                  <w:pPr>
                    <w:pStyle w:val="13"/>
                    <w:tabs>
                      <w:tab w:val="left" w:pos="2830"/>
                    </w:tabs>
                    <w:jc w:val="center"/>
                    <w:rPr>
                      <w:rFonts w:ascii="Times New Roman" w:hAnsi="Times New Roman"/>
                      <w:color w:val="auto"/>
                      <w:sz w:val="21"/>
                      <w:szCs w:val="21"/>
                      <w:lang w:bidi="ar"/>
                    </w:rPr>
                  </w:pPr>
                  <w:r>
                    <w:rPr>
                      <w:rFonts w:ascii="Times New Roman" w:hAnsi="Times New Roman"/>
                      <w:color w:val="auto"/>
                      <w:sz w:val="21"/>
                      <w:szCs w:val="21"/>
                    </w:rPr>
                    <w:t>生活垃圾</w:t>
                  </w:r>
                </w:p>
              </w:tc>
              <w:tc>
                <w:tcPr>
                  <w:tcW w:w="816" w:type="pct"/>
                  <w:noWrap/>
                  <w:vAlign w:val="center"/>
                </w:tcPr>
                <w:p>
                  <w:pPr>
                    <w:pStyle w:val="13"/>
                    <w:tabs>
                      <w:tab w:val="left" w:pos="2830"/>
                    </w:tabs>
                    <w:jc w:val="center"/>
                    <w:rPr>
                      <w:rFonts w:ascii="Times New Roman" w:hAnsi="Times New Roman"/>
                      <w:color w:val="auto"/>
                      <w:sz w:val="21"/>
                      <w:szCs w:val="21"/>
                      <w:lang w:bidi="ar"/>
                    </w:rPr>
                  </w:pPr>
                  <w:r>
                    <w:rPr>
                      <w:rFonts w:ascii="Times New Roman" w:hAnsi="Times New Roman"/>
                      <w:color w:val="auto"/>
                      <w:sz w:val="21"/>
                      <w:szCs w:val="21"/>
                    </w:rPr>
                    <w:t>员工生活</w:t>
                  </w:r>
                </w:p>
              </w:tc>
              <w:tc>
                <w:tcPr>
                  <w:tcW w:w="431" w:type="pct"/>
                  <w:vAlign w:val="center"/>
                </w:tcPr>
                <w:p>
                  <w:pPr>
                    <w:pStyle w:val="13"/>
                    <w:tabs>
                      <w:tab w:val="left" w:pos="2830"/>
                    </w:tabs>
                    <w:jc w:val="center"/>
                    <w:rPr>
                      <w:rFonts w:ascii="Times New Roman" w:hAnsi="Times New Roman"/>
                      <w:color w:val="auto"/>
                      <w:sz w:val="21"/>
                      <w:szCs w:val="21"/>
                      <w:lang w:bidi="ar"/>
                    </w:rPr>
                  </w:pPr>
                  <w:r>
                    <w:rPr>
                      <w:rFonts w:ascii="Times New Roman" w:hAnsi="Times New Roman"/>
                      <w:color w:val="auto"/>
                      <w:sz w:val="21"/>
                      <w:szCs w:val="21"/>
                    </w:rPr>
                    <w:t>员工生活</w:t>
                  </w:r>
                </w:p>
              </w:tc>
              <w:tc>
                <w:tcPr>
                  <w:tcW w:w="949" w:type="pct"/>
                  <w:vAlign w:val="center"/>
                </w:tcPr>
                <w:p>
                  <w:pPr>
                    <w:pStyle w:val="13"/>
                    <w:tabs>
                      <w:tab w:val="left" w:pos="2830"/>
                    </w:tabs>
                    <w:jc w:val="center"/>
                    <w:rPr>
                      <w:rFonts w:ascii="Times New Roman" w:hAnsi="Times New Roman"/>
                      <w:color w:val="auto"/>
                      <w:sz w:val="21"/>
                      <w:szCs w:val="21"/>
                      <w:lang w:bidi="ar"/>
                    </w:rPr>
                  </w:pPr>
                  <w:r>
                    <w:rPr>
                      <w:rFonts w:ascii="Times New Roman" w:hAnsi="Times New Roman"/>
                      <w:color w:val="auto"/>
                      <w:sz w:val="21"/>
                      <w:szCs w:val="21"/>
                    </w:rPr>
                    <w:t>纸塑料等</w:t>
                  </w:r>
                </w:p>
              </w:tc>
              <w:tc>
                <w:tcPr>
                  <w:tcW w:w="604" w:type="pct"/>
                  <w:noWrap/>
                  <w:vAlign w:val="center"/>
                </w:tcPr>
                <w:p>
                  <w:pPr>
                    <w:widowControl/>
                    <w:wordWrap w:val="0"/>
                    <w:jc w:val="center"/>
                    <w:textAlignment w:val="center"/>
                    <w:rPr>
                      <w:color w:val="auto"/>
                      <w:szCs w:val="21"/>
                    </w:rPr>
                  </w:pPr>
                  <w:r>
                    <w:rPr>
                      <w:color w:val="auto"/>
                      <w:szCs w:val="21"/>
                    </w:rPr>
                    <w:t>是</w:t>
                  </w:r>
                </w:p>
              </w:tc>
              <w:tc>
                <w:tcPr>
                  <w:tcW w:w="380" w:type="pct"/>
                  <w:noWrap/>
                  <w:vAlign w:val="center"/>
                </w:tcPr>
                <w:p>
                  <w:pPr>
                    <w:widowControl/>
                    <w:wordWrap w:val="0"/>
                    <w:jc w:val="center"/>
                    <w:textAlignment w:val="center"/>
                    <w:rPr>
                      <w:color w:val="auto"/>
                      <w:kern w:val="0"/>
                      <w:szCs w:val="21"/>
                      <w:lang w:bidi="ar"/>
                    </w:rPr>
                  </w:pPr>
                  <w:r>
                    <w:rPr>
                      <w:color w:val="auto"/>
                      <w:kern w:val="0"/>
                      <w:szCs w:val="21"/>
                      <w:lang w:bidi="ar"/>
                    </w:rPr>
                    <w:t>/</w:t>
                  </w:r>
                </w:p>
              </w:tc>
              <w:tc>
                <w:tcPr>
                  <w:tcW w:w="426" w:type="pct"/>
                  <w:gridSpan w:val="2"/>
                  <w:vMerge w:val="continue"/>
                  <w:vAlign w:val="center"/>
                </w:tcPr>
                <w:p>
                  <w:pPr>
                    <w:widowControl/>
                    <w:wordWrap w:val="0"/>
                    <w:jc w:val="center"/>
                    <w:textAlignment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66" w:type="pct"/>
                  <w:vAlign w:val="center"/>
                </w:tcPr>
                <w:p>
                  <w:pPr>
                    <w:pStyle w:val="13"/>
                    <w:tabs>
                      <w:tab w:val="left" w:pos="2830"/>
                    </w:tabs>
                    <w:jc w:val="center"/>
                    <w:rPr>
                      <w:rFonts w:hint="default" w:ascii="Times New Roman" w:hAnsi="Times New Roman" w:eastAsia="宋体" w:cs="Times New Roman"/>
                      <w:color w:val="auto"/>
                      <w:kern w:val="0"/>
                      <w:sz w:val="21"/>
                      <w:szCs w:val="21"/>
                      <w:lang w:val="en-US" w:eastAsia="zh-CN" w:bidi="ar-SA"/>
                    </w:rPr>
                  </w:pPr>
                  <w:r>
                    <w:rPr>
                      <w:rFonts w:hint="eastAsia" w:ascii="Times New Roman" w:hAnsi="Times New Roman"/>
                      <w:color w:val="auto"/>
                      <w:sz w:val="21"/>
                      <w:szCs w:val="21"/>
                      <w:lang w:val="en-US" w:eastAsia="zh-CN"/>
                    </w:rPr>
                    <w:t>16</w:t>
                  </w:r>
                </w:p>
              </w:tc>
              <w:tc>
                <w:tcPr>
                  <w:tcW w:w="1025"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化粪池污泥</w:t>
                  </w:r>
                </w:p>
              </w:tc>
              <w:tc>
                <w:tcPr>
                  <w:tcW w:w="816" w:type="pct"/>
                  <w:noWrap/>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员工生活</w:t>
                  </w:r>
                </w:p>
              </w:tc>
              <w:tc>
                <w:tcPr>
                  <w:tcW w:w="431"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员工生活</w:t>
                  </w:r>
                </w:p>
              </w:tc>
              <w:tc>
                <w:tcPr>
                  <w:tcW w:w="949"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污泥</w:t>
                  </w:r>
                </w:p>
              </w:tc>
              <w:tc>
                <w:tcPr>
                  <w:tcW w:w="604" w:type="pct"/>
                  <w:noWrap/>
                  <w:vAlign w:val="center"/>
                </w:tcPr>
                <w:p>
                  <w:pPr>
                    <w:widowControl/>
                    <w:wordWrap w:val="0"/>
                    <w:jc w:val="center"/>
                    <w:textAlignment w:val="center"/>
                    <w:rPr>
                      <w:color w:val="auto"/>
                      <w:szCs w:val="21"/>
                    </w:rPr>
                  </w:pPr>
                  <w:r>
                    <w:rPr>
                      <w:color w:val="auto"/>
                      <w:szCs w:val="21"/>
                    </w:rPr>
                    <w:t>是</w:t>
                  </w:r>
                </w:p>
              </w:tc>
              <w:tc>
                <w:tcPr>
                  <w:tcW w:w="380" w:type="pct"/>
                  <w:noWrap/>
                  <w:vAlign w:val="center"/>
                </w:tcPr>
                <w:p>
                  <w:pPr>
                    <w:widowControl/>
                    <w:wordWrap w:val="0"/>
                    <w:jc w:val="center"/>
                    <w:textAlignment w:val="center"/>
                    <w:rPr>
                      <w:color w:val="auto"/>
                      <w:szCs w:val="21"/>
                    </w:rPr>
                  </w:pPr>
                  <w:r>
                    <w:rPr>
                      <w:color w:val="auto"/>
                      <w:szCs w:val="21"/>
                    </w:rPr>
                    <w:t>/</w:t>
                  </w:r>
                </w:p>
              </w:tc>
              <w:tc>
                <w:tcPr>
                  <w:tcW w:w="426" w:type="pct"/>
                  <w:gridSpan w:val="2"/>
                  <w:vMerge w:val="continue"/>
                  <w:vAlign w:val="center"/>
                </w:tcPr>
                <w:p>
                  <w:pPr>
                    <w:widowControl/>
                    <w:wordWrap w:val="0"/>
                    <w:jc w:val="center"/>
                    <w:textAlignment w:val="center"/>
                    <w:rPr>
                      <w:color w:val="auto"/>
                      <w:szCs w:val="21"/>
                    </w:rPr>
                  </w:pPr>
                </w:p>
              </w:tc>
            </w:tr>
          </w:tbl>
          <w:p>
            <w:pPr>
              <w:wordWrap w:val="0"/>
              <w:spacing w:line="360" w:lineRule="auto"/>
              <w:ind w:firstLine="482" w:firstLineChars="200"/>
              <w:jc w:val="left"/>
              <w:rPr>
                <w:b/>
                <w:bCs/>
                <w:color w:val="auto"/>
                <w:kern w:val="0"/>
                <w:sz w:val="24"/>
                <w:lang w:bidi="ar"/>
              </w:rPr>
            </w:pPr>
            <w:r>
              <w:rPr>
                <w:b/>
                <w:bCs/>
                <w:color w:val="auto"/>
                <w:sz w:val="24"/>
              </w:rPr>
              <w:t>4.1.1固体废物</w:t>
            </w:r>
            <w:r>
              <w:rPr>
                <w:b/>
                <w:bCs/>
                <w:color w:val="auto"/>
                <w:kern w:val="0"/>
                <w:sz w:val="24"/>
                <w:lang w:bidi="ar"/>
              </w:rPr>
              <w:t>污染源源强核算结果统计</w:t>
            </w:r>
          </w:p>
          <w:p>
            <w:pPr>
              <w:wordWrap w:val="0"/>
              <w:spacing w:line="360" w:lineRule="auto"/>
              <w:ind w:firstLine="480" w:firstLineChars="200"/>
              <w:jc w:val="left"/>
              <w:rPr>
                <w:color w:val="auto"/>
                <w:kern w:val="0"/>
                <w:sz w:val="24"/>
                <w:lang w:bidi="ar"/>
              </w:rPr>
            </w:pPr>
            <w:r>
              <w:rPr>
                <w:color w:val="auto"/>
                <w:kern w:val="0"/>
                <w:sz w:val="24"/>
                <w:lang w:bidi="ar"/>
              </w:rPr>
              <w:t>建设项目固体废物污染源源强核算结果及相关参数见下表4.2-2</w:t>
            </w:r>
            <w:r>
              <w:rPr>
                <w:rFonts w:hint="eastAsia"/>
                <w:color w:val="auto"/>
                <w:kern w:val="0"/>
                <w:sz w:val="24"/>
                <w:lang w:val="en-US" w:eastAsia="zh-CN" w:bidi="ar"/>
              </w:rPr>
              <w:t>1</w:t>
            </w:r>
            <w:r>
              <w:rPr>
                <w:color w:val="auto"/>
                <w:kern w:val="0"/>
                <w:sz w:val="24"/>
                <w:lang w:bidi="ar"/>
              </w:rPr>
              <w:t>。</w:t>
            </w:r>
          </w:p>
          <w:p>
            <w:pPr>
              <w:widowControl/>
              <w:jc w:val="center"/>
              <w:rPr>
                <w:b/>
                <w:bCs/>
                <w:color w:val="auto"/>
                <w:kern w:val="0"/>
                <w:szCs w:val="21"/>
                <w:lang w:bidi="ar"/>
              </w:rPr>
            </w:pPr>
          </w:p>
          <w:p>
            <w:pPr>
              <w:widowControl/>
              <w:jc w:val="center"/>
              <w:rPr>
                <w:b/>
                <w:bCs/>
                <w:color w:val="auto"/>
                <w:kern w:val="0"/>
                <w:szCs w:val="21"/>
                <w:lang w:bidi="ar"/>
              </w:rPr>
            </w:pPr>
          </w:p>
          <w:p>
            <w:pPr>
              <w:widowControl/>
              <w:jc w:val="center"/>
              <w:rPr>
                <w:b/>
                <w:bCs/>
                <w:color w:val="auto"/>
                <w:kern w:val="0"/>
                <w:szCs w:val="21"/>
                <w:lang w:bidi="ar"/>
              </w:rPr>
            </w:pPr>
          </w:p>
          <w:p>
            <w:pPr>
              <w:widowControl/>
              <w:jc w:val="center"/>
              <w:rPr>
                <w:b/>
                <w:bCs/>
                <w:color w:val="auto"/>
                <w:kern w:val="0"/>
                <w:szCs w:val="21"/>
                <w:lang w:bidi="ar"/>
              </w:rPr>
            </w:pPr>
          </w:p>
          <w:p>
            <w:pPr>
              <w:widowControl/>
              <w:jc w:val="center"/>
              <w:rPr>
                <w:b/>
                <w:bCs/>
                <w:color w:val="auto"/>
                <w:kern w:val="0"/>
                <w:szCs w:val="21"/>
                <w:lang w:bidi="ar"/>
              </w:rPr>
            </w:pPr>
          </w:p>
          <w:p>
            <w:pPr>
              <w:widowControl/>
              <w:jc w:val="center"/>
              <w:rPr>
                <w:b/>
                <w:bCs/>
                <w:color w:val="auto"/>
                <w:kern w:val="0"/>
                <w:szCs w:val="21"/>
                <w:lang w:bidi="ar"/>
              </w:rPr>
            </w:pPr>
          </w:p>
          <w:p>
            <w:pPr>
              <w:widowControl/>
              <w:jc w:val="center"/>
              <w:rPr>
                <w:b/>
                <w:bCs/>
                <w:color w:val="auto"/>
                <w:kern w:val="0"/>
                <w:szCs w:val="21"/>
                <w:lang w:bidi="ar"/>
              </w:rPr>
            </w:pPr>
          </w:p>
          <w:p>
            <w:pPr>
              <w:widowControl/>
              <w:jc w:val="center"/>
              <w:rPr>
                <w:b/>
                <w:bCs/>
                <w:color w:val="auto"/>
                <w:kern w:val="0"/>
                <w:szCs w:val="21"/>
                <w:lang w:bidi="ar"/>
              </w:rPr>
            </w:pPr>
          </w:p>
          <w:p>
            <w:pPr>
              <w:widowControl/>
              <w:jc w:val="center"/>
              <w:rPr>
                <w:color w:val="auto"/>
                <w:szCs w:val="21"/>
              </w:rPr>
            </w:pPr>
            <w:r>
              <w:rPr>
                <w:b/>
                <w:bCs/>
                <w:color w:val="auto"/>
                <w:kern w:val="0"/>
                <w:szCs w:val="21"/>
                <w:lang w:bidi="ar"/>
              </w:rPr>
              <w:t>表 4.2-2</w:t>
            </w:r>
            <w:r>
              <w:rPr>
                <w:rFonts w:hint="eastAsia"/>
                <w:b/>
                <w:bCs/>
                <w:color w:val="auto"/>
                <w:kern w:val="0"/>
                <w:szCs w:val="21"/>
                <w:lang w:val="en-US" w:eastAsia="zh-CN" w:bidi="ar"/>
              </w:rPr>
              <w:t>1</w:t>
            </w:r>
            <w:r>
              <w:rPr>
                <w:b/>
                <w:bCs/>
                <w:color w:val="auto"/>
                <w:kern w:val="0"/>
                <w:szCs w:val="21"/>
                <w:lang w:bidi="ar"/>
              </w:rPr>
              <w:t xml:space="preserve"> 建设项目固体废物污染源源强核算结果及相关参数一览表 </w:t>
            </w:r>
            <w:r>
              <w:rPr>
                <w:color w:val="auto"/>
                <w:kern w:val="0"/>
                <w:szCs w:val="21"/>
                <w:lang w:bidi="ar"/>
              </w:rPr>
              <w:t>单位：t/a</w:t>
            </w:r>
          </w:p>
          <w:tbl>
            <w:tblPr>
              <w:tblStyle w:val="20"/>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27"/>
              <w:gridCol w:w="870"/>
              <w:gridCol w:w="480"/>
              <w:gridCol w:w="1320"/>
              <w:gridCol w:w="780"/>
              <w:gridCol w:w="1215"/>
              <w:gridCol w:w="959"/>
              <w:gridCol w:w="1081"/>
              <w:gridCol w:w="835"/>
              <w:gridCol w:w="45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53" w:type="pct"/>
                  <w:vMerge w:val="restart"/>
                  <w:vAlign w:val="center"/>
                </w:tcPr>
                <w:p>
                  <w:pPr>
                    <w:widowControl/>
                    <w:wordWrap w:val="0"/>
                    <w:jc w:val="center"/>
                    <w:textAlignment w:val="center"/>
                    <w:rPr>
                      <w:b/>
                      <w:bCs/>
                      <w:color w:val="auto"/>
                      <w:kern w:val="0"/>
                      <w:szCs w:val="21"/>
                      <w:lang w:bidi="ar"/>
                    </w:rPr>
                  </w:pPr>
                  <w:r>
                    <w:rPr>
                      <w:b/>
                      <w:bCs/>
                      <w:color w:val="auto"/>
                      <w:kern w:val="0"/>
                      <w:szCs w:val="21"/>
                      <w:lang w:bidi="ar"/>
                    </w:rPr>
                    <w:t>序号</w:t>
                  </w:r>
                </w:p>
              </w:tc>
              <w:tc>
                <w:tcPr>
                  <w:tcW w:w="516" w:type="pct"/>
                  <w:vMerge w:val="restart"/>
                  <w:vAlign w:val="center"/>
                </w:tcPr>
                <w:p>
                  <w:pPr>
                    <w:widowControl/>
                    <w:wordWrap w:val="0"/>
                    <w:jc w:val="center"/>
                    <w:textAlignment w:val="center"/>
                    <w:rPr>
                      <w:b/>
                      <w:bCs/>
                      <w:color w:val="auto"/>
                      <w:szCs w:val="21"/>
                    </w:rPr>
                  </w:pPr>
                  <w:r>
                    <w:rPr>
                      <w:b/>
                      <w:bCs/>
                      <w:color w:val="auto"/>
                      <w:kern w:val="0"/>
                      <w:szCs w:val="21"/>
                      <w:lang w:bidi="ar"/>
                    </w:rPr>
                    <w:t>固废名称</w:t>
                  </w:r>
                </w:p>
              </w:tc>
              <w:tc>
                <w:tcPr>
                  <w:tcW w:w="285" w:type="pct"/>
                  <w:vMerge w:val="restart"/>
                  <w:vAlign w:val="center"/>
                </w:tcPr>
                <w:p>
                  <w:pPr>
                    <w:widowControl/>
                    <w:jc w:val="center"/>
                    <w:rPr>
                      <w:b/>
                      <w:bCs/>
                      <w:color w:val="auto"/>
                      <w:szCs w:val="21"/>
                    </w:rPr>
                  </w:pPr>
                  <w:r>
                    <w:rPr>
                      <w:b/>
                      <w:bCs/>
                      <w:color w:val="auto"/>
                      <w:kern w:val="0"/>
                      <w:szCs w:val="21"/>
                      <w:lang w:bidi="ar"/>
                    </w:rPr>
                    <w:t>固废属性</w:t>
                  </w:r>
                </w:p>
              </w:tc>
              <w:tc>
                <w:tcPr>
                  <w:tcW w:w="784" w:type="pct"/>
                  <w:vMerge w:val="restart"/>
                  <w:vAlign w:val="center"/>
                </w:tcPr>
                <w:p>
                  <w:pPr>
                    <w:widowControl/>
                    <w:jc w:val="center"/>
                    <w:rPr>
                      <w:b/>
                      <w:bCs/>
                      <w:color w:val="auto"/>
                      <w:szCs w:val="21"/>
                    </w:rPr>
                  </w:pPr>
                  <w:r>
                    <w:rPr>
                      <w:b/>
                      <w:bCs/>
                      <w:color w:val="auto"/>
                      <w:kern w:val="0"/>
                      <w:szCs w:val="21"/>
                      <w:lang w:bidi="ar"/>
                    </w:rPr>
                    <w:t>废物代码</w:t>
                  </w:r>
                </w:p>
              </w:tc>
              <w:tc>
                <w:tcPr>
                  <w:tcW w:w="463" w:type="pct"/>
                  <w:vMerge w:val="restart"/>
                  <w:vAlign w:val="center"/>
                </w:tcPr>
                <w:p>
                  <w:pPr>
                    <w:widowControl/>
                    <w:jc w:val="center"/>
                    <w:rPr>
                      <w:b/>
                      <w:bCs/>
                      <w:color w:val="auto"/>
                      <w:kern w:val="0"/>
                      <w:szCs w:val="21"/>
                      <w:lang w:bidi="ar"/>
                    </w:rPr>
                  </w:pPr>
                  <w:r>
                    <w:rPr>
                      <w:b/>
                      <w:bCs/>
                      <w:color w:val="auto"/>
                      <w:kern w:val="0"/>
                      <w:szCs w:val="21"/>
                    </w:rPr>
                    <w:t>废物类别</w:t>
                  </w:r>
                </w:p>
              </w:tc>
              <w:tc>
                <w:tcPr>
                  <w:tcW w:w="1291" w:type="pct"/>
                  <w:gridSpan w:val="2"/>
                  <w:vAlign w:val="center"/>
                </w:tcPr>
                <w:p>
                  <w:pPr>
                    <w:widowControl/>
                    <w:wordWrap w:val="0"/>
                    <w:jc w:val="center"/>
                    <w:textAlignment w:val="center"/>
                    <w:rPr>
                      <w:b/>
                      <w:bCs/>
                      <w:color w:val="auto"/>
                      <w:kern w:val="0"/>
                      <w:szCs w:val="21"/>
                      <w:lang w:bidi="ar"/>
                    </w:rPr>
                  </w:pPr>
                  <w:r>
                    <w:rPr>
                      <w:b/>
                      <w:bCs/>
                      <w:color w:val="auto"/>
                      <w:kern w:val="0"/>
                      <w:szCs w:val="21"/>
                      <w:lang w:bidi="ar"/>
                    </w:rPr>
                    <w:t>产生情况</w:t>
                  </w:r>
                </w:p>
              </w:tc>
              <w:tc>
                <w:tcPr>
                  <w:tcW w:w="1138" w:type="pct"/>
                  <w:gridSpan w:val="2"/>
                  <w:vAlign w:val="center"/>
                </w:tcPr>
                <w:p>
                  <w:pPr>
                    <w:widowControl/>
                    <w:wordWrap w:val="0"/>
                    <w:jc w:val="center"/>
                    <w:textAlignment w:val="center"/>
                    <w:rPr>
                      <w:b/>
                      <w:bCs/>
                      <w:color w:val="auto"/>
                      <w:kern w:val="0"/>
                      <w:szCs w:val="21"/>
                      <w:lang w:bidi="ar"/>
                    </w:rPr>
                  </w:pPr>
                  <w:r>
                    <w:rPr>
                      <w:b/>
                      <w:bCs/>
                      <w:color w:val="auto"/>
                      <w:kern w:val="0"/>
                      <w:szCs w:val="21"/>
                      <w:lang w:bidi="ar"/>
                    </w:rPr>
                    <w:t>处置措施</w:t>
                  </w:r>
                </w:p>
              </w:tc>
              <w:tc>
                <w:tcPr>
                  <w:tcW w:w="267" w:type="pct"/>
                  <w:vMerge w:val="restart"/>
                  <w:vAlign w:val="center"/>
                </w:tcPr>
                <w:p>
                  <w:pPr>
                    <w:widowControl/>
                    <w:jc w:val="center"/>
                    <w:rPr>
                      <w:color w:val="auto"/>
                      <w:szCs w:val="21"/>
                    </w:rPr>
                  </w:pPr>
                  <w:r>
                    <w:rPr>
                      <w:b/>
                      <w:bCs/>
                      <w:color w:val="auto"/>
                      <w:kern w:val="0"/>
                      <w:szCs w:val="21"/>
                      <w:lang w:bidi="ar"/>
                    </w:rPr>
                    <w:t>最终</w:t>
                  </w:r>
                </w:p>
                <w:p>
                  <w:pPr>
                    <w:widowControl/>
                    <w:jc w:val="center"/>
                    <w:rPr>
                      <w:color w:val="auto"/>
                      <w:szCs w:val="21"/>
                    </w:rPr>
                  </w:pPr>
                  <w:r>
                    <w:rPr>
                      <w:b/>
                      <w:bCs/>
                      <w:color w:val="auto"/>
                      <w:kern w:val="0"/>
                      <w:szCs w:val="21"/>
                      <w:lang w:bidi="ar"/>
                    </w:rPr>
                    <w:t>去向</w:t>
                  </w:r>
                </w:p>
                <w:p>
                  <w:pPr>
                    <w:widowControl/>
                    <w:wordWrap w:val="0"/>
                    <w:jc w:val="center"/>
                    <w:textAlignment w:val="center"/>
                    <w:rPr>
                      <w:b/>
                      <w:bCs/>
                      <w:color w:val="auto"/>
                      <w:kern w:val="0"/>
                      <w:szCs w:val="21"/>
                      <w:lang w:bidi="ar"/>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53" w:type="pct"/>
                  <w:vMerge w:val="continue"/>
                  <w:vAlign w:val="center"/>
                </w:tcPr>
                <w:p>
                  <w:pPr>
                    <w:widowControl/>
                    <w:wordWrap w:val="0"/>
                    <w:jc w:val="center"/>
                    <w:textAlignment w:val="center"/>
                    <w:rPr>
                      <w:color w:val="auto"/>
                      <w:szCs w:val="21"/>
                    </w:rPr>
                  </w:pPr>
                </w:p>
              </w:tc>
              <w:tc>
                <w:tcPr>
                  <w:tcW w:w="516" w:type="pct"/>
                  <w:vMerge w:val="continue"/>
                  <w:vAlign w:val="center"/>
                </w:tcPr>
                <w:p>
                  <w:pPr>
                    <w:widowControl/>
                    <w:wordWrap w:val="0"/>
                    <w:jc w:val="center"/>
                    <w:textAlignment w:val="center"/>
                    <w:rPr>
                      <w:color w:val="auto"/>
                      <w:szCs w:val="21"/>
                    </w:rPr>
                  </w:pPr>
                </w:p>
              </w:tc>
              <w:tc>
                <w:tcPr>
                  <w:tcW w:w="285" w:type="pct"/>
                  <w:vMerge w:val="continue"/>
                  <w:vAlign w:val="center"/>
                </w:tcPr>
                <w:p>
                  <w:pPr>
                    <w:widowControl/>
                    <w:wordWrap w:val="0"/>
                    <w:jc w:val="center"/>
                    <w:textAlignment w:val="center"/>
                    <w:rPr>
                      <w:color w:val="auto"/>
                      <w:szCs w:val="21"/>
                    </w:rPr>
                  </w:pPr>
                </w:p>
              </w:tc>
              <w:tc>
                <w:tcPr>
                  <w:tcW w:w="784" w:type="pct"/>
                  <w:vMerge w:val="continue"/>
                  <w:vAlign w:val="center"/>
                </w:tcPr>
                <w:p>
                  <w:pPr>
                    <w:widowControl/>
                    <w:wordWrap w:val="0"/>
                    <w:jc w:val="center"/>
                    <w:textAlignment w:val="center"/>
                    <w:rPr>
                      <w:color w:val="auto"/>
                      <w:szCs w:val="21"/>
                    </w:rPr>
                  </w:pPr>
                </w:p>
              </w:tc>
              <w:tc>
                <w:tcPr>
                  <w:tcW w:w="463" w:type="pct"/>
                  <w:vMerge w:val="continue"/>
                  <w:vAlign w:val="center"/>
                </w:tcPr>
                <w:p>
                  <w:pPr>
                    <w:widowControl/>
                    <w:wordWrap w:val="0"/>
                    <w:jc w:val="center"/>
                    <w:textAlignment w:val="center"/>
                    <w:rPr>
                      <w:color w:val="auto"/>
                      <w:szCs w:val="21"/>
                    </w:rPr>
                  </w:pPr>
                </w:p>
              </w:tc>
              <w:tc>
                <w:tcPr>
                  <w:tcW w:w="721" w:type="pct"/>
                  <w:vAlign w:val="center"/>
                </w:tcPr>
                <w:p>
                  <w:pPr>
                    <w:widowControl/>
                    <w:wordWrap w:val="0"/>
                    <w:jc w:val="center"/>
                    <w:textAlignment w:val="center"/>
                    <w:rPr>
                      <w:b/>
                      <w:bCs/>
                      <w:color w:val="auto"/>
                      <w:kern w:val="0"/>
                      <w:szCs w:val="21"/>
                      <w:lang w:bidi="ar"/>
                    </w:rPr>
                  </w:pPr>
                  <w:r>
                    <w:rPr>
                      <w:b/>
                      <w:bCs/>
                      <w:color w:val="auto"/>
                      <w:kern w:val="0"/>
                      <w:szCs w:val="21"/>
                      <w:lang w:bidi="ar"/>
                    </w:rPr>
                    <w:t>核算方法</w:t>
                  </w:r>
                </w:p>
              </w:tc>
              <w:tc>
                <w:tcPr>
                  <w:tcW w:w="569" w:type="pct"/>
                  <w:vAlign w:val="center"/>
                </w:tcPr>
                <w:p>
                  <w:pPr>
                    <w:widowControl/>
                    <w:jc w:val="center"/>
                    <w:rPr>
                      <w:b/>
                      <w:bCs/>
                      <w:color w:val="auto"/>
                      <w:kern w:val="0"/>
                      <w:szCs w:val="21"/>
                      <w:lang w:bidi="ar"/>
                    </w:rPr>
                  </w:pPr>
                  <w:r>
                    <w:rPr>
                      <w:b/>
                      <w:bCs/>
                      <w:color w:val="auto"/>
                      <w:kern w:val="0"/>
                      <w:szCs w:val="21"/>
                      <w:lang w:bidi="ar"/>
                    </w:rPr>
                    <w:t>产生量</w:t>
                  </w:r>
                </w:p>
              </w:tc>
              <w:tc>
                <w:tcPr>
                  <w:tcW w:w="642" w:type="pct"/>
                  <w:vAlign w:val="center"/>
                </w:tcPr>
                <w:p>
                  <w:pPr>
                    <w:widowControl/>
                    <w:wordWrap w:val="0"/>
                    <w:jc w:val="center"/>
                    <w:textAlignment w:val="center"/>
                    <w:rPr>
                      <w:b/>
                      <w:bCs/>
                      <w:color w:val="auto"/>
                      <w:kern w:val="0"/>
                      <w:szCs w:val="21"/>
                      <w:lang w:bidi="ar"/>
                    </w:rPr>
                  </w:pPr>
                  <w:r>
                    <w:rPr>
                      <w:b/>
                      <w:bCs/>
                      <w:color w:val="auto"/>
                      <w:kern w:val="0"/>
                      <w:szCs w:val="21"/>
                      <w:lang w:bidi="ar"/>
                    </w:rPr>
                    <w:t>工艺</w:t>
                  </w:r>
                </w:p>
              </w:tc>
              <w:tc>
                <w:tcPr>
                  <w:tcW w:w="496" w:type="pct"/>
                  <w:vAlign w:val="center"/>
                </w:tcPr>
                <w:p>
                  <w:pPr>
                    <w:widowControl/>
                    <w:wordWrap w:val="0"/>
                    <w:jc w:val="center"/>
                    <w:textAlignment w:val="center"/>
                    <w:rPr>
                      <w:b/>
                      <w:bCs/>
                      <w:color w:val="auto"/>
                      <w:kern w:val="0"/>
                      <w:szCs w:val="21"/>
                      <w:lang w:bidi="ar"/>
                    </w:rPr>
                  </w:pPr>
                  <w:r>
                    <w:rPr>
                      <w:b/>
                      <w:bCs/>
                      <w:color w:val="auto"/>
                      <w:kern w:val="0"/>
                      <w:szCs w:val="21"/>
                      <w:lang w:bidi="ar"/>
                    </w:rPr>
                    <w:t>处置量</w:t>
                  </w:r>
                </w:p>
              </w:tc>
              <w:tc>
                <w:tcPr>
                  <w:tcW w:w="267" w:type="pct"/>
                  <w:vMerge w:val="continue"/>
                  <w:vAlign w:val="center"/>
                </w:tcPr>
                <w:p>
                  <w:pPr>
                    <w:widowControl/>
                    <w:wordWrap w:val="0"/>
                    <w:jc w:val="center"/>
                    <w:textAlignment w:val="center"/>
                    <w:rPr>
                      <w:b/>
                      <w:bCs/>
                      <w:color w:val="auto"/>
                      <w:kern w:val="0"/>
                      <w:szCs w:val="21"/>
                      <w:lang w:bidi="ar"/>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53" w:type="pct"/>
                  <w:vAlign w:val="center"/>
                </w:tcPr>
                <w:p>
                  <w:pPr>
                    <w:pStyle w:val="13"/>
                    <w:tabs>
                      <w:tab w:val="left" w:pos="2830"/>
                    </w:tabs>
                    <w:jc w:val="center"/>
                    <w:rPr>
                      <w:rFonts w:ascii="Times New Roman" w:hAnsi="Times New Roman"/>
                      <w:bCs/>
                      <w:color w:val="auto"/>
                      <w:sz w:val="21"/>
                      <w:szCs w:val="21"/>
                    </w:rPr>
                  </w:pPr>
                  <w:r>
                    <w:rPr>
                      <w:rFonts w:ascii="Times New Roman" w:hAnsi="Times New Roman"/>
                      <w:color w:val="auto"/>
                      <w:sz w:val="21"/>
                      <w:szCs w:val="21"/>
                    </w:rPr>
                    <w:t>1</w:t>
                  </w:r>
                </w:p>
              </w:tc>
              <w:tc>
                <w:tcPr>
                  <w:tcW w:w="516" w:type="pct"/>
                  <w:vAlign w:val="center"/>
                </w:tcPr>
                <w:p>
                  <w:pPr>
                    <w:widowControl/>
                    <w:kinsoku w:val="0"/>
                    <w:wordWrap w:val="0"/>
                    <w:autoSpaceDE w:val="0"/>
                    <w:autoSpaceDN w:val="0"/>
                    <w:adjustRightInd w:val="0"/>
                    <w:snapToGrid w:val="0"/>
                    <w:jc w:val="center"/>
                    <w:textAlignment w:val="baseline"/>
                    <w:rPr>
                      <w:color w:val="auto"/>
                      <w:szCs w:val="21"/>
                    </w:rPr>
                  </w:pPr>
                  <w:r>
                    <w:rPr>
                      <w:color w:val="auto"/>
                      <w:szCs w:val="21"/>
                    </w:rPr>
                    <w:t>废边角料</w:t>
                  </w:r>
                </w:p>
              </w:tc>
              <w:tc>
                <w:tcPr>
                  <w:tcW w:w="285" w:type="pct"/>
                  <w:vMerge w:val="restart"/>
                  <w:noWrap/>
                  <w:vAlign w:val="center"/>
                </w:tcPr>
                <w:p>
                  <w:pPr>
                    <w:widowControl/>
                    <w:wordWrap w:val="0"/>
                    <w:jc w:val="center"/>
                    <w:textAlignment w:val="center"/>
                    <w:rPr>
                      <w:color w:val="auto"/>
                      <w:szCs w:val="21"/>
                    </w:rPr>
                  </w:pPr>
                  <w:r>
                    <w:rPr>
                      <w:color w:val="auto"/>
                      <w:szCs w:val="21"/>
                    </w:rPr>
                    <w:t>一般工业固废</w:t>
                  </w:r>
                </w:p>
              </w:tc>
              <w:tc>
                <w:tcPr>
                  <w:tcW w:w="784" w:type="pct"/>
                  <w:vAlign w:val="center"/>
                </w:tcPr>
                <w:p>
                  <w:pPr>
                    <w:widowControl/>
                    <w:wordWrap w:val="0"/>
                    <w:jc w:val="center"/>
                    <w:textAlignment w:val="center"/>
                    <w:rPr>
                      <w:color w:val="auto"/>
                      <w:szCs w:val="21"/>
                    </w:rPr>
                  </w:pPr>
                  <w:r>
                    <w:rPr>
                      <w:color w:val="auto"/>
                      <w:szCs w:val="21"/>
                    </w:rPr>
                    <w:t>342-002-09</w:t>
                  </w:r>
                </w:p>
              </w:tc>
              <w:tc>
                <w:tcPr>
                  <w:tcW w:w="463" w:type="pct"/>
                  <w:vAlign w:val="center"/>
                </w:tcPr>
                <w:p>
                  <w:pPr>
                    <w:widowControl/>
                    <w:wordWrap w:val="0"/>
                    <w:jc w:val="center"/>
                    <w:textAlignment w:val="center"/>
                    <w:rPr>
                      <w:rFonts w:hint="eastAsia" w:eastAsiaTheme="minorEastAsia"/>
                      <w:color w:val="auto"/>
                      <w:sz w:val="21"/>
                      <w:szCs w:val="21"/>
                      <w:lang w:val="en-US" w:eastAsia="zh-CN"/>
                    </w:rPr>
                  </w:pPr>
                  <w:r>
                    <w:rPr>
                      <w:rFonts w:hint="eastAsia" w:eastAsiaTheme="minorEastAsia"/>
                      <w:color w:val="auto"/>
                      <w:sz w:val="21"/>
                      <w:szCs w:val="21"/>
                      <w:lang w:val="en-US" w:eastAsia="zh-CN"/>
                    </w:rPr>
                    <w:t>SW09</w:t>
                  </w:r>
                </w:p>
              </w:tc>
              <w:tc>
                <w:tcPr>
                  <w:tcW w:w="721" w:type="pct"/>
                  <w:vAlign w:val="center"/>
                </w:tcPr>
                <w:p>
                  <w:pPr>
                    <w:widowControl/>
                    <w:wordWrap w:val="0"/>
                    <w:jc w:val="center"/>
                    <w:textAlignment w:val="center"/>
                    <w:rPr>
                      <w:color w:val="auto"/>
                      <w:szCs w:val="21"/>
                    </w:rPr>
                  </w:pPr>
                  <w:r>
                    <w:rPr>
                      <w:color w:val="auto"/>
                      <w:szCs w:val="21"/>
                    </w:rPr>
                    <w:t>产污系数法</w:t>
                  </w:r>
                </w:p>
              </w:tc>
              <w:tc>
                <w:tcPr>
                  <w:tcW w:w="569" w:type="pct"/>
                  <w:vAlign w:val="center"/>
                </w:tcPr>
                <w:p>
                  <w:pPr>
                    <w:widowControl/>
                    <w:wordWrap w:val="0"/>
                    <w:jc w:val="center"/>
                    <w:textAlignment w:val="center"/>
                    <w:rPr>
                      <w:bCs/>
                      <w:color w:val="auto"/>
                      <w:kern w:val="0"/>
                      <w:szCs w:val="21"/>
                      <w:lang w:bidi="en-US"/>
                    </w:rPr>
                  </w:pPr>
                  <w:r>
                    <w:rPr>
                      <w:rFonts w:hint="eastAsia"/>
                      <w:bCs/>
                      <w:color w:val="auto"/>
                      <w:kern w:val="0"/>
                      <w:szCs w:val="21"/>
                      <w:lang w:bidi="en-US"/>
                    </w:rPr>
                    <w:t>101.5</w:t>
                  </w:r>
                </w:p>
              </w:tc>
              <w:tc>
                <w:tcPr>
                  <w:tcW w:w="642" w:type="pct"/>
                  <w:vMerge w:val="restart"/>
                  <w:vAlign w:val="center"/>
                </w:tcPr>
                <w:p>
                  <w:pPr>
                    <w:widowControl/>
                    <w:wordWrap w:val="0"/>
                    <w:jc w:val="center"/>
                    <w:textAlignment w:val="center"/>
                    <w:rPr>
                      <w:bCs/>
                      <w:color w:val="auto"/>
                      <w:kern w:val="0"/>
                      <w:szCs w:val="21"/>
                      <w:lang w:bidi="en-US"/>
                    </w:rPr>
                  </w:pPr>
                  <w:r>
                    <w:rPr>
                      <w:color w:val="auto"/>
                      <w:kern w:val="0"/>
                      <w:szCs w:val="21"/>
                      <w:lang w:bidi="ar"/>
                    </w:rPr>
                    <w:t>统一收集外售</w:t>
                  </w:r>
                </w:p>
              </w:tc>
              <w:tc>
                <w:tcPr>
                  <w:tcW w:w="496" w:type="pct"/>
                  <w:vAlign w:val="center"/>
                </w:tcPr>
                <w:p>
                  <w:pPr>
                    <w:widowControl/>
                    <w:wordWrap w:val="0"/>
                    <w:jc w:val="center"/>
                    <w:textAlignment w:val="center"/>
                    <w:rPr>
                      <w:bCs/>
                      <w:color w:val="auto"/>
                      <w:kern w:val="0"/>
                      <w:szCs w:val="21"/>
                      <w:lang w:bidi="en-US"/>
                    </w:rPr>
                  </w:pPr>
                  <w:r>
                    <w:rPr>
                      <w:bCs/>
                      <w:color w:val="auto"/>
                      <w:kern w:val="0"/>
                      <w:szCs w:val="21"/>
                      <w:lang w:bidi="en-US"/>
                    </w:rPr>
                    <w:t>101</w:t>
                  </w:r>
                  <w:r>
                    <w:rPr>
                      <w:rFonts w:hint="eastAsia"/>
                      <w:bCs/>
                      <w:color w:val="auto"/>
                      <w:kern w:val="0"/>
                      <w:szCs w:val="21"/>
                      <w:lang w:val="en-US" w:eastAsia="zh-CN" w:bidi="en-US"/>
                    </w:rPr>
                    <w:t>.</w:t>
                  </w:r>
                  <w:r>
                    <w:rPr>
                      <w:bCs/>
                      <w:color w:val="auto"/>
                      <w:kern w:val="0"/>
                      <w:szCs w:val="21"/>
                      <w:lang w:bidi="en-US"/>
                    </w:rPr>
                    <w:t>5</w:t>
                  </w:r>
                </w:p>
              </w:tc>
              <w:tc>
                <w:tcPr>
                  <w:tcW w:w="267" w:type="pct"/>
                  <w:vMerge w:val="restart"/>
                  <w:vAlign w:val="center"/>
                </w:tcPr>
                <w:p>
                  <w:pPr>
                    <w:widowControl/>
                    <w:jc w:val="center"/>
                    <w:rPr>
                      <w:color w:val="auto"/>
                      <w:kern w:val="0"/>
                      <w:szCs w:val="21"/>
                      <w:lang w:bidi="ar"/>
                    </w:rPr>
                  </w:pPr>
                  <w:r>
                    <w:rPr>
                      <w:color w:val="auto"/>
                      <w:kern w:val="0"/>
                      <w:szCs w:val="21"/>
                      <w:lang w:bidi="ar"/>
                    </w:rPr>
                    <w:t>相关单位</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53" w:type="pct"/>
                  <w:vAlign w:val="center"/>
                </w:tcPr>
                <w:p>
                  <w:pPr>
                    <w:pStyle w:val="13"/>
                    <w:tabs>
                      <w:tab w:val="left" w:pos="2830"/>
                    </w:tabs>
                    <w:jc w:val="center"/>
                    <w:rPr>
                      <w:rFonts w:hint="eastAsia"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2</w:t>
                  </w:r>
                </w:p>
              </w:tc>
              <w:tc>
                <w:tcPr>
                  <w:tcW w:w="516" w:type="pct"/>
                  <w:vAlign w:val="center"/>
                </w:tcPr>
                <w:p>
                  <w:pPr>
                    <w:widowControl/>
                    <w:wordWrap w:val="0"/>
                    <w:jc w:val="center"/>
                    <w:textAlignment w:val="center"/>
                    <w:rPr>
                      <w:rFonts w:ascii="Times New Roman" w:hAnsi="Times New Roman" w:eastAsia="宋体" w:cs="Times New Roman"/>
                      <w:color w:val="auto"/>
                      <w:kern w:val="2"/>
                      <w:sz w:val="21"/>
                      <w:szCs w:val="21"/>
                      <w:lang w:val="en-US" w:eastAsia="zh-CN" w:bidi="ar-SA"/>
                    </w:rPr>
                  </w:pPr>
                  <w:r>
                    <w:rPr>
                      <w:color w:val="auto"/>
                      <w:szCs w:val="21"/>
                    </w:rPr>
                    <w:t>废钢丸</w:t>
                  </w:r>
                </w:p>
              </w:tc>
              <w:tc>
                <w:tcPr>
                  <w:tcW w:w="285" w:type="pct"/>
                  <w:vMerge w:val="continue"/>
                  <w:noWrap/>
                  <w:vAlign w:val="center"/>
                </w:tcPr>
                <w:p>
                  <w:pPr>
                    <w:widowControl/>
                    <w:wordWrap w:val="0"/>
                    <w:jc w:val="center"/>
                    <w:textAlignment w:val="center"/>
                    <w:rPr>
                      <w:rFonts w:ascii="Times New Roman" w:hAnsi="Times New Roman" w:eastAsia="宋体" w:cs="Times New Roman"/>
                      <w:color w:val="auto"/>
                      <w:kern w:val="2"/>
                      <w:sz w:val="21"/>
                      <w:szCs w:val="21"/>
                      <w:lang w:val="en-US" w:eastAsia="zh-CN" w:bidi="ar-SA"/>
                    </w:rPr>
                  </w:pPr>
                </w:p>
              </w:tc>
              <w:tc>
                <w:tcPr>
                  <w:tcW w:w="784" w:type="pct"/>
                  <w:vAlign w:val="center"/>
                </w:tcPr>
                <w:p>
                  <w:pPr>
                    <w:widowControl/>
                    <w:wordWrap w:val="0"/>
                    <w:jc w:val="center"/>
                    <w:textAlignment w:val="center"/>
                    <w:rPr>
                      <w:rFonts w:ascii="Times New Roman" w:hAnsi="Times New Roman" w:eastAsia="宋体" w:cs="Times New Roman"/>
                      <w:color w:val="auto"/>
                      <w:kern w:val="2"/>
                      <w:sz w:val="21"/>
                      <w:szCs w:val="21"/>
                      <w:lang w:val="en-US" w:eastAsia="zh-CN" w:bidi="ar-SA"/>
                    </w:rPr>
                  </w:pPr>
                  <w:r>
                    <w:rPr>
                      <w:rFonts w:hint="eastAsia" w:eastAsiaTheme="minorEastAsia"/>
                      <w:color w:val="auto"/>
                      <w:sz w:val="21"/>
                      <w:szCs w:val="21"/>
                      <w:lang w:val="en-US" w:eastAsia="zh-CN"/>
                    </w:rPr>
                    <w:t>900-099-S17</w:t>
                  </w:r>
                </w:p>
              </w:tc>
              <w:tc>
                <w:tcPr>
                  <w:tcW w:w="463" w:type="pct"/>
                  <w:vAlign w:val="center"/>
                </w:tcPr>
                <w:p>
                  <w:pPr>
                    <w:widowControl/>
                    <w:wordWrap w:val="0"/>
                    <w:jc w:val="center"/>
                    <w:textAlignment w:val="center"/>
                    <w:rPr>
                      <w:rFonts w:hint="eastAsia" w:eastAsiaTheme="minorEastAsia"/>
                      <w:color w:val="auto"/>
                      <w:sz w:val="21"/>
                      <w:szCs w:val="21"/>
                      <w:lang w:val="en-US" w:eastAsia="zh-CN"/>
                    </w:rPr>
                  </w:pPr>
                  <w:r>
                    <w:rPr>
                      <w:rFonts w:hint="eastAsia" w:eastAsiaTheme="minorEastAsia"/>
                      <w:color w:val="auto"/>
                      <w:sz w:val="21"/>
                      <w:szCs w:val="21"/>
                      <w:lang w:val="en-US" w:eastAsia="zh-CN"/>
                    </w:rPr>
                    <w:t>S17</w:t>
                  </w:r>
                </w:p>
              </w:tc>
              <w:tc>
                <w:tcPr>
                  <w:tcW w:w="721" w:type="pct"/>
                  <w:vAlign w:val="center"/>
                </w:tcPr>
                <w:p>
                  <w:pPr>
                    <w:widowControl/>
                    <w:wordWrap w:val="0"/>
                    <w:jc w:val="center"/>
                    <w:textAlignment w:val="center"/>
                    <w:rPr>
                      <w:rFonts w:ascii="Times New Roman" w:hAnsi="Times New Roman" w:eastAsia="宋体" w:cs="Times New Roman"/>
                      <w:color w:val="auto"/>
                      <w:kern w:val="2"/>
                      <w:sz w:val="21"/>
                      <w:szCs w:val="21"/>
                      <w:lang w:val="en-US" w:eastAsia="zh-CN" w:bidi="ar-SA"/>
                    </w:rPr>
                  </w:pPr>
                  <w:r>
                    <w:rPr>
                      <w:color w:val="auto"/>
                      <w:szCs w:val="21"/>
                    </w:rPr>
                    <w:t>类比法</w:t>
                  </w:r>
                </w:p>
              </w:tc>
              <w:tc>
                <w:tcPr>
                  <w:tcW w:w="569" w:type="pct"/>
                  <w:vAlign w:val="center"/>
                </w:tcPr>
                <w:p>
                  <w:pPr>
                    <w:widowControl/>
                    <w:wordWrap w:val="0"/>
                    <w:jc w:val="center"/>
                    <w:textAlignment w:val="center"/>
                    <w:rPr>
                      <w:rFonts w:hint="eastAsia" w:ascii="Times New Roman" w:hAnsi="Times New Roman" w:eastAsia="宋体" w:cs="Times New Roman"/>
                      <w:bCs/>
                      <w:color w:val="auto"/>
                      <w:kern w:val="0"/>
                      <w:sz w:val="21"/>
                      <w:szCs w:val="21"/>
                      <w:lang w:val="en-US" w:eastAsia="zh-CN" w:bidi="en-US"/>
                    </w:rPr>
                  </w:pPr>
                  <w:r>
                    <w:rPr>
                      <w:bCs/>
                      <w:color w:val="auto"/>
                      <w:kern w:val="0"/>
                      <w:szCs w:val="21"/>
                      <w:lang w:bidi="en-US"/>
                    </w:rPr>
                    <w:t>1.8</w:t>
                  </w:r>
                </w:p>
              </w:tc>
              <w:tc>
                <w:tcPr>
                  <w:tcW w:w="642" w:type="pct"/>
                  <w:vMerge w:val="continue"/>
                  <w:vAlign w:val="center"/>
                </w:tcPr>
                <w:p>
                  <w:pPr>
                    <w:widowControl/>
                    <w:wordWrap w:val="0"/>
                    <w:jc w:val="center"/>
                    <w:textAlignment w:val="center"/>
                    <w:rPr>
                      <w:rFonts w:ascii="Times New Roman" w:hAnsi="Times New Roman" w:eastAsia="宋体" w:cs="Times New Roman"/>
                      <w:bCs/>
                      <w:color w:val="auto"/>
                      <w:kern w:val="0"/>
                      <w:sz w:val="21"/>
                      <w:szCs w:val="21"/>
                      <w:lang w:val="en-US" w:eastAsia="zh-CN" w:bidi="en-US"/>
                    </w:rPr>
                  </w:pPr>
                </w:p>
              </w:tc>
              <w:tc>
                <w:tcPr>
                  <w:tcW w:w="496" w:type="pct"/>
                  <w:vAlign w:val="center"/>
                </w:tcPr>
                <w:p>
                  <w:pPr>
                    <w:widowControl/>
                    <w:wordWrap w:val="0"/>
                    <w:jc w:val="center"/>
                    <w:textAlignment w:val="center"/>
                    <w:rPr>
                      <w:rFonts w:hint="default" w:ascii="Times New Roman" w:hAnsi="Times New Roman" w:eastAsia="宋体" w:cs="Times New Roman"/>
                      <w:bCs/>
                      <w:color w:val="auto"/>
                      <w:kern w:val="0"/>
                      <w:sz w:val="21"/>
                      <w:szCs w:val="21"/>
                      <w:lang w:val="en-US" w:eastAsia="zh-CN" w:bidi="en-US"/>
                    </w:rPr>
                  </w:pPr>
                  <w:r>
                    <w:rPr>
                      <w:rFonts w:hint="eastAsia"/>
                      <w:bCs/>
                      <w:color w:val="auto"/>
                      <w:kern w:val="0"/>
                      <w:szCs w:val="21"/>
                      <w:lang w:val="en-US" w:eastAsia="zh-CN" w:bidi="en-US"/>
                    </w:rPr>
                    <w:t>1.8</w:t>
                  </w:r>
                </w:p>
              </w:tc>
              <w:tc>
                <w:tcPr>
                  <w:tcW w:w="267" w:type="pct"/>
                  <w:vMerge w:val="continue"/>
                  <w:vAlign w:val="center"/>
                </w:tcPr>
                <w:p>
                  <w:pPr>
                    <w:widowControl/>
                    <w:jc w:val="center"/>
                    <w:rPr>
                      <w:color w:val="auto"/>
                      <w:kern w:val="0"/>
                      <w:szCs w:val="21"/>
                      <w:lang w:bidi="ar"/>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53" w:type="pct"/>
                  <w:vAlign w:val="center"/>
                </w:tcPr>
                <w:p>
                  <w:pPr>
                    <w:pStyle w:val="13"/>
                    <w:tabs>
                      <w:tab w:val="left" w:pos="2830"/>
                    </w:tabs>
                    <w:jc w:val="center"/>
                    <w:rPr>
                      <w:rFonts w:hint="eastAsia"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3</w:t>
                  </w:r>
                </w:p>
              </w:tc>
              <w:tc>
                <w:tcPr>
                  <w:tcW w:w="516" w:type="pct"/>
                  <w:vAlign w:val="center"/>
                </w:tcPr>
                <w:p>
                  <w:pPr>
                    <w:widowControl/>
                    <w:wordWrap w:val="0"/>
                    <w:jc w:val="center"/>
                    <w:textAlignment w:val="center"/>
                    <w:rPr>
                      <w:rFonts w:ascii="Times New Roman" w:hAnsi="Times New Roman" w:eastAsia="宋体" w:cs="Times New Roman"/>
                      <w:color w:val="auto"/>
                      <w:kern w:val="2"/>
                      <w:sz w:val="21"/>
                      <w:szCs w:val="21"/>
                      <w:lang w:val="en-US" w:eastAsia="zh-CN" w:bidi="ar-SA"/>
                    </w:rPr>
                  </w:pPr>
                  <w:r>
                    <w:rPr>
                      <w:rFonts w:ascii="Times New Roman" w:hAnsi="Times New Roman"/>
                      <w:color w:val="auto"/>
                      <w:sz w:val="21"/>
                      <w:szCs w:val="21"/>
                    </w:rPr>
                    <w:t>废气处置收集的粉尘</w:t>
                  </w:r>
                </w:p>
              </w:tc>
              <w:tc>
                <w:tcPr>
                  <w:tcW w:w="285" w:type="pct"/>
                  <w:vMerge w:val="continue"/>
                  <w:noWrap/>
                  <w:vAlign w:val="center"/>
                </w:tcPr>
                <w:p>
                  <w:pPr>
                    <w:widowControl/>
                    <w:wordWrap w:val="0"/>
                    <w:jc w:val="center"/>
                    <w:textAlignment w:val="center"/>
                    <w:rPr>
                      <w:rFonts w:ascii="Times New Roman" w:hAnsi="Times New Roman" w:eastAsia="宋体" w:cs="Times New Roman"/>
                      <w:color w:val="auto"/>
                      <w:kern w:val="2"/>
                      <w:sz w:val="21"/>
                      <w:szCs w:val="21"/>
                      <w:lang w:val="en-US" w:eastAsia="zh-CN" w:bidi="ar-SA"/>
                    </w:rPr>
                  </w:pPr>
                </w:p>
              </w:tc>
              <w:tc>
                <w:tcPr>
                  <w:tcW w:w="784" w:type="pct"/>
                  <w:vAlign w:val="center"/>
                </w:tcPr>
                <w:p>
                  <w:pPr>
                    <w:widowControl/>
                    <w:wordWrap w:val="0"/>
                    <w:jc w:val="center"/>
                    <w:textAlignment w:val="center"/>
                    <w:rPr>
                      <w:rFonts w:hint="eastAsia" w:ascii="Times New Roman" w:hAnsi="Times New Roman" w:eastAsia="宋体" w:cs="Times New Roman"/>
                      <w:color w:val="auto"/>
                      <w:kern w:val="2"/>
                      <w:sz w:val="21"/>
                      <w:szCs w:val="21"/>
                      <w:lang w:val="en-US" w:eastAsia="zh-CN" w:bidi="ar-SA"/>
                    </w:rPr>
                  </w:pPr>
                  <w:r>
                    <w:rPr>
                      <w:rFonts w:eastAsiaTheme="minorEastAsia"/>
                      <w:color w:val="auto"/>
                      <w:sz w:val="21"/>
                      <w:szCs w:val="21"/>
                    </w:rPr>
                    <w:t>900-</w:t>
                  </w:r>
                  <w:r>
                    <w:rPr>
                      <w:rFonts w:hint="eastAsia" w:eastAsiaTheme="minorEastAsia"/>
                      <w:color w:val="auto"/>
                      <w:sz w:val="21"/>
                      <w:szCs w:val="21"/>
                      <w:lang w:val="en-US" w:eastAsia="zh-CN"/>
                    </w:rPr>
                    <w:t>099</w:t>
                  </w:r>
                  <w:r>
                    <w:rPr>
                      <w:rFonts w:eastAsiaTheme="minorEastAsia"/>
                      <w:color w:val="auto"/>
                      <w:sz w:val="21"/>
                      <w:szCs w:val="21"/>
                    </w:rPr>
                    <w:t>-</w:t>
                  </w:r>
                  <w:r>
                    <w:rPr>
                      <w:rFonts w:hint="eastAsia" w:eastAsiaTheme="minorEastAsia"/>
                      <w:color w:val="auto"/>
                      <w:sz w:val="21"/>
                      <w:szCs w:val="21"/>
                      <w:lang w:val="en-US" w:eastAsia="zh-CN"/>
                    </w:rPr>
                    <w:t>S59</w:t>
                  </w:r>
                </w:p>
              </w:tc>
              <w:tc>
                <w:tcPr>
                  <w:tcW w:w="463" w:type="pct"/>
                  <w:vAlign w:val="center"/>
                </w:tcPr>
                <w:p>
                  <w:pPr>
                    <w:widowControl/>
                    <w:wordWrap w:val="0"/>
                    <w:jc w:val="center"/>
                    <w:textAlignment w:val="center"/>
                    <w:rPr>
                      <w:rFonts w:hint="eastAsia" w:ascii="Times New Roman" w:hAnsi="Times New Roman" w:eastAsia="宋体" w:cs="Times New Roman"/>
                      <w:color w:val="auto"/>
                      <w:kern w:val="2"/>
                      <w:sz w:val="21"/>
                      <w:szCs w:val="21"/>
                      <w:lang w:val="en-US" w:eastAsia="zh-CN" w:bidi="ar-SA"/>
                    </w:rPr>
                  </w:pPr>
                  <w:r>
                    <w:rPr>
                      <w:rFonts w:hint="eastAsia" w:eastAsiaTheme="minorEastAsia"/>
                      <w:color w:val="auto"/>
                      <w:sz w:val="21"/>
                      <w:szCs w:val="21"/>
                      <w:lang w:val="en-US" w:eastAsia="zh-CN"/>
                    </w:rPr>
                    <w:t>S59</w:t>
                  </w:r>
                </w:p>
              </w:tc>
              <w:tc>
                <w:tcPr>
                  <w:tcW w:w="721" w:type="pct"/>
                  <w:vAlign w:val="center"/>
                </w:tcPr>
                <w:p>
                  <w:pPr>
                    <w:widowControl/>
                    <w:wordWrap w:val="0"/>
                    <w:jc w:val="center"/>
                    <w:textAlignment w:val="center"/>
                    <w:rPr>
                      <w:rFonts w:ascii="Times New Roman" w:hAnsi="Times New Roman" w:eastAsia="宋体" w:cs="Times New Roman"/>
                      <w:color w:val="auto"/>
                      <w:kern w:val="2"/>
                      <w:sz w:val="21"/>
                      <w:szCs w:val="21"/>
                      <w:lang w:val="en-US" w:eastAsia="zh-CN" w:bidi="ar-SA"/>
                    </w:rPr>
                  </w:pPr>
                  <w:r>
                    <w:rPr>
                      <w:color w:val="auto"/>
                      <w:szCs w:val="21"/>
                    </w:rPr>
                    <w:t>物料衡算法</w:t>
                  </w:r>
                </w:p>
              </w:tc>
              <w:tc>
                <w:tcPr>
                  <w:tcW w:w="569" w:type="pct"/>
                  <w:vAlign w:val="center"/>
                </w:tcPr>
                <w:p>
                  <w:pPr>
                    <w:widowControl/>
                    <w:wordWrap w:val="0"/>
                    <w:jc w:val="center"/>
                    <w:textAlignment w:val="center"/>
                    <w:rPr>
                      <w:rFonts w:ascii="Times New Roman" w:hAnsi="Times New Roman" w:eastAsia="宋体" w:cs="Times New Roman"/>
                      <w:bCs/>
                      <w:color w:val="auto"/>
                      <w:kern w:val="0"/>
                      <w:sz w:val="21"/>
                      <w:szCs w:val="21"/>
                      <w:lang w:val="en-US" w:eastAsia="zh-CN" w:bidi="en-US"/>
                    </w:rPr>
                  </w:pPr>
                  <w:r>
                    <w:rPr>
                      <w:rFonts w:hint="eastAsia"/>
                      <w:bCs/>
                      <w:color w:val="auto"/>
                      <w:kern w:val="0"/>
                      <w:szCs w:val="21"/>
                      <w:lang w:val="en-US" w:eastAsia="zh-CN" w:bidi="en-US"/>
                    </w:rPr>
                    <w:t>61.856</w:t>
                  </w:r>
                </w:p>
              </w:tc>
              <w:tc>
                <w:tcPr>
                  <w:tcW w:w="642" w:type="pct"/>
                  <w:vMerge w:val="continue"/>
                  <w:vAlign w:val="center"/>
                </w:tcPr>
                <w:p>
                  <w:pPr>
                    <w:widowControl/>
                    <w:wordWrap w:val="0"/>
                    <w:jc w:val="center"/>
                    <w:textAlignment w:val="center"/>
                    <w:rPr>
                      <w:rFonts w:ascii="Times New Roman" w:hAnsi="Times New Roman" w:eastAsia="宋体" w:cs="Times New Roman"/>
                      <w:bCs/>
                      <w:color w:val="auto"/>
                      <w:kern w:val="0"/>
                      <w:sz w:val="21"/>
                      <w:szCs w:val="21"/>
                      <w:lang w:val="en-US" w:eastAsia="zh-CN" w:bidi="en-US"/>
                    </w:rPr>
                  </w:pPr>
                </w:p>
              </w:tc>
              <w:tc>
                <w:tcPr>
                  <w:tcW w:w="496" w:type="pct"/>
                  <w:vAlign w:val="center"/>
                </w:tcPr>
                <w:p>
                  <w:pPr>
                    <w:widowControl/>
                    <w:wordWrap w:val="0"/>
                    <w:jc w:val="center"/>
                    <w:textAlignment w:val="center"/>
                    <w:rPr>
                      <w:rFonts w:hint="eastAsia" w:ascii="Times New Roman" w:hAnsi="Times New Roman" w:eastAsia="宋体" w:cs="Times New Roman"/>
                      <w:bCs/>
                      <w:color w:val="auto"/>
                      <w:kern w:val="0"/>
                      <w:sz w:val="21"/>
                      <w:szCs w:val="21"/>
                      <w:lang w:val="en-US" w:eastAsia="zh-CN" w:bidi="en-US"/>
                    </w:rPr>
                  </w:pPr>
                  <w:r>
                    <w:rPr>
                      <w:rFonts w:hint="eastAsia"/>
                      <w:bCs/>
                      <w:color w:val="auto"/>
                      <w:kern w:val="0"/>
                      <w:szCs w:val="21"/>
                      <w:lang w:val="en-US" w:eastAsia="zh-CN" w:bidi="en-US"/>
                    </w:rPr>
                    <w:t>61.856</w:t>
                  </w:r>
                </w:p>
              </w:tc>
              <w:tc>
                <w:tcPr>
                  <w:tcW w:w="267" w:type="pct"/>
                  <w:vMerge w:val="continue"/>
                  <w:vAlign w:val="center"/>
                </w:tcPr>
                <w:p>
                  <w:pPr>
                    <w:widowControl/>
                    <w:jc w:val="center"/>
                    <w:rPr>
                      <w:color w:val="auto"/>
                      <w:kern w:val="0"/>
                      <w:szCs w:val="21"/>
                      <w:lang w:bidi="ar"/>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53" w:type="pct"/>
                  <w:vAlign w:val="center"/>
                </w:tcPr>
                <w:p>
                  <w:pPr>
                    <w:pStyle w:val="13"/>
                    <w:tabs>
                      <w:tab w:val="left" w:pos="2830"/>
                    </w:tabs>
                    <w:jc w:val="center"/>
                    <w:rPr>
                      <w:rFonts w:hint="eastAsia" w:ascii="Times New Roman" w:hAnsi="Times New Roman" w:eastAsia="宋体"/>
                      <w:color w:val="auto"/>
                      <w:sz w:val="21"/>
                      <w:szCs w:val="21"/>
                      <w:lang w:eastAsia="zh-CN"/>
                    </w:rPr>
                  </w:pPr>
                  <w:r>
                    <w:rPr>
                      <w:rFonts w:hint="eastAsia" w:ascii="Times New Roman" w:hAnsi="Times New Roman"/>
                      <w:color w:val="auto"/>
                      <w:sz w:val="21"/>
                      <w:szCs w:val="21"/>
                      <w:lang w:val="en-US" w:eastAsia="zh-CN"/>
                    </w:rPr>
                    <w:t>4</w:t>
                  </w:r>
                </w:p>
              </w:tc>
              <w:tc>
                <w:tcPr>
                  <w:tcW w:w="516" w:type="pct"/>
                  <w:vAlign w:val="center"/>
                </w:tcPr>
                <w:p>
                  <w:pPr>
                    <w:widowControl/>
                    <w:kinsoku w:val="0"/>
                    <w:wordWrap w:val="0"/>
                    <w:autoSpaceDE w:val="0"/>
                    <w:autoSpaceDN w:val="0"/>
                    <w:adjustRightInd w:val="0"/>
                    <w:snapToGrid w:val="0"/>
                    <w:jc w:val="center"/>
                    <w:textAlignment w:val="baseline"/>
                    <w:rPr>
                      <w:snapToGrid w:val="0"/>
                      <w:color w:val="auto"/>
                      <w:spacing w:val="-2"/>
                      <w:kern w:val="0"/>
                      <w:szCs w:val="21"/>
                    </w:rPr>
                  </w:pPr>
                  <w:r>
                    <w:rPr>
                      <w:snapToGrid w:val="0"/>
                      <w:color w:val="auto"/>
                      <w:spacing w:val="-2"/>
                      <w:kern w:val="0"/>
                      <w:szCs w:val="21"/>
                    </w:rPr>
                    <w:t>废布袋</w:t>
                  </w:r>
                </w:p>
              </w:tc>
              <w:tc>
                <w:tcPr>
                  <w:tcW w:w="285" w:type="pct"/>
                  <w:vMerge w:val="continue"/>
                  <w:noWrap/>
                  <w:vAlign w:val="center"/>
                </w:tcPr>
                <w:p>
                  <w:pPr>
                    <w:widowControl/>
                    <w:wordWrap w:val="0"/>
                    <w:jc w:val="center"/>
                    <w:textAlignment w:val="center"/>
                    <w:rPr>
                      <w:color w:val="auto"/>
                      <w:szCs w:val="21"/>
                    </w:rPr>
                  </w:pPr>
                </w:p>
              </w:tc>
              <w:tc>
                <w:tcPr>
                  <w:tcW w:w="784" w:type="pct"/>
                  <w:vAlign w:val="center"/>
                </w:tcPr>
                <w:p>
                  <w:pPr>
                    <w:widowControl/>
                    <w:wordWrap w:val="0"/>
                    <w:jc w:val="center"/>
                    <w:textAlignment w:val="center"/>
                    <w:rPr>
                      <w:color w:val="auto"/>
                      <w:szCs w:val="21"/>
                    </w:rPr>
                  </w:pPr>
                  <w:r>
                    <w:rPr>
                      <w:rFonts w:eastAsiaTheme="minorEastAsia"/>
                      <w:color w:val="auto"/>
                      <w:sz w:val="21"/>
                      <w:szCs w:val="21"/>
                    </w:rPr>
                    <w:t>900-</w:t>
                  </w:r>
                  <w:r>
                    <w:rPr>
                      <w:rFonts w:hint="eastAsia" w:eastAsiaTheme="minorEastAsia"/>
                      <w:color w:val="auto"/>
                      <w:sz w:val="21"/>
                      <w:szCs w:val="21"/>
                      <w:lang w:val="en-US" w:eastAsia="zh-CN"/>
                    </w:rPr>
                    <w:t>009</w:t>
                  </w:r>
                  <w:r>
                    <w:rPr>
                      <w:rFonts w:eastAsiaTheme="minorEastAsia"/>
                      <w:color w:val="auto"/>
                      <w:sz w:val="21"/>
                      <w:szCs w:val="21"/>
                    </w:rPr>
                    <w:t>-</w:t>
                  </w:r>
                  <w:r>
                    <w:rPr>
                      <w:rFonts w:hint="eastAsia" w:eastAsiaTheme="minorEastAsia"/>
                      <w:color w:val="auto"/>
                      <w:sz w:val="21"/>
                      <w:szCs w:val="21"/>
                      <w:lang w:val="en-US" w:eastAsia="zh-CN"/>
                    </w:rPr>
                    <w:t>S59</w:t>
                  </w:r>
                </w:p>
              </w:tc>
              <w:tc>
                <w:tcPr>
                  <w:tcW w:w="463" w:type="pct"/>
                  <w:noWrap/>
                  <w:vAlign w:val="center"/>
                </w:tcPr>
                <w:p>
                  <w:pPr>
                    <w:widowControl/>
                    <w:wordWrap w:val="0"/>
                    <w:jc w:val="center"/>
                    <w:textAlignment w:val="center"/>
                    <w:rPr>
                      <w:color w:val="auto"/>
                      <w:szCs w:val="21"/>
                    </w:rPr>
                  </w:pPr>
                  <w:r>
                    <w:rPr>
                      <w:rFonts w:hint="eastAsia" w:eastAsiaTheme="minorEastAsia"/>
                      <w:color w:val="auto"/>
                      <w:sz w:val="21"/>
                      <w:szCs w:val="21"/>
                      <w:lang w:val="en-US" w:eastAsia="zh-CN"/>
                    </w:rPr>
                    <w:t>S59</w:t>
                  </w:r>
                </w:p>
              </w:tc>
              <w:tc>
                <w:tcPr>
                  <w:tcW w:w="721" w:type="pct"/>
                  <w:noWrap/>
                  <w:vAlign w:val="center"/>
                </w:tcPr>
                <w:p>
                  <w:pPr>
                    <w:widowControl/>
                    <w:wordWrap w:val="0"/>
                    <w:jc w:val="center"/>
                    <w:textAlignment w:val="center"/>
                    <w:rPr>
                      <w:color w:val="auto"/>
                      <w:kern w:val="0"/>
                      <w:szCs w:val="21"/>
                      <w:lang w:bidi="ar"/>
                    </w:rPr>
                  </w:pPr>
                  <w:r>
                    <w:rPr>
                      <w:color w:val="auto"/>
                      <w:kern w:val="0"/>
                      <w:szCs w:val="21"/>
                      <w:lang w:bidi="ar"/>
                    </w:rPr>
                    <w:t>类比法</w:t>
                  </w:r>
                </w:p>
              </w:tc>
              <w:tc>
                <w:tcPr>
                  <w:tcW w:w="569" w:type="pct"/>
                  <w:noWrap/>
                  <w:vAlign w:val="center"/>
                </w:tcPr>
                <w:p>
                  <w:pPr>
                    <w:widowControl/>
                    <w:wordWrap w:val="0"/>
                    <w:jc w:val="center"/>
                    <w:textAlignment w:val="center"/>
                    <w:rPr>
                      <w:bCs/>
                      <w:color w:val="auto"/>
                      <w:kern w:val="0"/>
                      <w:szCs w:val="21"/>
                      <w:lang w:bidi="en-US"/>
                    </w:rPr>
                  </w:pPr>
                  <w:r>
                    <w:rPr>
                      <w:bCs/>
                      <w:color w:val="auto"/>
                      <w:kern w:val="0"/>
                      <w:szCs w:val="21"/>
                      <w:lang w:bidi="en-US"/>
                    </w:rPr>
                    <w:t>0.5</w:t>
                  </w:r>
                </w:p>
              </w:tc>
              <w:tc>
                <w:tcPr>
                  <w:tcW w:w="642" w:type="pct"/>
                  <w:vMerge w:val="continue"/>
                  <w:vAlign w:val="center"/>
                </w:tcPr>
                <w:p>
                  <w:pPr>
                    <w:widowControl/>
                    <w:wordWrap w:val="0"/>
                    <w:jc w:val="center"/>
                    <w:textAlignment w:val="center"/>
                    <w:rPr>
                      <w:bCs/>
                      <w:color w:val="auto"/>
                      <w:kern w:val="0"/>
                      <w:szCs w:val="21"/>
                      <w:lang w:bidi="en-US"/>
                    </w:rPr>
                  </w:pPr>
                </w:p>
              </w:tc>
              <w:tc>
                <w:tcPr>
                  <w:tcW w:w="496" w:type="pct"/>
                  <w:vAlign w:val="center"/>
                </w:tcPr>
                <w:p>
                  <w:pPr>
                    <w:widowControl/>
                    <w:wordWrap w:val="0"/>
                    <w:jc w:val="center"/>
                    <w:textAlignment w:val="center"/>
                    <w:rPr>
                      <w:bCs/>
                      <w:color w:val="auto"/>
                      <w:kern w:val="0"/>
                      <w:szCs w:val="21"/>
                      <w:lang w:bidi="en-US"/>
                    </w:rPr>
                  </w:pPr>
                  <w:r>
                    <w:rPr>
                      <w:bCs/>
                      <w:color w:val="auto"/>
                      <w:kern w:val="0"/>
                      <w:szCs w:val="21"/>
                      <w:lang w:bidi="en-US"/>
                    </w:rPr>
                    <w:t>0.5</w:t>
                  </w:r>
                </w:p>
              </w:tc>
              <w:tc>
                <w:tcPr>
                  <w:tcW w:w="267" w:type="pct"/>
                  <w:vMerge w:val="continue"/>
                  <w:vAlign w:val="center"/>
                </w:tcPr>
                <w:p>
                  <w:pPr>
                    <w:widowControl/>
                    <w:wordWrap w:val="0"/>
                    <w:jc w:val="center"/>
                    <w:textAlignment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53" w:type="pct"/>
                  <w:vAlign w:val="center"/>
                </w:tcPr>
                <w:p>
                  <w:pPr>
                    <w:pStyle w:val="13"/>
                    <w:tabs>
                      <w:tab w:val="left" w:pos="2830"/>
                    </w:tabs>
                    <w:jc w:val="center"/>
                    <w:rPr>
                      <w:rFonts w:hint="eastAsia"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5</w:t>
                  </w:r>
                </w:p>
              </w:tc>
              <w:tc>
                <w:tcPr>
                  <w:tcW w:w="516" w:type="pct"/>
                  <w:vAlign w:val="center"/>
                </w:tcPr>
                <w:p>
                  <w:pPr>
                    <w:widowControl/>
                    <w:jc w:val="center"/>
                    <w:textAlignment w:val="center"/>
                    <w:rPr>
                      <w:rFonts w:ascii="Times New Roman" w:hAnsi="Times New Roman" w:eastAsia="宋体" w:cs="Times New Roman"/>
                      <w:color w:val="auto"/>
                      <w:kern w:val="2"/>
                      <w:sz w:val="21"/>
                      <w:szCs w:val="21"/>
                      <w:lang w:val="en-US" w:eastAsia="zh-CN" w:bidi="ar-SA"/>
                    </w:rPr>
                  </w:pPr>
                  <w:r>
                    <w:rPr>
                      <w:color w:val="auto"/>
                      <w:szCs w:val="21"/>
                    </w:rPr>
                    <w:t>废砂轮片</w:t>
                  </w:r>
                </w:p>
              </w:tc>
              <w:tc>
                <w:tcPr>
                  <w:tcW w:w="285" w:type="pct"/>
                  <w:vMerge w:val="continue"/>
                  <w:noWrap/>
                  <w:vAlign w:val="center"/>
                </w:tcPr>
                <w:p>
                  <w:pPr>
                    <w:widowControl/>
                    <w:jc w:val="center"/>
                    <w:rPr>
                      <w:rFonts w:ascii="Times New Roman" w:hAnsi="Times New Roman" w:eastAsia="宋体" w:cs="Times New Roman"/>
                      <w:color w:val="auto"/>
                      <w:kern w:val="2"/>
                      <w:sz w:val="21"/>
                      <w:szCs w:val="21"/>
                      <w:lang w:val="en-US" w:eastAsia="zh-CN" w:bidi="ar-SA"/>
                    </w:rPr>
                  </w:pPr>
                </w:p>
              </w:tc>
              <w:tc>
                <w:tcPr>
                  <w:tcW w:w="784" w:type="pct"/>
                  <w:vAlign w:val="center"/>
                </w:tcPr>
                <w:p>
                  <w:pPr>
                    <w:widowControl/>
                    <w:jc w:val="center"/>
                    <w:rPr>
                      <w:rFonts w:hint="eastAsia" w:ascii="Times New Roman" w:hAnsi="Times New Roman" w:cs="Times New Roman" w:eastAsiaTheme="minorEastAsia"/>
                      <w:color w:val="auto"/>
                      <w:kern w:val="2"/>
                      <w:sz w:val="21"/>
                      <w:szCs w:val="21"/>
                      <w:lang w:val="en-US" w:eastAsia="zh-CN" w:bidi="ar-SA"/>
                    </w:rPr>
                  </w:pPr>
                  <w:r>
                    <w:rPr>
                      <w:rFonts w:hint="eastAsia" w:eastAsiaTheme="minorEastAsia"/>
                      <w:color w:val="auto"/>
                      <w:sz w:val="21"/>
                      <w:szCs w:val="21"/>
                      <w:lang w:val="en-US" w:eastAsia="zh-CN"/>
                    </w:rPr>
                    <w:t>900-099-S17</w:t>
                  </w:r>
                </w:p>
              </w:tc>
              <w:tc>
                <w:tcPr>
                  <w:tcW w:w="463" w:type="pct"/>
                  <w:noWrap/>
                  <w:vAlign w:val="center"/>
                </w:tcPr>
                <w:p>
                  <w:pPr>
                    <w:widowControl/>
                    <w:jc w:val="center"/>
                    <w:rPr>
                      <w:rFonts w:hint="eastAsia" w:ascii="Times New Roman" w:hAnsi="Times New Roman" w:cs="Times New Roman" w:eastAsiaTheme="minorEastAsia"/>
                      <w:color w:val="auto"/>
                      <w:kern w:val="2"/>
                      <w:sz w:val="21"/>
                      <w:szCs w:val="21"/>
                      <w:lang w:val="en-US" w:eastAsia="zh-CN" w:bidi="ar-SA"/>
                    </w:rPr>
                  </w:pPr>
                  <w:r>
                    <w:rPr>
                      <w:rFonts w:hint="eastAsia" w:eastAsiaTheme="minorEastAsia"/>
                      <w:color w:val="auto"/>
                      <w:sz w:val="21"/>
                      <w:szCs w:val="21"/>
                      <w:lang w:val="en-US" w:eastAsia="zh-CN"/>
                    </w:rPr>
                    <w:t>S17</w:t>
                  </w:r>
                </w:p>
              </w:tc>
              <w:tc>
                <w:tcPr>
                  <w:tcW w:w="721" w:type="pct"/>
                  <w:noWrap/>
                  <w:vAlign w:val="center"/>
                </w:tcPr>
                <w:p>
                  <w:pPr>
                    <w:widowControl/>
                    <w:wordWrap w:val="0"/>
                    <w:jc w:val="center"/>
                    <w:textAlignment w:val="center"/>
                    <w:rPr>
                      <w:rFonts w:ascii="Times New Roman" w:hAnsi="Times New Roman" w:eastAsia="宋体" w:cs="Times New Roman"/>
                      <w:color w:val="auto"/>
                      <w:kern w:val="2"/>
                      <w:sz w:val="21"/>
                      <w:szCs w:val="21"/>
                      <w:lang w:val="en-US" w:eastAsia="zh-CN" w:bidi="ar-SA"/>
                    </w:rPr>
                  </w:pPr>
                  <w:r>
                    <w:rPr>
                      <w:color w:val="auto"/>
                      <w:kern w:val="0"/>
                      <w:szCs w:val="21"/>
                      <w:lang w:bidi="ar"/>
                    </w:rPr>
                    <w:t>产污系数法</w:t>
                  </w:r>
                </w:p>
              </w:tc>
              <w:tc>
                <w:tcPr>
                  <w:tcW w:w="569" w:type="pct"/>
                  <w:noWrap/>
                  <w:vAlign w:val="center"/>
                </w:tcPr>
                <w:p>
                  <w:pPr>
                    <w:widowControl/>
                    <w:wordWrap w:val="0"/>
                    <w:jc w:val="center"/>
                    <w:textAlignment w:val="center"/>
                    <w:rPr>
                      <w:rFonts w:ascii="Times New Roman" w:hAnsi="Times New Roman" w:eastAsia="宋体" w:cs="Times New Roman"/>
                      <w:bCs/>
                      <w:color w:val="auto"/>
                      <w:kern w:val="0"/>
                      <w:sz w:val="21"/>
                      <w:szCs w:val="21"/>
                      <w:lang w:val="en-US" w:eastAsia="zh-CN" w:bidi="en-US"/>
                    </w:rPr>
                  </w:pPr>
                  <w:r>
                    <w:rPr>
                      <w:bCs/>
                      <w:color w:val="auto"/>
                      <w:kern w:val="0"/>
                      <w:szCs w:val="21"/>
                      <w:lang w:bidi="en-US"/>
                    </w:rPr>
                    <w:t>0.11</w:t>
                  </w:r>
                </w:p>
              </w:tc>
              <w:tc>
                <w:tcPr>
                  <w:tcW w:w="642" w:type="pct"/>
                  <w:vMerge w:val="continue"/>
                  <w:vAlign w:val="center"/>
                </w:tcPr>
                <w:p>
                  <w:pPr>
                    <w:widowControl/>
                    <w:wordWrap w:val="0"/>
                    <w:jc w:val="center"/>
                    <w:textAlignment w:val="center"/>
                    <w:rPr>
                      <w:rFonts w:ascii="Times New Roman" w:hAnsi="Times New Roman" w:eastAsia="宋体" w:cs="Times New Roman"/>
                      <w:bCs/>
                      <w:color w:val="auto"/>
                      <w:kern w:val="0"/>
                      <w:sz w:val="21"/>
                      <w:szCs w:val="21"/>
                      <w:lang w:val="en-US" w:eastAsia="zh-CN" w:bidi="en-US"/>
                    </w:rPr>
                  </w:pPr>
                </w:p>
              </w:tc>
              <w:tc>
                <w:tcPr>
                  <w:tcW w:w="496" w:type="pct"/>
                  <w:vAlign w:val="center"/>
                </w:tcPr>
                <w:p>
                  <w:pPr>
                    <w:widowControl/>
                    <w:wordWrap w:val="0"/>
                    <w:jc w:val="center"/>
                    <w:textAlignment w:val="center"/>
                    <w:rPr>
                      <w:rFonts w:hint="eastAsia" w:ascii="Times New Roman" w:hAnsi="Times New Roman" w:eastAsia="宋体" w:cs="Times New Roman"/>
                      <w:bCs/>
                      <w:color w:val="auto"/>
                      <w:kern w:val="0"/>
                      <w:sz w:val="21"/>
                      <w:szCs w:val="21"/>
                      <w:lang w:val="en-US" w:eastAsia="zh-CN" w:bidi="en-US"/>
                    </w:rPr>
                  </w:pPr>
                  <w:r>
                    <w:rPr>
                      <w:bCs/>
                      <w:color w:val="auto"/>
                      <w:kern w:val="0"/>
                      <w:szCs w:val="21"/>
                      <w:lang w:bidi="en-US"/>
                    </w:rPr>
                    <w:t>0.11</w:t>
                  </w:r>
                </w:p>
              </w:tc>
              <w:tc>
                <w:tcPr>
                  <w:tcW w:w="267" w:type="pct"/>
                  <w:vMerge w:val="continue"/>
                  <w:vAlign w:val="center"/>
                </w:tcPr>
                <w:p>
                  <w:pPr>
                    <w:widowControl/>
                    <w:wordWrap w:val="0"/>
                    <w:jc w:val="center"/>
                    <w:textAlignment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53" w:type="pct"/>
                  <w:vAlign w:val="center"/>
                </w:tcPr>
                <w:p>
                  <w:pPr>
                    <w:pStyle w:val="13"/>
                    <w:tabs>
                      <w:tab w:val="left" w:pos="2830"/>
                    </w:tabs>
                    <w:jc w:val="center"/>
                    <w:rPr>
                      <w:rFonts w:hint="default" w:ascii="Times New Roman" w:hAnsi="Times New Roman" w:eastAsia="宋体"/>
                      <w:bCs/>
                      <w:color w:val="auto"/>
                      <w:sz w:val="21"/>
                      <w:szCs w:val="21"/>
                      <w:lang w:val="en-US" w:eastAsia="zh-CN"/>
                    </w:rPr>
                  </w:pPr>
                  <w:r>
                    <w:rPr>
                      <w:rFonts w:hint="eastAsia" w:ascii="Times New Roman" w:hAnsi="Times New Roman"/>
                      <w:bCs/>
                      <w:color w:val="auto"/>
                      <w:sz w:val="21"/>
                      <w:szCs w:val="21"/>
                      <w:lang w:val="en-US" w:eastAsia="zh-CN"/>
                    </w:rPr>
                    <w:t>6</w:t>
                  </w:r>
                </w:p>
              </w:tc>
              <w:tc>
                <w:tcPr>
                  <w:tcW w:w="516" w:type="pct"/>
                  <w:vAlign w:val="center"/>
                </w:tcPr>
                <w:p>
                  <w:pPr>
                    <w:widowControl/>
                    <w:wordWrap w:val="0"/>
                    <w:jc w:val="center"/>
                    <w:textAlignment w:val="center"/>
                    <w:rPr>
                      <w:color w:val="auto"/>
                      <w:szCs w:val="21"/>
                    </w:rPr>
                  </w:pPr>
                  <w:r>
                    <w:rPr>
                      <w:rFonts w:hint="eastAsia"/>
                      <w:color w:val="auto"/>
                      <w:szCs w:val="21"/>
                      <w:lang w:eastAsia="zh-CN"/>
                    </w:rPr>
                    <w:t>废</w:t>
                  </w:r>
                  <w:r>
                    <w:rPr>
                      <w:color w:val="auto"/>
                      <w:szCs w:val="21"/>
                    </w:rPr>
                    <w:t>焊渣</w:t>
                  </w:r>
                </w:p>
              </w:tc>
              <w:tc>
                <w:tcPr>
                  <w:tcW w:w="285" w:type="pct"/>
                  <w:vMerge w:val="continue"/>
                  <w:noWrap/>
                  <w:vAlign w:val="center"/>
                </w:tcPr>
                <w:p>
                  <w:pPr>
                    <w:widowControl/>
                    <w:wordWrap w:val="0"/>
                    <w:jc w:val="center"/>
                    <w:textAlignment w:val="center"/>
                    <w:rPr>
                      <w:color w:val="auto"/>
                      <w:szCs w:val="21"/>
                    </w:rPr>
                  </w:pPr>
                </w:p>
              </w:tc>
              <w:tc>
                <w:tcPr>
                  <w:tcW w:w="784" w:type="pct"/>
                  <w:vAlign w:val="center"/>
                </w:tcPr>
                <w:p>
                  <w:pPr>
                    <w:widowControl/>
                    <w:wordWrap w:val="0"/>
                    <w:jc w:val="center"/>
                    <w:textAlignment w:val="center"/>
                    <w:rPr>
                      <w:color w:val="auto"/>
                      <w:szCs w:val="21"/>
                    </w:rPr>
                  </w:pPr>
                  <w:r>
                    <w:rPr>
                      <w:rFonts w:hint="eastAsia" w:eastAsiaTheme="minorEastAsia"/>
                      <w:color w:val="auto"/>
                      <w:sz w:val="21"/>
                      <w:szCs w:val="21"/>
                      <w:lang w:val="en-US" w:eastAsia="zh-CN"/>
                    </w:rPr>
                    <w:t>900-001-S17</w:t>
                  </w:r>
                </w:p>
              </w:tc>
              <w:tc>
                <w:tcPr>
                  <w:tcW w:w="463" w:type="pct"/>
                  <w:noWrap/>
                  <w:vAlign w:val="center"/>
                </w:tcPr>
                <w:p>
                  <w:pPr>
                    <w:widowControl/>
                    <w:wordWrap w:val="0"/>
                    <w:jc w:val="center"/>
                    <w:textAlignment w:val="center"/>
                    <w:rPr>
                      <w:color w:val="auto"/>
                      <w:szCs w:val="21"/>
                    </w:rPr>
                  </w:pPr>
                  <w:r>
                    <w:rPr>
                      <w:rFonts w:hint="eastAsia" w:eastAsiaTheme="minorEastAsia"/>
                      <w:color w:val="auto"/>
                      <w:sz w:val="21"/>
                      <w:szCs w:val="21"/>
                      <w:lang w:val="en-US" w:eastAsia="zh-CN"/>
                    </w:rPr>
                    <w:t>S17</w:t>
                  </w:r>
                </w:p>
              </w:tc>
              <w:tc>
                <w:tcPr>
                  <w:tcW w:w="721" w:type="pct"/>
                  <w:noWrap/>
                  <w:vAlign w:val="center"/>
                </w:tcPr>
                <w:p>
                  <w:pPr>
                    <w:widowControl/>
                    <w:wordWrap w:val="0"/>
                    <w:jc w:val="center"/>
                    <w:textAlignment w:val="center"/>
                    <w:rPr>
                      <w:color w:val="auto"/>
                      <w:szCs w:val="21"/>
                    </w:rPr>
                  </w:pPr>
                  <w:r>
                    <w:rPr>
                      <w:color w:val="auto"/>
                      <w:szCs w:val="21"/>
                    </w:rPr>
                    <w:t>物料衡算法</w:t>
                  </w:r>
                </w:p>
              </w:tc>
              <w:tc>
                <w:tcPr>
                  <w:tcW w:w="569" w:type="pct"/>
                  <w:noWrap/>
                  <w:vAlign w:val="center"/>
                </w:tcPr>
                <w:p>
                  <w:pPr>
                    <w:widowControl/>
                    <w:wordWrap w:val="0"/>
                    <w:jc w:val="center"/>
                    <w:textAlignment w:val="center"/>
                    <w:rPr>
                      <w:bCs/>
                      <w:color w:val="auto"/>
                      <w:kern w:val="0"/>
                      <w:szCs w:val="21"/>
                      <w:lang w:bidi="en-US"/>
                    </w:rPr>
                  </w:pPr>
                  <w:r>
                    <w:rPr>
                      <w:bCs/>
                      <w:color w:val="auto"/>
                      <w:kern w:val="0"/>
                      <w:szCs w:val="21"/>
                      <w:lang w:bidi="en-US"/>
                    </w:rPr>
                    <w:t>1.47</w:t>
                  </w:r>
                </w:p>
              </w:tc>
              <w:tc>
                <w:tcPr>
                  <w:tcW w:w="642" w:type="pct"/>
                  <w:vMerge w:val="continue"/>
                  <w:vAlign w:val="center"/>
                </w:tcPr>
                <w:p>
                  <w:pPr>
                    <w:widowControl/>
                    <w:wordWrap w:val="0"/>
                    <w:jc w:val="center"/>
                    <w:textAlignment w:val="center"/>
                    <w:rPr>
                      <w:bCs/>
                      <w:color w:val="auto"/>
                      <w:kern w:val="0"/>
                      <w:szCs w:val="21"/>
                      <w:lang w:bidi="en-US"/>
                    </w:rPr>
                  </w:pPr>
                </w:p>
              </w:tc>
              <w:tc>
                <w:tcPr>
                  <w:tcW w:w="496" w:type="pct"/>
                  <w:vAlign w:val="center"/>
                </w:tcPr>
                <w:p>
                  <w:pPr>
                    <w:widowControl/>
                    <w:wordWrap w:val="0"/>
                    <w:jc w:val="center"/>
                    <w:textAlignment w:val="center"/>
                    <w:rPr>
                      <w:bCs/>
                      <w:color w:val="auto"/>
                      <w:kern w:val="0"/>
                      <w:szCs w:val="21"/>
                      <w:lang w:bidi="en-US"/>
                    </w:rPr>
                  </w:pPr>
                  <w:r>
                    <w:rPr>
                      <w:bCs/>
                      <w:color w:val="auto"/>
                      <w:kern w:val="0"/>
                      <w:szCs w:val="21"/>
                      <w:lang w:bidi="en-US"/>
                    </w:rPr>
                    <w:t>1.47</w:t>
                  </w:r>
                </w:p>
              </w:tc>
              <w:tc>
                <w:tcPr>
                  <w:tcW w:w="267" w:type="pct"/>
                  <w:vMerge w:val="continue"/>
                  <w:vAlign w:val="center"/>
                </w:tcPr>
                <w:p>
                  <w:pPr>
                    <w:widowControl/>
                    <w:wordWrap w:val="0"/>
                    <w:jc w:val="center"/>
                    <w:textAlignment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53" w:type="pct"/>
                  <w:vAlign w:val="center"/>
                </w:tcPr>
                <w:p>
                  <w:pPr>
                    <w:pStyle w:val="13"/>
                    <w:tabs>
                      <w:tab w:val="left" w:pos="2830"/>
                    </w:tabs>
                    <w:jc w:val="center"/>
                    <w:rPr>
                      <w:rFonts w:hint="eastAsia" w:ascii="Times New Roman" w:hAnsi="Times New Roman" w:eastAsia="宋体"/>
                      <w:bCs/>
                      <w:color w:val="auto"/>
                      <w:sz w:val="21"/>
                      <w:szCs w:val="21"/>
                      <w:lang w:eastAsia="zh-CN"/>
                    </w:rPr>
                  </w:pPr>
                  <w:r>
                    <w:rPr>
                      <w:rFonts w:hint="eastAsia" w:ascii="Times New Roman" w:hAnsi="Times New Roman"/>
                      <w:color w:val="auto"/>
                      <w:sz w:val="21"/>
                      <w:szCs w:val="21"/>
                      <w:lang w:val="en-US" w:eastAsia="zh-CN"/>
                    </w:rPr>
                    <w:t>7</w:t>
                  </w:r>
                </w:p>
              </w:tc>
              <w:tc>
                <w:tcPr>
                  <w:tcW w:w="516" w:type="pct"/>
                  <w:vAlign w:val="center"/>
                </w:tcPr>
                <w:p>
                  <w:pPr>
                    <w:widowControl/>
                    <w:jc w:val="center"/>
                    <w:textAlignment w:val="center"/>
                    <w:rPr>
                      <w:rFonts w:hint="eastAsia" w:ascii="Times New Roman" w:hAnsi="Times New Roman" w:eastAsia="宋体" w:cs="Times New Roman"/>
                      <w:color w:val="auto"/>
                      <w:kern w:val="2"/>
                      <w:sz w:val="21"/>
                      <w:szCs w:val="21"/>
                      <w:lang w:val="en-US" w:eastAsia="zh-CN" w:bidi="ar-SA"/>
                    </w:rPr>
                  </w:pPr>
                  <w:r>
                    <w:rPr>
                      <w:rFonts w:hint="eastAsia"/>
                      <w:color w:val="auto"/>
                      <w:szCs w:val="21"/>
                      <w:lang w:eastAsia="zh-CN"/>
                    </w:rPr>
                    <w:t>废金属屑</w:t>
                  </w:r>
                </w:p>
              </w:tc>
              <w:tc>
                <w:tcPr>
                  <w:tcW w:w="285" w:type="pct"/>
                  <w:vMerge w:val="continue"/>
                  <w:noWrap/>
                  <w:vAlign w:val="center"/>
                </w:tcPr>
                <w:p>
                  <w:pPr>
                    <w:widowControl/>
                    <w:jc w:val="center"/>
                    <w:rPr>
                      <w:rFonts w:ascii="Times New Roman" w:hAnsi="Times New Roman" w:eastAsia="宋体" w:cs="Times New Roman"/>
                      <w:color w:val="auto"/>
                      <w:kern w:val="0"/>
                      <w:sz w:val="21"/>
                      <w:szCs w:val="21"/>
                      <w:lang w:val="en-US" w:eastAsia="zh-CN" w:bidi="ar"/>
                    </w:rPr>
                  </w:pPr>
                </w:p>
              </w:tc>
              <w:tc>
                <w:tcPr>
                  <w:tcW w:w="784" w:type="pct"/>
                  <w:vAlign w:val="center"/>
                </w:tcPr>
                <w:p>
                  <w:pPr>
                    <w:widowControl/>
                    <w:wordWrap w:val="0"/>
                    <w:jc w:val="center"/>
                    <w:textAlignment w:val="center"/>
                    <w:rPr>
                      <w:rFonts w:hint="eastAsia" w:ascii="Times New Roman" w:hAnsi="Times New Roman" w:eastAsia="宋体" w:cs="Times New Roman"/>
                      <w:color w:val="auto"/>
                      <w:kern w:val="2"/>
                      <w:sz w:val="21"/>
                      <w:szCs w:val="21"/>
                      <w:lang w:val="en-US" w:eastAsia="zh-CN" w:bidi="ar-SA"/>
                    </w:rPr>
                  </w:pPr>
                  <w:r>
                    <w:rPr>
                      <w:color w:val="auto"/>
                      <w:szCs w:val="21"/>
                    </w:rPr>
                    <w:t>342-002-09</w:t>
                  </w:r>
                </w:p>
              </w:tc>
              <w:tc>
                <w:tcPr>
                  <w:tcW w:w="463" w:type="pct"/>
                  <w:noWrap/>
                  <w:vAlign w:val="center"/>
                </w:tcPr>
                <w:p>
                  <w:pPr>
                    <w:widowControl/>
                    <w:wordWrap w:val="0"/>
                    <w:jc w:val="center"/>
                    <w:textAlignment w:val="center"/>
                    <w:rPr>
                      <w:rFonts w:hint="eastAsia" w:ascii="Times New Roman" w:hAnsi="Times New Roman" w:eastAsia="宋体" w:cs="Times New Roman"/>
                      <w:color w:val="auto"/>
                      <w:kern w:val="2"/>
                      <w:sz w:val="21"/>
                      <w:szCs w:val="21"/>
                      <w:lang w:val="en-US" w:eastAsia="zh-CN" w:bidi="ar-SA"/>
                    </w:rPr>
                  </w:pPr>
                  <w:r>
                    <w:rPr>
                      <w:rFonts w:hint="eastAsia"/>
                      <w:color w:val="auto"/>
                      <w:szCs w:val="21"/>
                      <w:lang w:val="en-US" w:eastAsia="zh-CN"/>
                    </w:rPr>
                    <w:t>S</w:t>
                  </w:r>
                  <w:r>
                    <w:rPr>
                      <w:color w:val="auto"/>
                      <w:szCs w:val="21"/>
                    </w:rPr>
                    <w:t>W09</w:t>
                  </w:r>
                </w:p>
              </w:tc>
              <w:tc>
                <w:tcPr>
                  <w:tcW w:w="721" w:type="pct"/>
                  <w:noWrap/>
                  <w:vAlign w:val="center"/>
                </w:tcPr>
                <w:p>
                  <w:pPr>
                    <w:widowControl/>
                    <w:wordWrap w:val="0"/>
                    <w:jc w:val="center"/>
                    <w:textAlignment w:val="center"/>
                    <w:rPr>
                      <w:rFonts w:ascii="Times New Roman" w:hAnsi="Times New Roman" w:eastAsia="宋体" w:cs="Times New Roman"/>
                      <w:color w:val="auto"/>
                      <w:kern w:val="0"/>
                      <w:sz w:val="21"/>
                      <w:szCs w:val="21"/>
                      <w:lang w:val="en-US" w:eastAsia="zh-CN" w:bidi="ar"/>
                    </w:rPr>
                  </w:pPr>
                  <w:r>
                    <w:rPr>
                      <w:color w:val="auto"/>
                      <w:kern w:val="0"/>
                      <w:szCs w:val="21"/>
                      <w:lang w:bidi="ar"/>
                    </w:rPr>
                    <w:t>物料衡算法</w:t>
                  </w:r>
                </w:p>
              </w:tc>
              <w:tc>
                <w:tcPr>
                  <w:tcW w:w="569" w:type="pct"/>
                  <w:noWrap/>
                  <w:vAlign w:val="center"/>
                </w:tcPr>
                <w:p>
                  <w:pPr>
                    <w:widowControl/>
                    <w:wordWrap w:val="0"/>
                    <w:jc w:val="center"/>
                    <w:textAlignment w:val="center"/>
                    <w:rPr>
                      <w:rFonts w:hint="default" w:ascii="Times New Roman" w:hAnsi="Times New Roman" w:eastAsia="宋体" w:cs="Times New Roman"/>
                      <w:bCs/>
                      <w:color w:val="auto"/>
                      <w:kern w:val="0"/>
                      <w:sz w:val="21"/>
                      <w:szCs w:val="21"/>
                      <w:lang w:val="en-US" w:eastAsia="zh-CN" w:bidi="en-US"/>
                    </w:rPr>
                  </w:pPr>
                  <w:r>
                    <w:rPr>
                      <w:rFonts w:hint="eastAsia"/>
                      <w:bCs/>
                      <w:color w:val="auto"/>
                      <w:kern w:val="0"/>
                      <w:szCs w:val="21"/>
                      <w:lang w:val="en-US" w:eastAsia="zh-CN" w:bidi="en-US"/>
                    </w:rPr>
                    <w:t>6.2162</w:t>
                  </w:r>
                </w:p>
              </w:tc>
              <w:tc>
                <w:tcPr>
                  <w:tcW w:w="642" w:type="pct"/>
                  <w:vMerge w:val="continue"/>
                  <w:vAlign w:val="center"/>
                </w:tcPr>
                <w:p>
                  <w:pPr>
                    <w:widowControl/>
                    <w:wordWrap w:val="0"/>
                    <w:jc w:val="center"/>
                    <w:textAlignment w:val="center"/>
                    <w:rPr>
                      <w:rFonts w:ascii="Times New Roman" w:hAnsi="Times New Roman" w:eastAsia="宋体" w:cs="Times New Roman"/>
                      <w:bCs/>
                      <w:color w:val="auto"/>
                      <w:kern w:val="0"/>
                      <w:sz w:val="21"/>
                      <w:szCs w:val="21"/>
                      <w:lang w:val="en-US" w:eastAsia="zh-CN" w:bidi="en-US"/>
                    </w:rPr>
                  </w:pPr>
                </w:p>
              </w:tc>
              <w:tc>
                <w:tcPr>
                  <w:tcW w:w="496" w:type="pct"/>
                  <w:vAlign w:val="center"/>
                </w:tcPr>
                <w:p>
                  <w:pPr>
                    <w:widowControl/>
                    <w:wordWrap w:val="0"/>
                    <w:jc w:val="center"/>
                    <w:textAlignment w:val="center"/>
                    <w:rPr>
                      <w:rFonts w:hint="default" w:ascii="Times New Roman" w:hAnsi="Times New Roman" w:eastAsia="宋体" w:cs="Times New Roman"/>
                      <w:bCs/>
                      <w:color w:val="auto"/>
                      <w:kern w:val="0"/>
                      <w:sz w:val="21"/>
                      <w:szCs w:val="21"/>
                      <w:lang w:val="en-US" w:eastAsia="zh-CN" w:bidi="en-US"/>
                    </w:rPr>
                  </w:pPr>
                  <w:r>
                    <w:rPr>
                      <w:rFonts w:hint="eastAsia"/>
                      <w:bCs/>
                      <w:color w:val="auto"/>
                      <w:kern w:val="0"/>
                      <w:szCs w:val="21"/>
                      <w:lang w:val="en-US" w:eastAsia="zh-CN" w:bidi="en-US"/>
                    </w:rPr>
                    <w:t>6.2162</w:t>
                  </w:r>
                </w:p>
              </w:tc>
              <w:tc>
                <w:tcPr>
                  <w:tcW w:w="267" w:type="pct"/>
                  <w:vMerge w:val="continue"/>
                  <w:vAlign w:val="center"/>
                </w:tcPr>
                <w:p>
                  <w:pPr>
                    <w:widowControl/>
                    <w:wordWrap w:val="0"/>
                    <w:jc w:val="center"/>
                    <w:textAlignment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53" w:type="pct"/>
                  <w:vAlign w:val="center"/>
                </w:tcPr>
                <w:p>
                  <w:pPr>
                    <w:pStyle w:val="13"/>
                    <w:tabs>
                      <w:tab w:val="left" w:pos="2830"/>
                    </w:tabs>
                    <w:jc w:val="center"/>
                    <w:rPr>
                      <w:rFonts w:hint="default" w:ascii="Times New Roman" w:hAnsi="Times New Roman" w:eastAsia="宋体"/>
                      <w:bCs/>
                      <w:color w:val="auto"/>
                      <w:sz w:val="21"/>
                      <w:szCs w:val="21"/>
                      <w:lang w:val="en-US" w:eastAsia="zh-CN"/>
                    </w:rPr>
                  </w:pPr>
                  <w:r>
                    <w:rPr>
                      <w:rFonts w:hint="eastAsia" w:ascii="Times New Roman" w:hAnsi="Times New Roman"/>
                      <w:color w:val="auto"/>
                      <w:sz w:val="21"/>
                      <w:szCs w:val="21"/>
                      <w:lang w:val="en-US" w:eastAsia="zh-CN"/>
                    </w:rPr>
                    <w:t>8</w:t>
                  </w:r>
                </w:p>
              </w:tc>
              <w:tc>
                <w:tcPr>
                  <w:tcW w:w="516" w:type="pct"/>
                  <w:vAlign w:val="center"/>
                </w:tcPr>
                <w:p>
                  <w:pPr>
                    <w:widowControl/>
                    <w:wordWrap w:val="0"/>
                    <w:jc w:val="center"/>
                    <w:textAlignment w:val="center"/>
                    <w:rPr>
                      <w:color w:val="auto"/>
                      <w:szCs w:val="21"/>
                    </w:rPr>
                  </w:pPr>
                  <w:r>
                    <w:rPr>
                      <w:rFonts w:hint="eastAsia"/>
                      <w:color w:val="auto"/>
                      <w:szCs w:val="21"/>
                      <w:lang w:eastAsia="zh-CN"/>
                    </w:rPr>
                    <w:t>废</w:t>
                  </w:r>
                  <w:r>
                    <w:rPr>
                      <w:color w:val="auto"/>
                      <w:szCs w:val="21"/>
                    </w:rPr>
                    <w:t>漆渣</w:t>
                  </w:r>
                </w:p>
              </w:tc>
              <w:tc>
                <w:tcPr>
                  <w:tcW w:w="285" w:type="pct"/>
                  <w:vMerge w:val="restart"/>
                  <w:noWrap/>
                  <w:vAlign w:val="center"/>
                </w:tcPr>
                <w:p>
                  <w:pPr>
                    <w:widowControl/>
                    <w:wordWrap w:val="0"/>
                    <w:jc w:val="center"/>
                    <w:textAlignment w:val="center"/>
                    <w:rPr>
                      <w:color w:val="auto"/>
                      <w:szCs w:val="21"/>
                    </w:rPr>
                  </w:pPr>
                  <w:r>
                    <w:rPr>
                      <w:color w:val="auto"/>
                      <w:szCs w:val="21"/>
                    </w:rPr>
                    <w:t>危险废物</w:t>
                  </w:r>
                </w:p>
              </w:tc>
              <w:tc>
                <w:tcPr>
                  <w:tcW w:w="784" w:type="pct"/>
                  <w:vAlign w:val="center"/>
                </w:tcPr>
                <w:p>
                  <w:pPr>
                    <w:widowControl/>
                    <w:wordWrap w:val="0"/>
                    <w:jc w:val="center"/>
                    <w:textAlignment w:val="center"/>
                    <w:rPr>
                      <w:color w:val="auto"/>
                      <w:szCs w:val="21"/>
                    </w:rPr>
                  </w:pPr>
                  <w:r>
                    <w:rPr>
                      <w:color w:val="auto"/>
                      <w:szCs w:val="21"/>
                    </w:rPr>
                    <w:t>900-252-12</w:t>
                  </w:r>
                </w:p>
              </w:tc>
              <w:tc>
                <w:tcPr>
                  <w:tcW w:w="463" w:type="pct"/>
                  <w:noWrap/>
                  <w:vAlign w:val="center"/>
                </w:tcPr>
                <w:p>
                  <w:pPr>
                    <w:widowControl/>
                    <w:wordWrap w:val="0"/>
                    <w:jc w:val="center"/>
                    <w:textAlignment w:val="center"/>
                    <w:rPr>
                      <w:color w:val="auto"/>
                      <w:szCs w:val="21"/>
                    </w:rPr>
                  </w:pPr>
                  <w:r>
                    <w:rPr>
                      <w:color w:val="auto"/>
                      <w:szCs w:val="21"/>
                    </w:rPr>
                    <w:t>HW12</w:t>
                  </w:r>
                </w:p>
              </w:tc>
              <w:tc>
                <w:tcPr>
                  <w:tcW w:w="721" w:type="pct"/>
                  <w:noWrap/>
                  <w:vAlign w:val="center"/>
                </w:tcPr>
                <w:p>
                  <w:pPr>
                    <w:widowControl/>
                    <w:wordWrap w:val="0"/>
                    <w:jc w:val="center"/>
                    <w:textAlignment w:val="center"/>
                    <w:rPr>
                      <w:color w:val="auto"/>
                      <w:szCs w:val="21"/>
                    </w:rPr>
                  </w:pPr>
                  <w:r>
                    <w:rPr>
                      <w:color w:val="auto"/>
                      <w:szCs w:val="21"/>
                    </w:rPr>
                    <w:t>物料衡算法</w:t>
                  </w:r>
                </w:p>
              </w:tc>
              <w:tc>
                <w:tcPr>
                  <w:tcW w:w="569" w:type="pct"/>
                  <w:noWrap/>
                  <w:vAlign w:val="center"/>
                </w:tcPr>
                <w:p>
                  <w:pPr>
                    <w:widowControl/>
                    <w:wordWrap w:val="0"/>
                    <w:jc w:val="center"/>
                    <w:textAlignment w:val="center"/>
                    <w:rPr>
                      <w:rFonts w:hint="default" w:eastAsia="宋体"/>
                      <w:bCs/>
                      <w:color w:val="auto"/>
                      <w:kern w:val="0"/>
                      <w:szCs w:val="21"/>
                      <w:lang w:val="en-US" w:eastAsia="zh-CN" w:bidi="en-US"/>
                    </w:rPr>
                  </w:pPr>
                  <w:r>
                    <w:rPr>
                      <w:rFonts w:hint="eastAsia"/>
                      <w:bCs/>
                      <w:color w:val="auto"/>
                      <w:kern w:val="0"/>
                      <w:szCs w:val="21"/>
                      <w:lang w:val="en-US" w:eastAsia="zh-CN" w:bidi="en-US"/>
                    </w:rPr>
                    <w:t>2.69</w:t>
                  </w:r>
                </w:p>
              </w:tc>
              <w:tc>
                <w:tcPr>
                  <w:tcW w:w="642" w:type="pct"/>
                  <w:vMerge w:val="restart"/>
                  <w:vAlign w:val="center"/>
                </w:tcPr>
                <w:p>
                  <w:pPr>
                    <w:widowControl/>
                    <w:wordWrap w:val="0"/>
                    <w:jc w:val="center"/>
                    <w:textAlignment w:val="center"/>
                    <w:rPr>
                      <w:bCs/>
                      <w:color w:val="auto"/>
                      <w:kern w:val="0"/>
                      <w:szCs w:val="21"/>
                      <w:lang w:bidi="en-US"/>
                    </w:rPr>
                  </w:pPr>
                  <w:r>
                    <w:rPr>
                      <w:bCs/>
                      <w:color w:val="auto"/>
                      <w:kern w:val="0"/>
                      <w:szCs w:val="21"/>
                      <w:lang w:bidi="en-US"/>
                    </w:rPr>
                    <w:t>委托有资质单位安全处置</w:t>
                  </w:r>
                </w:p>
              </w:tc>
              <w:tc>
                <w:tcPr>
                  <w:tcW w:w="496" w:type="pct"/>
                  <w:vAlign w:val="center"/>
                </w:tcPr>
                <w:p>
                  <w:pPr>
                    <w:widowControl/>
                    <w:wordWrap w:val="0"/>
                    <w:jc w:val="center"/>
                    <w:textAlignment w:val="center"/>
                    <w:rPr>
                      <w:rFonts w:hint="eastAsia" w:eastAsia="宋体"/>
                      <w:bCs/>
                      <w:color w:val="auto"/>
                      <w:kern w:val="0"/>
                      <w:szCs w:val="21"/>
                      <w:lang w:eastAsia="zh-CN" w:bidi="en-US"/>
                    </w:rPr>
                  </w:pPr>
                  <w:r>
                    <w:rPr>
                      <w:rFonts w:hint="eastAsia"/>
                      <w:bCs/>
                      <w:color w:val="auto"/>
                      <w:kern w:val="0"/>
                      <w:szCs w:val="21"/>
                      <w:lang w:val="en-US" w:eastAsia="zh-CN" w:bidi="en-US"/>
                    </w:rPr>
                    <w:t>2.69</w:t>
                  </w:r>
                </w:p>
              </w:tc>
              <w:tc>
                <w:tcPr>
                  <w:tcW w:w="267" w:type="pct"/>
                  <w:vMerge w:val="restart"/>
                  <w:vAlign w:val="center"/>
                </w:tcPr>
                <w:p>
                  <w:pPr>
                    <w:widowControl/>
                    <w:wordWrap w:val="0"/>
                    <w:jc w:val="center"/>
                    <w:textAlignment w:val="center"/>
                    <w:rPr>
                      <w:color w:val="auto"/>
                      <w:szCs w:val="21"/>
                    </w:rPr>
                  </w:pPr>
                  <w:r>
                    <w:rPr>
                      <w:color w:val="auto"/>
                      <w:szCs w:val="21"/>
                    </w:rPr>
                    <w:t>资质单位</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53" w:type="pct"/>
                  <w:vAlign w:val="center"/>
                </w:tcPr>
                <w:p>
                  <w:pPr>
                    <w:pStyle w:val="13"/>
                    <w:tabs>
                      <w:tab w:val="left" w:pos="2830"/>
                    </w:tabs>
                    <w:jc w:val="center"/>
                    <w:rPr>
                      <w:rFonts w:hint="default" w:ascii="Times New Roman" w:hAnsi="Times New Roman"/>
                      <w:color w:val="auto"/>
                      <w:sz w:val="21"/>
                      <w:szCs w:val="21"/>
                      <w:lang w:val="en-US" w:eastAsia="zh-CN"/>
                    </w:rPr>
                  </w:pPr>
                  <w:r>
                    <w:rPr>
                      <w:rFonts w:hint="eastAsia" w:ascii="Times New Roman" w:hAnsi="Times New Roman"/>
                      <w:color w:val="auto"/>
                      <w:sz w:val="21"/>
                      <w:szCs w:val="21"/>
                      <w:lang w:val="en-US" w:eastAsia="zh-CN"/>
                    </w:rPr>
                    <w:t>9</w:t>
                  </w:r>
                </w:p>
              </w:tc>
              <w:tc>
                <w:tcPr>
                  <w:tcW w:w="516" w:type="pct"/>
                  <w:vAlign w:val="center"/>
                </w:tcPr>
                <w:p>
                  <w:pPr>
                    <w:widowControl/>
                    <w:jc w:val="center"/>
                    <w:textAlignment w:val="center"/>
                    <w:rPr>
                      <w:rFonts w:hint="eastAsia" w:ascii="Times New Roman" w:hAnsi="Times New Roman" w:eastAsia="宋体" w:cs="Times New Roman"/>
                      <w:bCs/>
                      <w:color w:val="auto"/>
                      <w:kern w:val="2"/>
                      <w:sz w:val="21"/>
                      <w:szCs w:val="21"/>
                      <w:lang w:val="en-US" w:eastAsia="zh-CN" w:bidi="ar-SA"/>
                    </w:rPr>
                  </w:pPr>
                  <w:r>
                    <w:rPr>
                      <w:bCs/>
                      <w:color w:val="auto"/>
                      <w:szCs w:val="21"/>
                    </w:rPr>
                    <w:t>废漆桶</w:t>
                  </w:r>
                </w:p>
              </w:tc>
              <w:tc>
                <w:tcPr>
                  <w:tcW w:w="285" w:type="pct"/>
                  <w:vMerge w:val="continue"/>
                  <w:noWrap/>
                  <w:vAlign w:val="center"/>
                </w:tcPr>
                <w:p>
                  <w:pPr>
                    <w:widowControl/>
                    <w:wordWrap w:val="0"/>
                    <w:jc w:val="center"/>
                    <w:textAlignment w:val="center"/>
                    <w:rPr>
                      <w:rFonts w:ascii="Times New Roman" w:hAnsi="Times New Roman" w:eastAsia="宋体" w:cs="Times New Roman"/>
                      <w:color w:val="auto"/>
                      <w:kern w:val="2"/>
                      <w:sz w:val="21"/>
                      <w:szCs w:val="21"/>
                      <w:lang w:val="en-US" w:eastAsia="zh-CN" w:bidi="ar-SA"/>
                    </w:rPr>
                  </w:pPr>
                </w:p>
              </w:tc>
              <w:tc>
                <w:tcPr>
                  <w:tcW w:w="784" w:type="pct"/>
                  <w:vAlign w:val="center"/>
                </w:tcPr>
                <w:p>
                  <w:pPr>
                    <w:widowControl/>
                    <w:jc w:val="center"/>
                    <w:textAlignment w:val="center"/>
                    <w:rPr>
                      <w:rFonts w:ascii="Times New Roman" w:hAnsi="Times New Roman" w:eastAsia="宋体" w:cs="Times New Roman"/>
                      <w:color w:val="auto"/>
                      <w:kern w:val="0"/>
                      <w:sz w:val="21"/>
                      <w:szCs w:val="21"/>
                      <w:lang w:val="en-US" w:eastAsia="zh-CN" w:bidi="en-US"/>
                    </w:rPr>
                  </w:pPr>
                  <w:r>
                    <w:rPr>
                      <w:color w:val="auto"/>
                      <w:kern w:val="0"/>
                      <w:szCs w:val="21"/>
                      <w:lang w:bidi="en-US"/>
                    </w:rPr>
                    <w:t>900-041-49</w:t>
                  </w:r>
                </w:p>
              </w:tc>
              <w:tc>
                <w:tcPr>
                  <w:tcW w:w="463" w:type="pct"/>
                  <w:noWrap/>
                  <w:vAlign w:val="center"/>
                </w:tcPr>
                <w:p>
                  <w:pPr>
                    <w:widowControl/>
                    <w:wordWrap w:val="0"/>
                    <w:jc w:val="center"/>
                    <w:textAlignment w:val="center"/>
                    <w:rPr>
                      <w:rFonts w:ascii="Times New Roman" w:hAnsi="Times New Roman" w:eastAsia="宋体" w:cs="Times New Roman"/>
                      <w:color w:val="auto"/>
                      <w:kern w:val="2"/>
                      <w:sz w:val="21"/>
                      <w:szCs w:val="21"/>
                      <w:lang w:val="en-US" w:eastAsia="zh-CN" w:bidi="ar-SA"/>
                    </w:rPr>
                  </w:pPr>
                  <w:r>
                    <w:rPr>
                      <w:color w:val="auto"/>
                      <w:szCs w:val="21"/>
                    </w:rPr>
                    <w:t>HW49</w:t>
                  </w:r>
                </w:p>
              </w:tc>
              <w:tc>
                <w:tcPr>
                  <w:tcW w:w="721" w:type="pct"/>
                  <w:noWrap/>
                  <w:vAlign w:val="center"/>
                </w:tcPr>
                <w:p>
                  <w:pPr>
                    <w:widowControl/>
                    <w:wordWrap w:val="0"/>
                    <w:jc w:val="center"/>
                    <w:textAlignment w:val="center"/>
                    <w:rPr>
                      <w:rFonts w:ascii="Times New Roman" w:hAnsi="Times New Roman" w:eastAsia="宋体" w:cs="Times New Roman"/>
                      <w:color w:val="auto"/>
                      <w:kern w:val="2"/>
                      <w:sz w:val="21"/>
                      <w:szCs w:val="21"/>
                      <w:lang w:val="en-US" w:eastAsia="zh-CN" w:bidi="ar-SA"/>
                    </w:rPr>
                  </w:pPr>
                  <w:r>
                    <w:rPr>
                      <w:color w:val="auto"/>
                      <w:szCs w:val="21"/>
                    </w:rPr>
                    <w:t>物料平衡法</w:t>
                  </w:r>
                </w:p>
              </w:tc>
              <w:tc>
                <w:tcPr>
                  <w:tcW w:w="569" w:type="pct"/>
                  <w:noWrap/>
                  <w:vAlign w:val="center"/>
                </w:tcPr>
                <w:p>
                  <w:pPr>
                    <w:widowControl/>
                    <w:wordWrap w:val="0"/>
                    <w:jc w:val="center"/>
                    <w:textAlignment w:val="center"/>
                    <w:rPr>
                      <w:rFonts w:hint="default" w:ascii="Times New Roman" w:hAnsi="Times New Roman" w:eastAsia="宋体" w:cs="Times New Roman"/>
                      <w:bCs/>
                      <w:color w:val="auto"/>
                      <w:kern w:val="0"/>
                      <w:sz w:val="21"/>
                      <w:szCs w:val="21"/>
                      <w:lang w:val="en-US" w:eastAsia="zh-CN" w:bidi="en-US"/>
                    </w:rPr>
                  </w:pPr>
                  <w:r>
                    <w:rPr>
                      <w:rFonts w:hint="eastAsia"/>
                      <w:bCs/>
                      <w:color w:val="auto"/>
                      <w:kern w:val="0"/>
                      <w:szCs w:val="21"/>
                      <w:lang w:val="en-US" w:eastAsia="zh-CN" w:bidi="en-US"/>
                    </w:rPr>
                    <w:t>0.4</w:t>
                  </w:r>
                </w:p>
              </w:tc>
              <w:tc>
                <w:tcPr>
                  <w:tcW w:w="642" w:type="pct"/>
                  <w:vMerge w:val="continue"/>
                  <w:vAlign w:val="center"/>
                </w:tcPr>
                <w:p>
                  <w:pPr>
                    <w:widowControl/>
                    <w:wordWrap w:val="0"/>
                    <w:jc w:val="center"/>
                    <w:textAlignment w:val="center"/>
                    <w:rPr>
                      <w:rFonts w:ascii="Times New Roman" w:hAnsi="Times New Roman" w:eastAsia="宋体" w:cs="Times New Roman"/>
                      <w:bCs/>
                      <w:color w:val="auto"/>
                      <w:kern w:val="0"/>
                      <w:sz w:val="21"/>
                      <w:szCs w:val="21"/>
                      <w:lang w:val="en-US" w:eastAsia="zh-CN" w:bidi="en-US"/>
                    </w:rPr>
                  </w:pPr>
                </w:p>
              </w:tc>
              <w:tc>
                <w:tcPr>
                  <w:tcW w:w="496" w:type="pct"/>
                  <w:vAlign w:val="center"/>
                </w:tcPr>
                <w:p>
                  <w:pPr>
                    <w:widowControl/>
                    <w:wordWrap w:val="0"/>
                    <w:jc w:val="center"/>
                    <w:textAlignment w:val="center"/>
                    <w:rPr>
                      <w:rFonts w:hint="default" w:ascii="Times New Roman" w:hAnsi="Times New Roman" w:eastAsia="宋体" w:cs="Times New Roman"/>
                      <w:bCs/>
                      <w:color w:val="auto"/>
                      <w:kern w:val="0"/>
                      <w:sz w:val="21"/>
                      <w:szCs w:val="21"/>
                      <w:lang w:val="en-US" w:eastAsia="zh-CN" w:bidi="en-US"/>
                    </w:rPr>
                  </w:pPr>
                  <w:r>
                    <w:rPr>
                      <w:rFonts w:hint="eastAsia"/>
                      <w:bCs/>
                      <w:color w:val="auto"/>
                      <w:kern w:val="0"/>
                      <w:szCs w:val="21"/>
                      <w:lang w:val="en-US" w:eastAsia="zh-CN" w:bidi="en-US"/>
                    </w:rPr>
                    <w:t>0.4</w:t>
                  </w:r>
                </w:p>
              </w:tc>
              <w:tc>
                <w:tcPr>
                  <w:tcW w:w="267" w:type="pct"/>
                  <w:vMerge w:val="continue"/>
                  <w:vAlign w:val="center"/>
                </w:tcPr>
                <w:p>
                  <w:pPr>
                    <w:widowControl/>
                    <w:wordWrap w:val="0"/>
                    <w:jc w:val="center"/>
                    <w:textAlignment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53" w:type="pct"/>
                  <w:vAlign w:val="center"/>
                </w:tcPr>
                <w:p>
                  <w:pPr>
                    <w:pStyle w:val="13"/>
                    <w:tabs>
                      <w:tab w:val="left" w:pos="2830"/>
                    </w:tabs>
                    <w:jc w:val="center"/>
                    <w:rPr>
                      <w:rFonts w:hint="default" w:ascii="Times New Roman" w:hAnsi="Times New Roman"/>
                      <w:color w:val="auto"/>
                      <w:sz w:val="21"/>
                      <w:szCs w:val="21"/>
                      <w:lang w:val="en-US" w:eastAsia="zh-CN"/>
                    </w:rPr>
                  </w:pPr>
                  <w:r>
                    <w:rPr>
                      <w:rFonts w:hint="eastAsia" w:ascii="Times New Roman" w:hAnsi="Times New Roman"/>
                      <w:color w:val="auto"/>
                      <w:sz w:val="21"/>
                      <w:szCs w:val="21"/>
                      <w:lang w:val="en-US" w:eastAsia="zh-CN"/>
                    </w:rPr>
                    <w:t>10</w:t>
                  </w:r>
                </w:p>
              </w:tc>
              <w:tc>
                <w:tcPr>
                  <w:tcW w:w="516" w:type="pct"/>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szCs w:val="21"/>
                    </w:rPr>
                    <w:t>废油桶</w:t>
                  </w:r>
                </w:p>
              </w:tc>
              <w:tc>
                <w:tcPr>
                  <w:tcW w:w="285" w:type="pct"/>
                  <w:vMerge w:val="continue"/>
                  <w:noWrap/>
                  <w:vAlign w:val="center"/>
                </w:tcPr>
                <w:p>
                  <w:pPr>
                    <w:widowControl/>
                    <w:jc w:val="center"/>
                    <w:rPr>
                      <w:rFonts w:ascii="Times New Roman" w:hAnsi="Times New Roman" w:eastAsia="宋体" w:cs="Times New Roman"/>
                      <w:color w:val="auto"/>
                      <w:kern w:val="0"/>
                      <w:sz w:val="21"/>
                      <w:szCs w:val="21"/>
                      <w:lang w:val="en-US" w:eastAsia="zh-CN" w:bidi="ar"/>
                    </w:rPr>
                  </w:pPr>
                </w:p>
              </w:tc>
              <w:tc>
                <w:tcPr>
                  <w:tcW w:w="784" w:type="pct"/>
                  <w:vAlign w:val="center"/>
                </w:tcPr>
                <w:p>
                  <w:pPr>
                    <w:widowControl/>
                    <w:jc w:val="center"/>
                    <w:rPr>
                      <w:rFonts w:ascii="Times New Roman" w:hAnsi="Times New Roman" w:eastAsia="宋体" w:cs="Times New Roman"/>
                      <w:color w:val="auto"/>
                      <w:kern w:val="0"/>
                      <w:sz w:val="21"/>
                      <w:szCs w:val="21"/>
                      <w:lang w:val="en-US" w:eastAsia="zh-CN" w:bidi="ar"/>
                    </w:rPr>
                  </w:pPr>
                  <w:r>
                    <w:rPr>
                      <w:color w:val="auto"/>
                      <w:kern w:val="0"/>
                      <w:szCs w:val="21"/>
                      <w:lang w:bidi="ar"/>
                    </w:rPr>
                    <w:t>900-249-08</w:t>
                  </w:r>
                </w:p>
              </w:tc>
              <w:tc>
                <w:tcPr>
                  <w:tcW w:w="463" w:type="pct"/>
                  <w:noWrap/>
                  <w:vAlign w:val="center"/>
                </w:tcPr>
                <w:p>
                  <w:pPr>
                    <w:widowControl/>
                    <w:jc w:val="center"/>
                    <w:rPr>
                      <w:rFonts w:ascii="Times New Roman" w:hAnsi="Times New Roman" w:eastAsia="宋体" w:cs="Times New Roman"/>
                      <w:color w:val="auto"/>
                      <w:kern w:val="0"/>
                      <w:sz w:val="21"/>
                      <w:szCs w:val="21"/>
                      <w:lang w:val="en-US" w:eastAsia="zh-CN" w:bidi="ar"/>
                    </w:rPr>
                  </w:pPr>
                  <w:r>
                    <w:rPr>
                      <w:color w:val="auto"/>
                      <w:szCs w:val="21"/>
                    </w:rPr>
                    <w:t>HW08</w:t>
                  </w:r>
                </w:p>
              </w:tc>
              <w:tc>
                <w:tcPr>
                  <w:tcW w:w="721" w:type="pct"/>
                  <w:noWrap/>
                  <w:vAlign w:val="center"/>
                </w:tcPr>
                <w:p>
                  <w:pPr>
                    <w:widowControl/>
                    <w:wordWrap w:val="0"/>
                    <w:jc w:val="center"/>
                    <w:textAlignment w:val="center"/>
                    <w:rPr>
                      <w:rFonts w:ascii="Times New Roman" w:hAnsi="Times New Roman" w:eastAsia="宋体" w:cs="Times New Roman"/>
                      <w:color w:val="auto"/>
                      <w:kern w:val="0"/>
                      <w:sz w:val="21"/>
                      <w:szCs w:val="21"/>
                      <w:lang w:val="en-US" w:eastAsia="zh-CN" w:bidi="ar"/>
                    </w:rPr>
                  </w:pPr>
                  <w:r>
                    <w:rPr>
                      <w:color w:val="auto"/>
                      <w:kern w:val="0"/>
                      <w:szCs w:val="21"/>
                      <w:lang w:bidi="ar"/>
                    </w:rPr>
                    <w:t>物料衡算法</w:t>
                  </w:r>
                </w:p>
              </w:tc>
              <w:tc>
                <w:tcPr>
                  <w:tcW w:w="569" w:type="pct"/>
                  <w:noWrap/>
                  <w:vAlign w:val="center"/>
                </w:tcPr>
                <w:p>
                  <w:pPr>
                    <w:widowControl/>
                    <w:wordWrap w:val="0"/>
                    <w:jc w:val="center"/>
                    <w:textAlignment w:val="center"/>
                    <w:rPr>
                      <w:rFonts w:ascii="Times New Roman" w:hAnsi="Times New Roman" w:eastAsia="宋体" w:cs="Times New Roman"/>
                      <w:bCs/>
                      <w:color w:val="auto"/>
                      <w:kern w:val="0"/>
                      <w:sz w:val="21"/>
                      <w:szCs w:val="21"/>
                      <w:lang w:val="en-US" w:eastAsia="zh-CN" w:bidi="en-US"/>
                    </w:rPr>
                  </w:pPr>
                  <w:r>
                    <w:rPr>
                      <w:bCs/>
                      <w:color w:val="auto"/>
                      <w:kern w:val="0"/>
                      <w:szCs w:val="21"/>
                      <w:lang w:bidi="en-US"/>
                    </w:rPr>
                    <w:t>0.2</w:t>
                  </w:r>
                </w:p>
              </w:tc>
              <w:tc>
                <w:tcPr>
                  <w:tcW w:w="642" w:type="pct"/>
                  <w:vMerge w:val="continue"/>
                  <w:vAlign w:val="center"/>
                </w:tcPr>
                <w:p>
                  <w:pPr>
                    <w:widowControl/>
                    <w:wordWrap w:val="0"/>
                    <w:jc w:val="center"/>
                    <w:textAlignment w:val="center"/>
                    <w:rPr>
                      <w:rFonts w:ascii="Times New Roman" w:hAnsi="Times New Roman" w:eastAsia="宋体" w:cs="Times New Roman"/>
                      <w:bCs/>
                      <w:color w:val="auto"/>
                      <w:kern w:val="0"/>
                      <w:sz w:val="21"/>
                      <w:szCs w:val="21"/>
                      <w:lang w:val="en-US" w:eastAsia="zh-CN" w:bidi="en-US"/>
                    </w:rPr>
                  </w:pPr>
                </w:p>
              </w:tc>
              <w:tc>
                <w:tcPr>
                  <w:tcW w:w="496" w:type="pct"/>
                  <w:vAlign w:val="center"/>
                </w:tcPr>
                <w:p>
                  <w:pPr>
                    <w:widowControl/>
                    <w:wordWrap w:val="0"/>
                    <w:jc w:val="center"/>
                    <w:textAlignment w:val="center"/>
                    <w:rPr>
                      <w:rFonts w:ascii="Times New Roman" w:hAnsi="Times New Roman" w:eastAsia="宋体" w:cs="Times New Roman"/>
                      <w:bCs/>
                      <w:color w:val="auto"/>
                      <w:kern w:val="0"/>
                      <w:sz w:val="21"/>
                      <w:szCs w:val="21"/>
                      <w:lang w:val="en-US" w:eastAsia="zh-CN" w:bidi="en-US"/>
                    </w:rPr>
                  </w:pPr>
                  <w:r>
                    <w:rPr>
                      <w:bCs/>
                      <w:color w:val="auto"/>
                      <w:kern w:val="0"/>
                      <w:szCs w:val="21"/>
                      <w:lang w:bidi="en-US"/>
                    </w:rPr>
                    <w:t>0.2</w:t>
                  </w:r>
                </w:p>
              </w:tc>
              <w:tc>
                <w:tcPr>
                  <w:tcW w:w="267" w:type="pct"/>
                  <w:vMerge w:val="continue"/>
                  <w:vAlign w:val="center"/>
                </w:tcPr>
                <w:p>
                  <w:pPr>
                    <w:widowControl/>
                    <w:wordWrap w:val="0"/>
                    <w:jc w:val="center"/>
                    <w:textAlignment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53" w:type="pct"/>
                  <w:vAlign w:val="center"/>
                </w:tcPr>
                <w:p>
                  <w:pPr>
                    <w:pStyle w:val="13"/>
                    <w:tabs>
                      <w:tab w:val="left" w:pos="2830"/>
                    </w:tabs>
                    <w:jc w:val="center"/>
                    <w:rPr>
                      <w:rFonts w:hint="default" w:ascii="Times New Roman" w:hAnsi="Times New Roman"/>
                      <w:color w:val="auto"/>
                      <w:sz w:val="21"/>
                      <w:szCs w:val="21"/>
                      <w:lang w:val="en-US" w:eastAsia="zh-CN"/>
                    </w:rPr>
                  </w:pPr>
                  <w:r>
                    <w:rPr>
                      <w:rFonts w:hint="eastAsia" w:ascii="Times New Roman" w:hAnsi="Times New Roman"/>
                      <w:color w:val="auto"/>
                      <w:sz w:val="21"/>
                      <w:szCs w:val="21"/>
                      <w:lang w:val="en-US" w:eastAsia="zh-CN"/>
                    </w:rPr>
                    <w:t>11</w:t>
                  </w:r>
                </w:p>
              </w:tc>
              <w:tc>
                <w:tcPr>
                  <w:tcW w:w="516" w:type="pct"/>
                  <w:vAlign w:val="center"/>
                </w:tcPr>
                <w:p>
                  <w:pPr>
                    <w:widowControl/>
                    <w:jc w:val="center"/>
                    <w:textAlignment w:val="center"/>
                    <w:rPr>
                      <w:rFonts w:ascii="Times New Roman" w:hAnsi="Times New Roman" w:eastAsia="宋体" w:cs="Times New Roman"/>
                      <w:bCs/>
                      <w:color w:val="auto"/>
                      <w:kern w:val="2"/>
                      <w:sz w:val="21"/>
                      <w:szCs w:val="21"/>
                      <w:lang w:val="en-US" w:eastAsia="zh-CN" w:bidi="ar-SA"/>
                    </w:rPr>
                  </w:pPr>
                  <w:r>
                    <w:rPr>
                      <w:color w:val="auto"/>
                      <w:szCs w:val="21"/>
                    </w:rPr>
                    <w:t>废活性炭</w:t>
                  </w:r>
                </w:p>
              </w:tc>
              <w:tc>
                <w:tcPr>
                  <w:tcW w:w="285" w:type="pct"/>
                  <w:vMerge w:val="continue"/>
                  <w:noWrap/>
                  <w:vAlign w:val="center"/>
                </w:tcPr>
                <w:p>
                  <w:pPr>
                    <w:widowControl/>
                    <w:wordWrap w:val="0"/>
                    <w:jc w:val="center"/>
                    <w:textAlignment w:val="center"/>
                    <w:rPr>
                      <w:rFonts w:ascii="Times New Roman" w:hAnsi="Times New Roman" w:eastAsia="宋体" w:cs="Times New Roman"/>
                      <w:color w:val="auto"/>
                      <w:kern w:val="2"/>
                      <w:sz w:val="21"/>
                      <w:szCs w:val="21"/>
                      <w:lang w:val="en-US" w:eastAsia="zh-CN" w:bidi="ar-SA"/>
                    </w:rPr>
                  </w:pPr>
                </w:p>
              </w:tc>
              <w:tc>
                <w:tcPr>
                  <w:tcW w:w="784" w:type="pct"/>
                  <w:vAlign w:val="center"/>
                </w:tcPr>
                <w:p>
                  <w:pPr>
                    <w:widowControl/>
                    <w:wordWrap w:val="0"/>
                    <w:jc w:val="center"/>
                    <w:textAlignment w:val="center"/>
                    <w:rPr>
                      <w:rFonts w:ascii="Times New Roman" w:hAnsi="Times New Roman" w:eastAsia="宋体" w:cs="Times New Roman"/>
                      <w:color w:val="auto"/>
                      <w:kern w:val="2"/>
                      <w:sz w:val="21"/>
                      <w:szCs w:val="21"/>
                      <w:lang w:val="en-US" w:eastAsia="zh-CN" w:bidi="ar-SA"/>
                    </w:rPr>
                  </w:pPr>
                  <w:r>
                    <w:rPr>
                      <w:color w:val="auto"/>
                      <w:szCs w:val="21"/>
                    </w:rPr>
                    <w:t>900-039-49</w:t>
                  </w:r>
                </w:p>
              </w:tc>
              <w:tc>
                <w:tcPr>
                  <w:tcW w:w="463" w:type="pct"/>
                  <w:noWrap/>
                  <w:vAlign w:val="center"/>
                </w:tcPr>
                <w:p>
                  <w:pPr>
                    <w:widowControl/>
                    <w:wordWrap w:val="0"/>
                    <w:jc w:val="center"/>
                    <w:textAlignment w:val="center"/>
                    <w:rPr>
                      <w:rFonts w:ascii="Times New Roman" w:hAnsi="Times New Roman" w:eastAsia="宋体" w:cs="Times New Roman"/>
                      <w:color w:val="auto"/>
                      <w:kern w:val="2"/>
                      <w:sz w:val="21"/>
                      <w:szCs w:val="21"/>
                      <w:lang w:val="en-US" w:eastAsia="zh-CN" w:bidi="ar-SA"/>
                    </w:rPr>
                  </w:pPr>
                  <w:r>
                    <w:rPr>
                      <w:color w:val="auto"/>
                      <w:szCs w:val="21"/>
                    </w:rPr>
                    <w:t>HW49</w:t>
                  </w:r>
                </w:p>
              </w:tc>
              <w:tc>
                <w:tcPr>
                  <w:tcW w:w="721" w:type="pct"/>
                  <w:noWrap/>
                  <w:vAlign w:val="center"/>
                </w:tcPr>
                <w:p>
                  <w:pPr>
                    <w:widowControl/>
                    <w:wordWrap w:val="0"/>
                    <w:jc w:val="center"/>
                    <w:textAlignment w:val="center"/>
                    <w:rPr>
                      <w:rFonts w:ascii="Times New Roman" w:hAnsi="Times New Roman" w:eastAsia="宋体" w:cs="Times New Roman"/>
                      <w:color w:val="auto"/>
                      <w:kern w:val="2"/>
                      <w:sz w:val="21"/>
                      <w:szCs w:val="21"/>
                      <w:lang w:val="en-US" w:eastAsia="zh-CN" w:bidi="ar-SA"/>
                    </w:rPr>
                  </w:pPr>
                  <w:r>
                    <w:rPr>
                      <w:color w:val="auto"/>
                      <w:szCs w:val="21"/>
                    </w:rPr>
                    <w:t>物料平衡法</w:t>
                  </w:r>
                </w:p>
              </w:tc>
              <w:tc>
                <w:tcPr>
                  <w:tcW w:w="569" w:type="pct"/>
                  <w:noWrap/>
                  <w:vAlign w:val="center"/>
                </w:tcPr>
                <w:p>
                  <w:pPr>
                    <w:widowControl/>
                    <w:wordWrap w:val="0"/>
                    <w:jc w:val="center"/>
                    <w:textAlignment w:val="center"/>
                    <w:rPr>
                      <w:rFonts w:hint="default" w:ascii="Times New Roman" w:hAnsi="Times New Roman" w:eastAsia="宋体" w:cs="Times New Roman"/>
                      <w:bCs/>
                      <w:color w:val="auto"/>
                      <w:kern w:val="0"/>
                      <w:sz w:val="21"/>
                      <w:szCs w:val="21"/>
                      <w:lang w:val="en-US" w:eastAsia="zh-CN" w:bidi="en-US"/>
                    </w:rPr>
                  </w:pPr>
                  <w:r>
                    <w:rPr>
                      <w:rFonts w:hint="eastAsia"/>
                      <w:bCs/>
                      <w:color w:val="auto"/>
                      <w:kern w:val="0"/>
                      <w:szCs w:val="21"/>
                      <w:lang w:val="en-US" w:eastAsia="zh-CN" w:bidi="en-US"/>
                    </w:rPr>
                    <w:t>2.5955</w:t>
                  </w:r>
                </w:p>
              </w:tc>
              <w:tc>
                <w:tcPr>
                  <w:tcW w:w="642" w:type="pct"/>
                  <w:vMerge w:val="continue"/>
                  <w:vAlign w:val="center"/>
                </w:tcPr>
                <w:p>
                  <w:pPr>
                    <w:widowControl/>
                    <w:wordWrap w:val="0"/>
                    <w:jc w:val="center"/>
                    <w:textAlignment w:val="center"/>
                    <w:rPr>
                      <w:rFonts w:ascii="Times New Roman" w:hAnsi="Times New Roman" w:eastAsia="宋体" w:cs="Times New Roman"/>
                      <w:bCs/>
                      <w:color w:val="auto"/>
                      <w:kern w:val="0"/>
                      <w:sz w:val="21"/>
                      <w:szCs w:val="21"/>
                      <w:lang w:val="en-US" w:eastAsia="zh-CN" w:bidi="en-US"/>
                    </w:rPr>
                  </w:pPr>
                </w:p>
              </w:tc>
              <w:tc>
                <w:tcPr>
                  <w:tcW w:w="496" w:type="pct"/>
                  <w:vAlign w:val="center"/>
                </w:tcPr>
                <w:p>
                  <w:pPr>
                    <w:widowControl/>
                    <w:wordWrap w:val="0"/>
                    <w:jc w:val="center"/>
                    <w:textAlignment w:val="center"/>
                    <w:rPr>
                      <w:rFonts w:hint="default" w:ascii="Times New Roman" w:hAnsi="Times New Roman" w:eastAsia="宋体" w:cs="Times New Roman"/>
                      <w:bCs/>
                      <w:color w:val="auto"/>
                      <w:kern w:val="0"/>
                      <w:sz w:val="21"/>
                      <w:szCs w:val="21"/>
                      <w:lang w:val="en-US" w:eastAsia="zh-CN" w:bidi="en-US"/>
                    </w:rPr>
                  </w:pPr>
                  <w:r>
                    <w:rPr>
                      <w:rFonts w:hint="eastAsia"/>
                      <w:bCs/>
                      <w:color w:val="auto"/>
                      <w:kern w:val="0"/>
                      <w:szCs w:val="21"/>
                      <w:lang w:val="en-US" w:eastAsia="zh-CN" w:bidi="en-US"/>
                    </w:rPr>
                    <w:t>2.5955</w:t>
                  </w:r>
                </w:p>
              </w:tc>
              <w:tc>
                <w:tcPr>
                  <w:tcW w:w="267" w:type="pct"/>
                  <w:vMerge w:val="continue"/>
                  <w:vAlign w:val="center"/>
                </w:tcPr>
                <w:p>
                  <w:pPr>
                    <w:widowControl/>
                    <w:wordWrap w:val="0"/>
                    <w:jc w:val="center"/>
                    <w:textAlignment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53" w:type="pct"/>
                  <w:vAlign w:val="center"/>
                </w:tcPr>
                <w:p>
                  <w:pPr>
                    <w:pStyle w:val="13"/>
                    <w:tabs>
                      <w:tab w:val="left" w:pos="2830"/>
                    </w:tabs>
                    <w:jc w:val="center"/>
                    <w:rPr>
                      <w:rFonts w:hint="default" w:ascii="Times New Roman" w:hAnsi="Times New Roman"/>
                      <w:color w:val="auto"/>
                      <w:sz w:val="21"/>
                      <w:szCs w:val="21"/>
                      <w:lang w:val="en-US" w:eastAsia="zh-CN"/>
                    </w:rPr>
                  </w:pPr>
                  <w:r>
                    <w:rPr>
                      <w:rFonts w:hint="eastAsia" w:ascii="Times New Roman" w:hAnsi="Times New Roman"/>
                      <w:color w:val="auto"/>
                      <w:sz w:val="21"/>
                      <w:szCs w:val="21"/>
                      <w:lang w:val="en-US" w:eastAsia="zh-CN"/>
                    </w:rPr>
                    <w:t>12</w:t>
                  </w:r>
                </w:p>
              </w:tc>
              <w:tc>
                <w:tcPr>
                  <w:tcW w:w="516" w:type="pct"/>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szCs w:val="21"/>
                    </w:rPr>
                    <w:t>废润滑油</w:t>
                  </w:r>
                </w:p>
              </w:tc>
              <w:tc>
                <w:tcPr>
                  <w:tcW w:w="285" w:type="pct"/>
                  <w:vMerge w:val="continue"/>
                  <w:noWrap/>
                  <w:vAlign w:val="center"/>
                </w:tcPr>
                <w:p>
                  <w:pPr>
                    <w:widowControl/>
                    <w:wordWrap w:val="0"/>
                    <w:jc w:val="center"/>
                    <w:textAlignment w:val="center"/>
                    <w:rPr>
                      <w:rFonts w:ascii="Times New Roman" w:hAnsi="Times New Roman" w:eastAsia="宋体" w:cs="Times New Roman"/>
                      <w:color w:val="auto"/>
                      <w:kern w:val="2"/>
                      <w:sz w:val="21"/>
                      <w:szCs w:val="21"/>
                      <w:lang w:val="en-US" w:eastAsia="zh-CN" w:bidi="ar-SA"/>
                    </w:rPr>
                  </w:pPr>
                </w:p>
              </w:tc>
              <w:tc>
                <w:tcPr>
                  <w:tcW w:w="784" w:type="pct"/>
                  <w:vAlign w:val="center"/>
                </w:tcPr>
                <w:p>
                  <w:pPr>
                    <w:widowControl/>
                    <w:jc w:val="center"/>
                    <w:textAlignment w:val="center"/>
                    <w:rPr>
                      <w:rFonts w:ascii="Times New Roman" w:hAnsi="Times New Roman" w:eastAsia="宋体" w:cs="Times New Roman"/>
                      <w:color w:val="auto"/>
                      <w:kern w:val="0"/>
                      <w:sz w:val="21"/>
                      <w:szCs w:val="21"/>
                      <w:lang w:val="en-US" w:eastAsia="zh-CN" w:bidi="en-US"/>
                    </w:rPr>
                  </w:pPr>
                  <w:r>
                    <w:rPr>
                      <w:color w:val="auto"/>
                      <w:kern w:val="0"/>
                      <w:szCs w:val="21"/>
                      <w:lang w:bidi="en-US"/>
                    </w:rPr>
                    <w:t>900-214-08</w:t>
                  </w:r>
                </w:p>
              </w:tc>
              <w:tc>
                <w:tcPr>
                  <w:tcW w:w="463" w:type="pct"/>
                  <w:noWrap/>
                  <w:vAlign w:val="center"/>
                </w:tcPr>
                <w:p>
                  <w:pPr>
                    <w:widowControl/>
                    <w:wordWrap w:val="0"/>
                    <w:jc w:val="center"/>
                    <w:textAlignment w:val="center"/>
                    <w:rPr>
                      <w:rFonts w:ascii="Times New Roman" w:hAnsi="Times New Roman" w:eastAsia="宋体" w:cs="Times New Roman"/>
                      <w:color w:val="auto"/>
                      <w:kern w:val="2"/>
                      <w:sz w:val="21"/>
                      <w:szCs w:val="21"/>
                      <w:lang w:val="en-US" w:eastAsia="zh-CN" w:bidi="ar-SA"/>
                    </w:rPr>
                  </w:pPr>
                  <w:r>
                    <w:rPr>
                      <w:color w:val="auto"/>
                      <w:szCs w:val="21"/>
                    </w:rPr>
                    <w:t>HW08</w:t>
                  </w:r>
                </w:p>
              </w:tc>
              <w:tc>
                <w:tcPr>
                  <w:tcW w:w="721" w:type="pct"/>
                  <w:noWrap/>
                  <w:vAlign w:val="center"/>
                </w:tcPr>
                <w:p>
                  <w:pPr>
                    <w:widowControl/>
                    <w:wordWrap w:val="0"/>
                    <w:jc w:val="center"/>
                    <w:textAlignment w:val="center"/>
                    <w:rPr>
                      <w:rFonts w:ascii="Times New Roman" w:hAnsi="Times New Roman" w:eastAsia="宋体" w:cs="Times New Roman"/>
                      <w:color w:val="auto"/>
                      <w:kern w:val="2"/>
                      <w:sz w:val="21"/>
                      <w:szCs w:val="21"/>
                      <w:lang w:val="en-US" w:eastAsia="zh-CN" w:bidi="ar-SA"/>
                    </w:rPr>
                  </w:pPr>
                  <w:r>
                    <w:rPr>
                      <w:color w:val="auto"/>
                      <w:szCs w:val="21"/>
                    </w:rPr>
                    <w:t>物料平衡法</w:t>
                  </w:r>
                </w:p>
              </w:tc>
              <w:tc>
                <w:tcPr>
                  <w:tcW w:w="569" w:type="pct"/>
                  <w:noWrap/>
                  <w:vAlign w:val="center"/>
                </w:tcPr>
                <w:p>
                  <w:pPr>
                    <w:widowControl/>
                    <w:wordWrap w:val="0"/>
                    <w:jc w:val="center"/>
                    <w:textAlignment w:val="center"/>
                    <w:rPr>
                      <w:rFonts w:hint="eastAsia" w:ascii="Times New Roman" w:hAnsi="Times New Roman" w:eastAsia="宋体" w:cs="Times New Roman"/>
                      <w:bCs/>
                      <w:color w:val="auto"/>
                      <w:kern w:val="0"/>
                      <w:sz w:val="21"/>
                      <w:szCs w:val="21"/>
                      <w:lang w:val="en-US" w:eastAsia="zh-CN" w:bidi="en-US"/>
                    </w:rPr>
                  </w:pPr>
                  <w:r>
                    <w:rPr>
                      <w:bCs/>
                      <w:color w:val="auto"/>
                      <w:kern w:val="0"/>
                      <w:szCs w:val="21"/>
                      <w:lang w:bidi="en-US"/>
                    </w:rPr>
                    <w:t>0.005</w:t>
                  </w:r>
                </w:p>
              </w:tc>
              <w:tc>
                <w:tcPr>
                  <w:tcW w:w="642" w:type="pct"/>
                  <w:vMerge w:val="continue"/>
                  <w:vAlign w:val="center"/>
                </w:tcPr>
                <w:p>
                  <w:pPr>
                    <w:widowControl/>
                    <w:wordWrap w:val="0"/>
                    <w:jc w:val="center"/>
                    <w:textAlignment w:val="center"/>
                    <w:rPr>
                      <w:rFonts w:ascii="Times New Roman" w:hAnsi="Times New Roman" w:eastAsia="宋体" w:cs="Times New Roman"/>
                      <w:bCs/>
                      <w:color w:val="auto"/>
                      <w:kern w:val="0"/>
                      <w:sz w:val="21"/>
                      <w:szCs w:val="21"/>
                      <w:lang w:val="en-US" w:eastAsia="zh-CN" w:bidi="en-US"/>
                    </w:rPr>
                  </w:pPr>
                </w:p>
              </w:tc>
              <w:tc>
                <w:tcPr>
                  <w:tcW w:w="496" w:type="pct"/>
                  <w:vAlign w:val="center"/>
                </w:tcPr>
                <w:p>
                  <w:pPr>
                    <w:widowControl/>
                    <w:wordWrap w:val="0"/>
                    <w:jc w:val="center"/>
                    <w:textAlignment w:val="center"/>
                    <w:rPr>
                      <w:rFonts w:hint="eastAsia" w:ascii="Times New Roman" w:hAnsi="Times New Roman" w:eastAsia="宋体" w:cs="Times New Roman"/>
                      <w:bCs/>
                      <w:color w:val="auto"/>
                      <w:kern w:val="0"/>
                      <w:sz w:val="21"/>
                      <w:szCs w:val="21"/>
                      <w:lang w:val="en-US" w:eastAsia="zh-CN" w:bidi="en-US"/>
                    </w:rPr>
                  </w:pPr>
                  <w:r>
                    <w:rPr>
                      <w:bCs/>
                      <w:color w:val="auto"/>
                      <w:kern w:val="0"/>
                      <w:szCs w:val="21"/>
                      <w:lang w:bidi="en-US"/>
                    </w:rPr>
                    <w:t>0.005</w:t>
                  </w:r>
                </w:p>
              </w:tc>
              <w:tc>
                <w:tcPr>
                  <w:tcW w:w="267" w:type="pct"/>
                  <w:vMerge w:val="continue"/>
                  <w:vAlign w:val="center"/>
                </w:tcPr>
                <w:p>
                  <w:pPr>
                    <w:widowControl/>
                    <w:wordWrap w:val="0"/>
                    <w:jc w:val="center"/>
                    <w:textAlignment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53" w:type="pct"/>
                  <w:vAlign w:val="center"/>
                </w:tcPr>
                <w:p>
                  <w:pPr>
                    <w:pStyle w:val="13"/>
                    <w:tabs>
                      <w:tab w:val="left" w:pos="2830"/>
                    </w:tabs>
                    <w:jc w:val="center"/>
                    <w:rPr>
                      <w:rFonts w:hint="eastAsia" w:ascii="Times New Roman" w:hAnsi="Times New Roman" w:eastAsia="宋体"/>
                      <w:bCs/>
                      <w:color w:val="auto"/>
                      <w:sz w:val="21"/>
                      <w:szCs w:val="21"/>
                      <w:lang w:eastAsia="zh-CN"/>
                    </w:rPr>
                  </w:pPr>
                  <w:r>
                    <w:rPr>
                      <w:rFonts w:ascii="Times New Roman" w:hAnsi="Times New Roman"/>
                      <w:color w:val="auto"/>
                      <w:sz w:val="21"/>
                      <w:szCs w:val="21"/>
                    </w:rPr>
                    <w:t>1</w:t>
                  </w:r>
                  <w:r>
                    <w:rPr>
                      <w:rFonts w:hint="eastAsia" w:ascii="Times New Roman" w:hAnsi="Times New Roman"/>
                      <w:color w:val="auto"/>
                      <w:sz w:val="21"/>
                      <w:szCs w:val="21"/>
                      <w:lang w:val="en-US" w:eastAsia="zh-CN"/>
                    </w:rPr>
                    <w:t>3</w:t>
                  </w:r>
                </w:p>
              </w:tc>
              <w:tc>
                <w:tcPr>
                  <w:tcW w:w="516" w:type="pct"/>
                  <w:vAlign w:val="center"/>
                </w:tcPr>
                <w:p>
                  <w:pPr>
                    <w:widowControl/>
                    <w:jc w:val="center"/>
                    <w:textAlignment w:val="center"/>
                    <w:rPr>
                      <w:rFonts w:ascii="Times New Roman" w:hAnsi="Times New Roman" w:eastAsia="宋体" w:cs="Times New Roman"/>
                      <w:color w:val="auto"/>
                      <w:kern w:val="0"/>
                      <w:sz w:val="21"/>
                      <w:szCs w:val="21"/>
                      <w:lang w:val="en-US" w:eastAsia="zh-CN" w:bidi="en-US"/>
                    </w:rPr>
                  </w:pPr>
                  <w:r>
                    <w:rPr>
                      <w:rFonts w:hint="eastAsia" w:ascii="Times New Roman" w:hAnsi="Times New Roman" w:eastAsia="宋体" w:cs="Times New Roman"/>
                      <w:color w:val="auto"/>
                      <w:kern w:val="0"/>
                      <w:szCs w:val="21"/>
                      <w:lang w:bidi="en-US"/>
                    </w:rPr>
                    <w:t>废喷枪枪头</w:t>
                  </w:r>
                </w:p>
              </w:tc>
              <w:tc>
                <w:tcPr>
                  <w:tcW w:w="285" w:type="pct"/>
                  <w:vMerge w:val="continue"/>
                  <w:noWrap/>
                  <w:vAlign w:val="center"/>
                </w:tcPr>
                <w:p>
                  <w:pPr>
                    <w:widowControl/>
                    <w:jc w:val="center"/>
                    <w:textAlignment w:val="center"/>
                    <w:rPr>
                      <w:rFonts w:ascii="Times New Roman" w:hAnsi="Times New Roman" w:eastAsia="宋体" w:cs="Times New Roman"/>
                      <w:color w:val="auto"/>
                      <w:kern w:val="0"/>
                      <w:sz w:val="21"/>
                      <w:szCs w:val="21"/>
                      <w:lang w:val="en-US" w:eastAsia="zh-CN" w:bidi="en-US"/>
                    </w:rPr>
                  </w:pPr>
                </w:p>
              </w:tc>
              <w:tc>
                <w:tcPr>
                  <w:tcW w:w="784" w:type="pct"/>
                  <w:vAlign w:val="center"/>
                </w:tcPr>
                <w:p>
                  <w:pPr>
                    <w:widowControl/>
                    <w:jc w:val="center"/>
                    <w:textAlignment w:val="center"/>
                    <w:rPr>
                      <w:rFonts w:ascii="Times New Roman" w:hAnsi="Times New Roman" w:eastAsia="宋体" w:cs="Times New Roman"/>
                      <w:color w:val="auto"/>
                      <w:kern w:val="0"/>
                      <w:sz w:val="21"/>
                      <w:szCs w:val="21"/>
                      <w:lang w:val="en-US" w:eastAsia="zh-CN" w:bidi="en-US"/>
                    </w:rPr>
                  </w:pPr>
                  <w:r>
                    <w:rPr>
                      <w:rFonts w:hint="eastAsia" w:ascii="Times New Roman" w:hAnsi="Times New Roman" w:eastAsia="宋体" w:cs="Times New Roman"/>
                      <w:color w:val="auto"/>
                      <w:kern w:val="0"/>
                      <w:szCs w:val="21"/>
                      <w:lang w:bidi="en-US"/>
                    </w:rPr>
                    <w:t>900-041-49</w:t>
                  </w:r>
                </w:p>
              </w:tc>
              <w:tc>
                <w:tcPr>
                  <w:tcW w:w="463" w:type="pct"/>
                  <w:noWrap/>
                  <w:vAlign w:val="center"/>
                </w:tcPr>
                <w:p>
                  <w:pPr>
                    <w:widowControl/>
                    <w:jc w:val="center"/>
                    <w:textAlignment w:val="center"/>
                    <w:rPr>
                      <w:rFonts w:ascii="Times New Roman" w:hAnsi="Times New Roman" w:eastAsia="宋体" w:cs="Times New Roman"/>
                      <w:color w:val="auto"/>
                      <w:kern w:val="0"/>
                      <w:sz w:val="21"/>
                      <w:szCs w:val="21"/>
                      <w:lang w:val="en-US" w:eastAsia="zh-CN" w:bidi="en-US"/>
                    </w:rPr>
                  </w:pPr>
                  <w:r>
                    <w:rPr>
                      <w:rFonts w:ascii="Times New Roman" w:hAnsi="Times New Roman" w:eastAsia="宋体" w:cs="Times New Roman"/>
                      <w:color w:val="auto"/>
                      <w:kern w:val="0"/>
                      <w:szCs w:val="21"/>
                      <w:lang w:bidi="en-US"/>
                    </w:rPr>
                    <w:t>HW</w:t>
                  </w:r>
                  <w:r>
                    <w:rPr>
                      <w:rFonts w:hint="eastAsia" w:ascii="Times New Roman" w:hAnsi="Times New Roman" w:eastAsia="宋体" w:cs="Times New Roman"/>
                      <w:color w:val="auto"/>
                      <w:kern w:val="0"/>
                      <w:szCs w:val="21"/>
                      <w:lang w:bidi="en-US"/>
                    </w:rPr>
                    <w:t>49</w:t>
                  </w:r>
                </w:p>
              </w:tc>
              <w:tc>
                <w:tcPr>
                  <w:tcW w:w="721" w:type="pct"/>
                  <w:noWrap/>
                  <w:vAlign w:val="center"/>
                </w:tcPr>
                <w:p>
                  <w:pPr>
                    <w:widowControl/>
                    <w:jc w:val="center"/>
                    <w:textAlignment w:val="center"/>
                    <w:rPr>
                      <w:rFonts w:ascii="Times New Roman" w:hAnsi="Times New Roman" w:eastAsia="宋体" w:cs="Times New Roman"/>
                      <w:color w:val="auto"/>
                      <w:kern w:val="0"/>
                      <w:sz w:val="21"/>
                      <w:szCs w:val="21"/>
                      <w:lang w:val="en-US" w:eastAsia="zh-CN" w:bidi="en-US"/>
                    </w:rPr>
                  </w:pPr>
                  <w:r>
                    <w:rPr>
                      <w:rFonts w:ascii="Times New Roman" w:hAnsi="Times New Roman" w:eastAsia="宋体" w:cs="Times New Roman"/>
                      <w:color w:val="auto"/>
                      <w:kern w:val="0"/>
                      <w:szCs w:val="21"/>
                      <w:lang w:bidi="en-US"/>
                    </w:rPr>
                    <w:t>产污系数法</w:t>
                  </w:r>
                </w:p>
              </w:tc>
              <w:tc>
                <w:tcPr>
                  <w:tcW w:w="569" w:type="pct"/>
                  <w:noWrap/>
                  <w:vAlign w:val="center"/>
                </w:tcPr>
                <w:p>
                  <w:pPr>
                    <w:widowControl/>
                    <w:jc w:val="center"/>
                    <w:textAlignment w:val="center"/>
                    <w:rPr>
                      <w:rFonts w:ascii="Times New Roman" w:hAnsi="Times New Roman" w:eastAsia="宋体" w:cs="Times New Roman"/>
                      <w:color w:val="auto"/>
                      <w:kern w:val="0"/>
                      <w:sz w:val="21"/>
                      <w:szCs w:val="21"/>
                      <w:lang w:val="en-US" w:eastAsia="zh-CN" w:bidi="en-US"/>
                    </w:rPr>
                  </w:pPr>
                  <w:r>
                    <w:rPr>
                      <w:rFonts w:hint="eastAsia" w:ascii="Times New Roman" w:hAnsi="Times New Roman" w:eastAsia="宋体" w:cs="Times New Roman"/>
                      <w:color w:val="auto"/>
                      <w:kern w:val="0"/>
                      <w:szCs w:val="21"/>
                      <w:lang w:bidi="en-US"/>
                    </w:rPr>
                    <w:t>0.0006</w:t>
                  </w:r>
                </w:p>
              </w:tc>
              <w:tc>
                <w:tcPr>
                  <w:tcW w:w="642" w:type="pct"/>
                  <w:vMerge w:val="continue"/>
                  <w:vAlign w:val="center"/>
                </w:tcPr>
                <w:p>
                  <w:pPr>
                    <w:widowControl/>
                    <w:jc w:val="center"/>
                    <w:textAlignment w:val="center"/>
                    <w:rPr>
                      <w:rFonts w:ascii="Times New Roman" w:hAnsi="Times New Roman" w:eastAsia="宋体" w:cs="Times New Roman"/>
                      <w:color w:val="auto"/>
                      <w:kern w:val="0"/>
                      <w:sz w:val="21"/>
                      <w:szCs w:val="21"/>
                      <w:lang w:val="en-US" w:eastAsia="zh-CN" w:bidi="en-US"/>
                    </w:rPr>
                  </w:pPr>
                </w:p>
              </w:tc>
              <w:tc>
                <w:tcPr>
                  <w:tcW w:w="496" w:type="pct"/>
                  <w:vAlign w:val="center"/>
                </w:tcPr>
                <w:p>
                  <w:pPr>
                    <w:widowControl/>
                    <w:jc w:val="center"/>
                    <w:textAlignment w:val="center"/>
                    <w:rPr>
                      <w:rFonts w:ascii="Times New Roman" w:hAnsi="Times New Roman" w:eastAsia="宋体" w:cs="Times New Roman"/>
                      <w:color w:val="auto"/>
                      <w:kern w:val="0"/>
                      <w:sz w:val="21"/>
                      <w:szCs w:val="21"/>
                      <w:lang w:val="en-US" w:eastAsia="zh-CN" w:bidi="en-US"/>
                    </w:rPr>
                  </w:pPr>
                  <w:r>
                    <w:rPr>
                      <w:rFonts w:hint="eastAsia" w:ascii="Times New Roman" w:hAnsi="Times New Roman" w:eastAsia="宋体" w:cs="Times New Roman"/>
                      <w:color w:val="auto"/>
                      <w:kern w:val="0"/>
                      <w:szCs w:val="21"/>
                      <w:lang w:bidi="en-US"/>
                    </w:rPr>
                    <w:t>0.0006</w:t>
                  </w:r>
                </w:p>
              </w:tc>
              <w:tc>
                <w:tcPr>
                  <w:tcW w:w="267" w:type="pct"/>
                  <w:vMerge w:val="continue"/>
                  <w:vAlign w:val="center"/>
                </w:tcPr>
                <w:p>
                  <w:pPr>
                    <w:widowControl/>
                    <w:wordWrap w:val="0"/>
                    <w:jc w:val="center"/>
                    <w:textAlignment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53" w:type="pct"/>
                  <w:vAlign w:val="center"/>
                </w:tcPr>
                <w:p>
                  <w:pPr>
                    <w:pStyle w:val="13"/>
                    <w:tabs>
                      <w:tab w:val="left" w:pos="2830"/>
                    </w:tabs>
                    <w:jc w:val="center"/>
                    <w:rPr>
                      <w:rFonts w:hint="default" w:ascii="Times New Roman" w:hAnsi="Times New Roman" w:eastAsia="宋体"/>
                      <w:bCs/>
                      <w:color w:val="auto"/>
                      <w:sz w:val="21"/>
                      <w:szCs w:val="21"/>
                      <w:lang w:val="en-US" w:eastAsia="zh-CN"/>
                    </w:rPr>
                  </w:pPr>
                  <w:r>
                    <w:rPr>
                      <w:rFonts w:hint="eastAsia" w:ascii="Times New Roman" w:hAnsi="Times New Roman"/>
                      <w:color w:val="auto"/>
                      <w:sz w:val="21"/>
                      <w:szCs w:val="21"/>
                      <w:lang w:val="en-US" w:eastAsia="zh-CN"/>
                    </w:rPr>
                    <w:t>14</w:t>
                  </w:r>
                </w:p>
              </w:tc>
              <w:tc>
                <w:tcPr>
                  <w:tcW w:w="516" w:type="pct"/>
                  <w:vAlign w:val="center"/>
                </w:tcPr>
                <w:p>
                  <w:pPr>
                    <w:widowControl/>
                    <w:wordWrap w:val="0"/>
                    <w:jc w:val="center"/>
                    <w:textAlignment w:val="center"/>
                    <w:rPr>
                      <w:rFonts w:ascii="Times New Roman" w:hAnsi="Times New Roman" w:eastAsia="宋体" w:cs="Times New Roman"/>
                      <w:color w:val="auto"/>
                      <w:kern w:val="2"/>
                      <w:sz w:val="21"/>
                      <w:szCs w:val="21"/>
                      <w:lang w:val="en-US" w:eastAsia="zh-CN" w:bidi="ar-SA"/>
                    </w:rPr>
                  </w:pPr>
                  <w:r>
                    <w:rPr>
                      <w:color w:val="auto"/>
                      <w:szCs w:val="21"/>
                    </w:rPr>
                    <w:t>废过滤棉</w:t>
                  </w:r>
                </w:p>
              </w:tc>
              <w:tc>
                <w:tcPr>
                  <w:tcW w:w="285" w:type="pct"/>
                  <w:vMerge w:val="continue"/>
                  <w:noWrap/>
                  <w:vAlign w:val="center"/>
                </w:tcPr>
                <w:p>
                  <w:pPr>
                    <w:widowControl/>
                    <w:wordWrap w:val="0"/>
                    <w:jc w:val="center"/>
                    <w:textAlignment w:val="center"/>
                    <w:rPr>
                      <w:rFonts w:ascii="Times New Roman" w:hAnsi="Times New Roman" w:eastAsia="宋体" w:cs="Times New Roman"/>
                      <w:color w:val="auto"/>
                      <w:kern w:val="2"/>
                      <w:sz w:val="21"/>
                      <w:szCs w:val="21"/>
                      <w:lang w:val="en-US" w:eastAsia="zh-CN" w:bidi="ar-SA"/>
                    </w:rPr>
                  </w:pPr>
                </w:p>
              </w:tc>
              <w:tc>
                <w:tcPr>
                  <w:tcW w:w="784" w:type="pct"/>
                  <w:vAlign w:val="center"/>
                </w:tcPr>
                <w:p>
                  <w:pPr>
                    <w:widowControl/>
                    <w:wordWrap w:val="0"/>
                    <w:jc w:val="center"/>
                    <w:textAlignment w:val="center"/>
                    <w:rPr>
                      <w:rFonts w:ascii="Times New Roman" w:hAnsi="Times New Roman" w:eastAsia="宋体" w:cs="Times New Roman"/>
                      <w:color w:val="auto"/>
                      <w:kern w:val="2"/>
                      <w:sz w:val="21"/>
                      <w:szCs w:val="21"/>
                      <w:lang w:val="en-US" w:eastAsia="zh-CN" w:bidi="ar-SA"/>
                    </w:rPr>
                  </w:pPr>
                  <w:r>
                    <w:rPr>
                      <w:color w:val="auto"/>
                      <w:szCs w:val="21"/>
                    </w:rPr>
                    <w:t>900-041-49</w:t>
                  </w:r>
                </w:p>
              </w:tc>
              <w:tc>
                <w:tcPr>
                  <w:tcW w:w="463" w:type="pct"/>
                  <w:noWrap/>
                  <w:vAlign w:val="center"/>
                </w:tcPr>
                <w:p>
                  <w:pPr>
                    <w:widowControl/>
                    <w:wordWrap w:val="0"/>
                    <w:jc w:val="center"/>
                    <w:textAlignment w:val="center"/>
                    <w:rPr>
                      <w:rFonts w:ascii="Times New Roman" w:hAnsi="Times New Roman" w:eastAsia="宋体" w:cs="Times New Roman"/>
                      <w:color w:val="auto"/>
                      <w:kern w:val="2"/>
                      <w:sz w:val="21"/>
                      <w:szCs w:val="21"/>
                      <w:lang w:val="en-US" w:eastAsia="zh-CN" w:bidi="ar-SA"/>
                    </w:rPr>
                  </w:pPr>
                  <w:r>
                    <w:rPr>
                      <w:color w:val="auto"/>
                      <w:szCs w:val="21"/>
                    </w:rPr>
                    <w:t>HW08</w:t>
                  </w:r>
                </w:p>
              </w:tc>
              <w:tc>
                <w:tcPr>
                  <w:tcW w:w="721" w:type="pct"/>
                  <w:noWrap/>
                  <w:vAlign w:val="center"/>
                </w:tcPr>
                <w:p>
                  <w:pPr>
                    <w:widowControl/>
                    <w:wordWrap w:val="0"/>
                    <w:jc w:val="center"/>
                    <w:textAlignment w:val="center"/>
                    <w:rPr>
                      <w:rFonts w:ascii="Times New Roman" w:hAnsi="Times New Roman" w:eastAsia="宋体" w:cs="Times New Roman"/>
                      <w:color w:val="auto"/>
                      <w:kern w:val="2"/>
                      <w:sz w:val="21"/>
                      <w:szCs w:val="21"/>
                      <w:lang w:val="en-US" w:eastAsia="zh-CN" w:bidi="ar-SA"/>
                    </w:rPr>
                  </w:pPr>
                  <w:r>
                    <w:rPr>
                      <w:color w:val="auto"/>
                      <w:szCs w:val="21"/>
                    </w:rPr>
                    <w:t>产污系数法</w:t>
                  </w:r>
                </w:p>
              </w:tc>
              <w:tc>
                <w:tcPr>
                  <w:tcW w:w="569" w:type="pct"/>
                  <w:noWrap/>
                  <w:vAlign w:val="center"/>
                </w:tcPr>
                <w:p>
                  <w:pPr>
                    <w:widowControl/>
                    <w:wordWrap w:val="0"/>
                    <w:jc w:val="center"/>
                    <w:textAlignment w:val="center"/>
                    <w:rPr>
                      <w:rFonts w:hint="default" w:ascii="Times New Roman" w:hAnsi="Times New Roman" w:eastAsia="宋体" w:cs="Times New Roman"/>
                      <w:bCs/>
                      <w:color w:val="auto"/>
                      <w:kern w:val="0"/>
                      <w:sz w:val="21"/>
                      <w:szCs w:val="21"/>
                      <w:lang w:val="en-US" w:eastAsia="zh-CN" w:bidi="en-US"/>
                    </w:rPr>
                  </w:pPr>
                  <w:r>
                    <w:rPr>
                      <w:rFonts w:hint="eastAsia"/>
                      <w:bCs/>
                      <w:color w:val="auto"/>
                      <w:kern w:val="0"/>
                      <w:szCs w:val="21"/>
                      <w:lang w:val="en-US" w:eastAsia="zh-CN" w:bidi="en-US"/>
                    </w:rPr>
                    <w:t>6.099</w:t>
                  </w:r>
                </w:p>
              </w:tc>
              <w:tc>
                <w:tcPr>
                  <w:tcW w:w="642" w:type="pct"/>
                  <w:vMerge w:val="continue"/>
                  <w:vAlign w:val="center"/>
                </w:tcPr>
                <w:p>
                  <w:pPr>
                    <w:widowControl/>
                    <w:wordWrap w:val="0"/>
                    <w:jc w:val="center"/>
                    <w:textAlignment w:val="center"/>
                    <w:rPr>
                      <w:rFonts w:ascii="Times New Roman" w:hAnsi="Times New Roman" w:eastAsia="宋体" w:cs="Times New Roman"/>
                      <w:bCs/>
                      <w:color w:val="auto"/>
                      <w:kern w:val="0"/>
                      <w:sz w:val="21"/>
                      <w:szCs w:val="21"/>
                      <w:lang w:val="en-US" w:eastAsia="zh-CN" w:bidi="en-US"/>
                    </w:rPr>
                  </w:pPr>
                </w:p>
              </w:tc>
              <w:tc>
                <w:tcPr>
                  <w:tcW w:w="496" w:type="pct"/>
                  <w:vAlign w:val="center"/>
                </w:tcPr>
                <w:p>
                  <w:pPr>
                    <w:widowControl/>
                    <w:wordWrap w:val="0"/>
                    <w:jc w:val="center"/>
                    <w:textAlignment w:val="center"/>
                    <w:rPr>
                      <w:rFonts w:hint="default" w:ascii="Times New Roman" w:hAnsi="Times New Roman" w:eastAsia="宋体" w:cs="Times New Roman"/>
                      <w:bCs/>
                      <w:color w:val="auto"/>
                      <w:kern w:val="0"/>
                      <w:sz w:val="21"/>
                      <w:szCs w:val="21"/>
                      <w:lang w:val="en-US" w:eastAsia="zh-CN" w:bidi="en-US"/>
                    </w:rPr>
                  </w:pPr>
                  <w:r>
                    <w:rPr>
                      <w:rFonts w:hint="eastAsia"/>
                      <w:bCs/>
                      <w:color w:val="auto"/>
                      <w:kern w:val="0"/>
                      <w:szCs w:val="21"/>
                      <w:lang w:val="en-US" w:eastAsia="zh-CN" w:bidi="en-US"/>
                    </w:rPr>
                    <w:t>6.099</w:t>
                  </w:r>
                </w:p>
              </w:tc>
              <w:tc>
                <w:tcPr>
                  <w:tcW w:w="267" w:type="pct"/>
                  <w:vMerge w:val="continue"/>
                  <w:vAlign w:val="center"/>
                </w:tcPr>
                <w:p>
                  <w:pPr>
                    <w:widowControl/>
                    <w:wordWrap w:val="0"/>
                    <w:jc w:val="center"/>
                    <w:textAlignment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1785" w:hRule="atLeast"/>
                <w:jc w:val="center"/>
              </w:trPr>
              <w:tc>
                <w:tcPr>
                  <w:tcW w:w="253" w:type="pct"/>
                  <w:vAlign w:val="center"/>
                </w:tcPr>
                <w:p>
                  <w:pPr>
                    <w:pStyle w:val="13"/>
                    <w:tabs>
                      <w:tab w:val="left" w:pos="2830"/>
                    </w:tabs>
                    <w:jc w:val="center"/>
                    <w:rPr>
                      <w:rFonts w:hint="default"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15</w:t>
                  </w:r>
                </w:p>
              </w:tc>
              <w:tc>
                <w:tcPr>
                  <w:tcW w:w="516" w:type="pct"/>
                  <w:vAlign w:val="center"/>
                </w:tcPr>
                <w:p>
                  <w:pPr>
                    <w:widowControl/>
                    <w:wordWrap w:val="0"/>
                    <w:jc w:val="center"/>
                    <w:textAlignment w:val="center"/>
                    <w:rPr>
                      <w:rFonts w:hint="eastAsia" w:ascii="Times New Roman" w:hAnsi="Times New Roman" w:eastAsia="宋体" w:cs="Times New Roman"/>
                      <w:color w:val="auto"/>
                      <w:kern w:val="2"/>
                      <w:sz w:val="21"/>
                      <w:szCs w:val="21"/>
                      <w:lang w:val="en-US" w:eastAsia="zh-CN" w:bidi="ar-SA"/>
                    </w:rPr>
                  </w:pPr>
                  <w:r>
                    <w:rPr>
                      <w:color w:val="auto"/>
                      <w:szCs w:val="21"/>
                    </w:rPr>
                    <w:t>生活垃圾</w:t>
                  </w:r>
                </w:p>
              </w:tc>
              <w:tc>
                <w:tcPr>
                  <w:tcW w:w="285" w:type="pct"/>
                  <w:noWrap/>
                  <w:vAlign w:val="center"/>
                </w:tcPr>
                <w:p>
                  <w:pPr>
                    <w:widowControl/>
                    <w:wordWrap w:val="0"/>
                    <w:jc w:val="center"/>
                    <w:textAlignment w:val="center"/>
                    <w:rPr>
                      <w:rFonts w:ascii="Times New Roman" w:hAnsi="Times New Roman" w:eastAsia="宋体" w:cs="Times New Roman"/>
                      <w:color w:val="auto"/>
                      <w:kern w:val="2"/>
                      <w:sz w:val="21"/>
                      <w:szCs w:val="21"/>
                      <w:lang w:val="en-US" w:eastAsia="zh-CN" w:bidi="ar-SA"/>
                    </w:rPr>
                  </w:pPr>
                  <w:r>
                    <w:rPr>
                      <w:color w:val="auto"/>
                      <w:szCs w:val="21"/>
                    </w:rPr>
                    <w:t>一般工业固废</w:t>
                  </w:r>
                </w:p>
              </w:tc>
              <w:tc>
                <w:tcPr>
                  <w:tcW w:w="784" w:type="pct"/>
                  <w:vAlign w:val="center"/>
                </w:tcPr>
                <w:p>
                  <w:pPr>
                    <w:widowControl/>
                    <w:wordWrap w:val="0"/>
                    <w:jc w:val="center"/>
                    <w:textAlignment w:val="center"/>
                    <w:rPr>
                      <w:rFonts w:ascii="Times New Roman" w:hAnsi="Times New Roman" w:eastAsia="宋体" w:cs="Times New Roman"/>
                      <w:color w:val="auto"/>
                      <w:kern w:val="2"/>
                      <w:sz w:val="21"/>
                      <w:szCs w:val="21"/>
                      <w:lang w:val="en-US" w:eastAsia="zh-CN" w:bidi="ar-SA"/>
                    </w:rPr>
                  </w:pPr>
                  <w:r>
                    <w:rPr>
                      <w:rFonts w:hint="eastAsia"/>
                      <w:bCs/>
                      <w:color w:val="auto"/>
                      <w:kern w:val="0"/>
                      <w:sz w:val="21"/>
                      <w:szCs w:val="21"/>
                      <w:lang w:val="en-US" w:eastAsia="zh-CN"/>
                    </w:rPr>
                    <w:t>900-001-S61</w:t>
                  </w:r>
                </w:p>
              </w:tc>
              <w:tc>
                <w:tcPr>
                  <w:tcW w:w="463" w:type="pct"/>
                  <w:noWrap/>
                  <w:vAlign w:val="center"/>
                </w:tcPr>
                <w:p>
                  <w:pPr>
                    <w:widowControl/>
                    <w:wordWrap w:val="0"/>
                    <w:jc w:val="center"/>
                    <w:textAlignment w:val="center"/>
                    <w:rPr>
                      <w:rFonts w:ascii="Times New Roman" w:hAnsi="Times New Roman" w:eastAsia="宋体" w:cs="Times New Roman"/>
                      <w:color w:val="auto"/>
                      <w:kern w:val="2"/>
                      <w:sz w:val="21"/>
                      <w:szCs w:val="21"/>
                      <w:lang w:val="en-US" w:eastAsia="zh-CN" w:bidi="ar-SA"/>
                    </w:rPr>
                  </w:pPr>
                  <w:r>
                    <w:rPr>
                      <w:rFonts w:hint="eastAsia"/>
                      <w:bCs/>
                      <w:color w:val="auto"/>
                      <w:kern w:val="0"/>
                      <w:sz w:val="21"/>
                      <w:szCs w:val="21"/>
                      <w:lang w:val="en-US" w:eastAsia="zh-CN"/>
                    </w:rPr>
                    <w:t>S61</w:t>
                  </w:r>
                </w:p>
              </w:tc>
              <w:tc>
                <w:tcPr>
                  <w:tcW w:w="721" w:type="pct"/>
                  <w:noWrap/>
                  <w:vAlign w:val="center"/>
                </w:tcPr>
                <w:p>
                  <w:pPr>
                    <w:widowControl/>
                    <w:wordWrap w:val="0"/>
                    <w:jc w:val="center"/>
                    <w:textAlignment w:val="center"/>
                    <w:rPr>
                      <w:rFonts w:ascii="Times New Roman" w:hAnsi="Times New Roman" w:eastAsia="宋体" w:cs="Times New Roman"/>
                      <w:color w:val="auto"/>
                      <w:kern w:val="2"/>
                      <w:sz w:val="21"/>
                      <w:szCs w:val="21"/>
                      <w:lang w:val="en-US" w:eastAsia="zh-CN" w:bidi="ar-SA"/>
                    </w:rPr>
                  </w:pPr>
                  <w:r>
                    <w:rPr>
                      <w:color w:val="auto"/>
                      <w:szCs w:val="21"/>
                    </w:rPr>
                    <w:t>产污系数法</w:t>
                  </w:r>
                </w:p>
              </w:tc>
              <w:tc>
                <w:tcPr>
                  <w:tcW w:w="569" w:type="pct"/>
                  <w:noWrap/>
                  <w:vAlign w:val="center"/>
                </w:tcPr>
                <w:p>
                  <w:pPr>
                    <w:widowControl/>
                    <w:wordWrap w:val="0"/>
                    <w:jc w:val="center"/>
                    <w:textAlignment w:val="center"/>
                    <w:rPr>
                      <w:rFonts w:hint="default" w:ascii="Times New Roman" w:hAnsi="Times New Roman" w:eastAsia="宋体" w:cs="Times New Roman"/>
                      <w:bCs/>
                      <w:color w:val="auto"/>
                      <w:kern w:val="0"/>
                      <w:sz w:val="21"/>
                      <w:szCs w:val="21"/>
                      <w:lang w:val="en-US" w:eastAsia="zh-CN" w:bidi="en-US"/>
                    </w:rPr>
                  </w:pPr>
                  <w:r>
                    <w:rPr>
                      <w:bCs/>
                      <w:color w:val="auto"/>
                      <w:kern w:val="0"/>
                      <w:szCs w:val="21"/>
                      <w:lang w:bidi="en-US"/>
                    </w:rPr>
                    <w:t>7.56</w:t>
                  </w:r>
                </w:p>
              </w:tc>
              <w:tc>
                <w:tcPr>
                  <w:tcW w:w="642" w:type="pct"/>
                  <w:vAlign w:val="center"/>
                </w:tcPr>
                <w:p>
                  <w:pPr>
                    <w:widowControl/>
                    <w:wordWrap w:val="0"/>
                    <w:jc w:val="center"/>
                    <w:textAlignment w:val="center"/>
                    <w:rPr>
                      <w:rFonts w:ascii="Times New Roman" w:hAnsi="Times New Roman" w:eastAsia="宋体" w:cs="Times New Roman"/>
                      <w:bCs/>
                      <w:color w:val="auto"/>
                      <w:kern w:val="0"/>
                      <w:sz w:val="21"/>
                      <w:szCs w:val="21"/>
                      <w:lang w:val="en-US" w:eastAsia="zh-CN" w:bidi="en-US"/>
                    </w:rPr>
                  </w:pPr>
                  <w:r>
                    <w:rPr>
                      <w:bCs/>
                      <w:color w:val="auto"/>
                      <w:kern w:val="0"/>
                      <w:szCs w:val="21"/>
                      <w:lang w:bidi="en-US"/>
                    </w:rPr>
                    <w:t>环卫清运</w:t>
                  </w:r>
                </w:p>
              </w:tc>
              <w:tc>
                <w:tcPr>
                  <w:tcW w:w="496" w:type="pct"/>
                  <w:vAlign w:val="center"/>
                </w:tcPr>
                <w:p>
                  <w:pPr>
                    <w:widowControl/>
                    <w:wordWrap w:val="0"/>
                    <w:jc w:val="center"/>
                    <w:textAlignment w:val="center"/>
                    <w:rPr>
                      <w:rFonts w:hint="default" w:ascii="Times New Roman" w:hAnsi="Times New Roman" w:eastAsia="宋体" w:cs="Times New Roman"/>
                      <w:bCs/>
                      <w:color w:val="auto"/>
                      <w:kern w:val="0"/>
                      <w:sz w:val="21"/>
                      <w:szCs w:val="21"/>
                      <w:lang w:val="en-US" w:eastAsia="zh-CN" w:bidi="en-US"/>
                    </w:rPr>
                  </w:pPr>
                  <w:r>
                    <w:rPr>
                      <w:bCs/>
                      <w:color w:val="auto"/>
                      <w:kern w:val="0"/>
                      <w:szCs w:val="21"/>
                      <w:lang w:bidi="en-US"/>
                    </w:rPr>
                    <w:t>7.56</w:t>
                  </w:r>
                </w:p>
              </w:tc>
              <w:tc>
                <w:tcPr>
                  <w:tcW w:w="267" w:type="pct"/>
                  <w:vAlign w:val="center"/>
                </w:tcPr>
                <w:p>
                  <w:pPr>
                    <w:widowControl/>
                    <w:wordWrap w:val="0"/>
                    <w:jc w:val="center"/>
                    <w:textAlignment w:val="center"/>
                    <w:rPr>
                      <w:rFonts w:hint="eastAsia" w:eastAsia="宋体"/>
                      <w:color w:val="auto"/>
                      <w:szCs w:val="21"/>
                      <w:lang w:eastAsia="zh-CN"/>
                    </w:rPr>
                  </w:pPr>
                  <w:r>
                    <w:rPr>
                      <w:rFonts w:hint="eastAsia"/>
                      <w:color w:val="auto"/>
                      <w:szCs w:val="21"/>
                      <w:lang w:eastAsia="zh-CN"/>
                    </w:rPr>
                    <w:t>环卫部门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1785" w:hRule="atLeast"/>
                <w:jc w:val="center"/>
              </w:trPr>
              <w:tc>
                <w:tcPr>
                  <w:tcW w:w="253" w:type="pct"/>
                  <w:vAlign w:val="center"/>
                </w:tcPr>
                <w:p>
                  <w:pPr>
                    <w:pStyle w:val="13"/>
                    <w:tabs>
                      <w:tab w:val="left" w:pos="2830"/>
                    </w:tabs>
                    <w:jc w:val="center"/>
                    <w:rPr>
                      <w:rFonts w:hint="default" w:ascii="Times New Roman" w:hAnsi="Times New Roman"/>
                      <w:color w:val="auto"/>
                      <w:sz w:val="21"/>
                      <w:szCs w:val="21"/>
                      <w:lang w:val="en-US" w:eastAsia="zh-CN"/>
                    </w:rPr>
                  </w:pPr>
                  <w:r>
                    <w:rPr>
                      <w:rFonts w:hint="eastAsia" w:ascii="Times New Roman" w:hAnsi="Times New Roman"/>
                      <w:color w:val="auto"/>
                      <w:sz w:val="21"/>
                      <w:szCs w:val="21"/>
                      <w:lang w:val="en-US" w:eastAsia="zh-CN"/>
                    </w:rPr>
                    <w:t>16</w:t>
                  </w:r>
                </w:p>
              </w:tc>
              <w:tc>
                <w:tcPr>
                  <w:tcW w:w="516" w:type="pct"/>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szCs w:val="21"/>
                    </w:rPr>
                    <w:t>化粪池污泥</w:t>
                  </w:r>
                </w:p>
              </w:tc>
              <w:tc>
                <w:tcPr>
                  <w:tcW w:w="285" w:type="pct"/>
                  <w:noWrap/>
                  <w:vAlign w:val="center"/>
                </w:tcPr>
                <w:p>
                  <w:pPr>
                    <w:widowControl/>
                    <w:jc w:val="center"/>
                    <w:rPr>
                      <w:rFonts w:ascii="Times New Roman" w:hAnsi="Times New Roman" w:eastAsia="宋体" w:cs="Times New Roman"/>
                      <w:color w:val="auto"/>
                      <w:kern w:val="0"/>
                      <w:sz w:val="21"/>
                      <w:szCs w:val="21"/>
                      <w:lang w:val="en-US" w:eastAsia="zh-CN" w:bidi="ar"/>
                    </w:rPr>
                  </w:pPr>
                  <w:r>
                    <w:rPr>
                      <w:color w:val="auto"/>
                      <w:kern w:val="0"/>
                      <w:szCs w:val="21"/>
                      <w:lang w:bidi="ar"/>
                    </w:rPr>
                    <w:t>一般工业固废</w:t>
                  </w:r>
                </w:p>
              </w:tc>
              <w:tc>
                <w:tcPr>
                  <w:tcW w:w="784" w:type="pct"/>
                  <w:vAlign w:val="center"/>
                </w:tcPr>
                <w:p>
                  <w:pPr>
                    <w:widowControl/>
                    <w:jc w:val="center"/>
                    <w:rPr>
                      <w:rFonts w:hint="eastAsia" w:ascii="Times New Roman" w:hAnsi="Times New Roman" w:eastAsia="宋体" w:cs="Times New Roman"/>
                      <w:color w:val="auto"/>
                      <w:kern w:val="0"/>
                      <w:sz w:val="21"/>
                      <w:szCs w:val="21"/>
                      <w:lang w:val="en-US" w:eastAsia="zh-CN" w:bidi="ar"/>
                    </w:rPr>
                  </w:pPr>
                  <w:r>
                    <w:rPr>
                      <w:color w:val="auto"/>
                      <w:szCs w:val="21"/>
                    </w:rPr>
                    <w:t>900-002-S64</w:t>
                  </w:r>
                </w:p>
              </w:tc>
              <w:tc>
                <w:tcPr>
                  <w:tcW w:w="463" w:type="pct"/>
                  <w:noWrap/>
                  <w:vAlign w:val="center"/>
                </w:tcPr>
                <w:p>
                  <w:pPr>
                    <w:widowControl/>
                    <w:jc w:val="center"/>
                    <w:rPr>
                      <w:rFonts w:hint="eastAsia" w:ascii="Times New Roman" w:hAnsi="Times New Roman" w:eastAsia="宋体" w:cs="Times New Roman"/>
                      <w:color w:val="auto"/>
                      <w:kern w:val="0"/>
                      <w:sz w:val="21"/>
                      <w:szCs w:val="21"/>
                      <w:lang w:val="en-US" w:eastAsia="zh-CN" w:bidi="ar"/>
                    </w:rPr>
                  </w:pPr>
                  <w:r>
                    <w:rPr>
                      <w:rFonts w:hint="eastAsia"/>
                      <w:color w:val="auto"/>
                      <w:szCs w:val="21"/>
                      <w:lang w:val="en-US" w:eastAsia="zh-CN"/>
                    </w:rPr>
                    <w:t>S64</w:t>
                  </w:r>
                </w:p>
              </w:tc>
              <w:tc>
                <w:tcPr>
                  <w:tcW w:w="721" w:type="pct"/>
                  <w:noWrap/>
                  <w:vAlign w:val="center"/>
                </w:tcPr>
                <w:p>
                  <w:pPr>
                    <w:widowControl/>
                    <w:wordWrap w:val="0"/>
                    <w:jc w:val="center"/>
                    <w:textAlignment w:val="center"/>
                    <w:rPr>
                      <w:rFonts w:ascii="Times New Roman" w:hAnsi="Times New Roman" w:eastAsia="宋体" w:cs="Times New Roman"/>
                      <w:color w:val="auto"/>
                      <w:kern w:val="0"/>
                      <w:sz w:val="21"/>
                      <w:szCs w:val="21"/>
                      <w:lang w:val="en-US" w:eastAsia="zh-CN" w:bidi="ar"/>
                    </w:rPr>
                  </w:pPr>
                  <w:r>
                    <w:rPr>
                      <w:color w:val="auto"/>
                      <w:kern w:val="0"/>
                      <w:szCs w:val="21"/>
                      <w:lang w:bidi="ar"/>
                    </w:rPr>
                    <w:t>产污系数法</w:t>
                  </w:r>
                </w:p>
              </w:tc>
              <w:tc>
                <w:tcPr>
                  <w:tcW w:w="569" w:type="pct"/>
                  <w:noWrap/>
                  <w:vAlign w:val="center"/>
                </w:tcPr>
                <w:p>
                  <w:pPr>
                    <w:widowControl/>
                    <w:wordWrap w:val="0"/>
                    <w:jc w:val="center"/>
                    <w:textAlignment w:val="center"/>
                    <w:rPr>
                      <w:rFonts w:ascii="Times New Roman" w:hAnsi="Times New Roman" w:eastAsia="宋体" w:cs="Times New Roman"/>
                      <w:bCs/>
                      <w:color w:val="auto"/>
                      <w:kern w:val="0"/>
                      <w:sz w:val="21"/>
                      <w:szCs w:val="21"/>
                      <w:lang w:val="en-US" w:eastAsia="zh-CN" w:bidi="en-US"/>
                    </w:rPr>
                  </w:pPr>
                  <w:r>
                    <w:rPr>
                      <w:bCs/>
                      <w:color w:val="auto"/>
                      <w:kern w:val="0"/>
                      <w:szCs w:val="21"/>
                      <w:lang w:bidi="en-US"/>
                    </w:rPr>
                    <w:t>0.7</w:t>
                  </w:r>
                </w:p>
              </w:tc>
              <w:tc>
                <w:tcPr>
                  <w:tcW w:w="642" w:type="pct"/>
                  <w:vAlign w:val="center"/>
                </w:tcPr>
                <w:p>
                  <w:pPr>
                    <w:widowControl/>
                    <w:wordWrap w:val="0"/>
                    <w:jc w:val="center"/>
                    <w:textAlignment w:val="center"/>
                    <w:rPr>
                      <w:rFonts w:ascii="Times New Roman" w:hAnsi="Times New Roman" w:eastAsia="宋体" w:cs="Times New Roman"/>
                      <w:bCs/>
                      <w:color w:val="auto"/>
                      <w:kern w:val="0"/>
                      <w:sz w:val="21"/>
                      <w:szCs w:val="21"/>
                      <w:lang w:val="en-US" w:eastAsia="zh-CN" w:bidi="en-US"/>
                    </w:rPr>
                  </w:pPr>
                  <w:r>
                    <w:rPr>
                      <w:bCs/>
                      <w:color w:val="auto"/>
                      <w:kern w:val="0"/>
                      <w:szCs w:val="21"/>
                      <w:lang w:bidi="en-US"/>
                    </w:rPr>
                    <w:t>环卫清运</w:t>
                  </w:r>
                </w:p>
              </w:tc>
              <w:tc>
                <w:tcPr>
                  <w:tcW w:w="496" w:type="pct"/>
                  <w:vAlign w:val="center"/>
                </w:tcPr>
                <w:p>
                  <w:pPr>
                    <w:widowControl/>
                    <w:wordWrap w:val="0"/>
                    <w:jc w:val="center"/>
                    <w:textAlignment w:val="center"/>
                    <w:rPr>
                      <w:rFonts w:ascii="Times New Roman" w:hAnsi="Times New Roman" w:eastAsia="宋体" w:cs="Times New Roman"/>
                      <w:bCs/>
                      <w:color w:val="auto"/>
                      <w:kern w:val="0"/>
                      <w:sz w:val="21"/>
                      <w:szCs w:val="21"/>
                      <w:lang w:val="en-US" w:eastAsia="zh-CN" w:bidi="en-US"/>
                    </w:rPr>
                  </w:pPr>
                  <w:r>
                    <w:rPr>
                      <w:bCs/>
                      <w:color w:val="auto"/>
                      <w:kern w:val="0"/>
                      <w:szCs w:val="21"/>
                      <w:lang w:bidi="en-US"/>
                    </w:rPr>
                    <w:t>0.7</w:t>
                  </w:r>
                </w:p>
              </w:tc>
              <w:tc>
                <w:tcPr>
                  <w:tcW w:w="267" w:type="pct"/>
                  <w:vAlign w:val="center"/>
                </w:tcPr>
                <w:p>
                  <w:pPr>
                    <w:widowControl/>
                    <w:wordWrap w:val="0"/>
                    <w:jc w:val="center"/>
                    <w:textAlignment w:val="center"/>
                    <w:rPr>
                      <w:color w:val="auto"/>
                      <w:szCs w:val="21"/>
                    </w:rPr>
                  </w:pPr>
                  <w:r>
                    <w:rPr>
                      <w:rFonts w:hint="eastAsia"/>
                      <w:color w:val="auto"/>
                      <w:szCs w:val="21"/>
                      <w:lang w:eastAsia="zh-CN"/>
                    </w:rPr>
                    <w:t>环卫部门</w:t>
                  </w:r>
                </w:p>
              </w:tc>
            </w:tr>
          </w:tbl>
          <w:p>
            <w:pPr>
              <w:wordWrap w:val="0"/>
              <w:spacing w:line="360" w:lineRule="auto"/>
              <w:ind w:firstLine="480" w:firstLineChars="200"/>
              <w:rPr>
                <w:color w:val="auto"/>
                <w:sz w:val="24"/>
              </w:rPr>
            </w:pPr>
            <w:r>
              <w:rPr>
                <w:color w:val="auto"/>
                <w:sz w:val="24"/>
              </w:rPr>
              <w:t>根据《建设项目危险废物环境影响评价指南》（环境保护部公告[2017]第43号）要求，需要对本项目产生的物质（除目标产物，即：产品、副产品外），按照《国家危险废物名录（202</w:t>
            </w:r>
            <w:r>
              <w:rPr>
                <w:rFonts w:hint="eastAsia"/>
                <w:color w:val="auto"/>
                <w:sz w:val="24"/>
                <w:lang w:val="en-US" w:eastAsia="zh-CN"/>
              </w:rPr>
              <w:t>5</w:t>
            </w:r>
            <w:r>
              <w:rPr>
                <w:color w:val="auto"/>
                <w:sz w:val="24"/>
              </w:rPr>
              <w:t>年版）》（部令第15号）、《危险废物鉴别标准通则》（GB5085.7-2019）等进行属性判定，并以表格的形式列明危险废物的名称、数量、类别、形态、危险特性和污染防治措施等内容。建设项目危险废物表见表 4.2-2</w:t>
            </w:r>
            <w:r>
              <w:rPr>
                <w:rFonts w:hint="eastAsia"/>
                <w:color w:val="auto"/>
                <w:sz w:val="24"/>
                <w:lang w:val="en-US" w:eastAsia="zh-CN"/>
              </w:rPr>
              <w:t>2</w:t>
            </w:r>
            <w:r>
              <w:rPr>
                <w:color w:val="auto"/>
                <w:sz w:val="24"/>
              </w:rPr>
              <w:t>。</w:t>
            </w:r>
          </w:p>
          <w:p>
            <w:pPr>
              <w:wordWrap w:val="0"/>
              <w:spacing w:line="360" w:lineRule="auto"/>
              <w:ind w:firstLine="482" w:firstLineChars="200"/>
              <w:rPr>
                <w:b/>
                <w:bCs/>
                <w:color w:val="auto"/>
                <w:sz w:val="24"/>
              </w:rPr>
            </w:pPr>
            <w:r>
              <w:rPr>
                <w:b/>
                <w:bCs/>
                <w:color w:val="auto"/>
                <w:sz w:val="24"/>
              </w:rPr>
              <w:t>4.1.2建设项目危险废物汇总</w:t>
            </w:r>
          </w:p>
          <w:p>
            <w:pPr>
              <w:wordWrap w:val="0"/>
              <w:spacing w:line="360" w:lineRule="auto"/>
              <w:ind w:firstLine="480" w:firstLineChars="200"/>
              <w:rPr>
                <w:color w:val="auto"/>
                <w:sz w:val="24"/>
              </w:rPr>
            </w:pPr>
            <w:r>
              <w:rPr>
                <w:color w:val="auto"/>
                <w:sz w:val="24"/>
              </w:rPr>
              <w:t>本项目产生的危险废物汇总情况见下表。</w:t>
            </w:r>
          </w:p>
          <w:p>
            <w:pPr>
              <w:wordWrap w:val="0"/>
              <w:spacing w:line="360" w:lineRule="auto"/>
              <w:jc w:val="center"/>
              <w:rPr>
                <w:b/>
                <w:bCs/>
                <w:color w:val="auto"/>
                <w:szCs w:val="21"/>
              </w:rPr>
            </w:pPr>
            <w:r>
              <w:rPr>
                <w:b/>
                <w:bCs/>
                <w:color w:val="auto"/>
                <w:szCs w:val="21"/>
              </w:rPr>
              <w:t>表4.2-2</w:t>
            </w:r>
            <w:r>
              <w:rPr>
                <w:rFonts w:hint="eastAsia"/>
                <w:b/>
                <w:bCs/>
                <w:color w:val="auto"/>
                <w:szCs w:val="21"/>
                <w:lang w:val="en-US" w:eastAsia="zh-CN"/>
              </w:rPr>
              <w:t>2</w:t>
            </w:r>
            <w:r>
              <w:rPr>
                <w:b/>
                <w:bCs/>
                <w:color w:val="auto"/>
                <w:szCs w:val="21"/>
              </w:rPr>
              <w:t xml:space="preserve"> 本项目危险废物产生情况表    </w:t>
            </w:r>
            <w:r>
              <w:rPr>
                <w:color w:val="auto"/>
                <w:szCs w:val="21"/>
              </w:rPr>
              <w:t xml:space="preserve">   单位</w:t>
            </w:r>
            <w:r>
              <w:rPr>
                <w:color w:val="auto"/>
                <w:kern w:val="0"/>
                <w:szCs w:val="21"/>
                <w:lang w:bidi="ar"/>
              </w:rPr>
              <w:t>（t/a）</w:t>
            </w:r>
          </w:p>
          <w:tbl>
            <w:tblPr>
              <w:tblStyle w:val="20"/>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682"/>
              <w:gridCol w:w="630"/>
              <w:gridCol w:w="855"/>
              <w:gridCol w:w="870"/>
              <w:gridCol w:w="660"/>
              <w:gridCol w:w="570"/>
              <w:gridCol w:w="635"/>
              <w:gridCol w:w="487"/>
              <w:gridCol w:w="900"/>
              <w:gridCol w:w="657"/>
              <w:gridCol w:w="825"/>
              <w:gridCol w:w="64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111" w:hRule="atLeast"/>
                <w:jc w:val="center"/>
              </w:trPr>
              <w:tc>
                <w:tcPr>
                  <w:tcW w:w="682" w:type="dxa"/>
                  <w:vMerge w:val="restart"/>
                  <w:vAlign w:val="center"/>
                </w:tcPr>
                <w:p>
                  <w:pPr>
                    <w:widowControl/>
                    <w:wordWrap w:val="0"/>
                    <w:jc w:val="center"/>
                    <w:textAlignment w:val="center"/>
                    <w:rPr>
                      <w:b/>
                      <w:bCs/>
                      <w:color w:val="auto"/>
                      <w:kern w:val="0"/>
                      <w:szCs w:val="21"/>
                      <w:lang w:bidi="ar"/>
                    </w:rPr>
                  </w:pPr>
                  <w:bookmarkStart w:id="41" w:name="_Hlk153320797"/>
                  <w:r>
                    <w:rPr>
                      <w:b/>
                      <w:bCs/>
                      <w:color w:val="auto"/>
                      <w:kern w:val="0"/>
                      <w:szCs w:val="21"/>
                      <w:lang w:bidi="ar"/>
                    </w:rPr>
                    <w:t>危废名称</w:t>
                  </w:r>
                </w:p>
              </w:tc>
              <w:tc>
                <w:tcPr>
                  <w:tcW w:w="1485" w:type="dxa"/>
                  <w:gridSpan w:val="2"/>
                  <w:vMerge w:val="restart"/>
                  <w:vAlign w:val="center"/>
                </w:tcPr>
                <w:p>
                  <w:pPr>
                    <w:widowControl/>
                    <w:jc w:val="center"/>
                    <w:rPr>
                      <w:b/>
                      <w:bCs/>
                      <w:color w:val="auto"/>
                      <w:kern w:val="0"/>
                      <w:szCs w:val="21"/>
                      <w:lang w:bidi="ar"/>
                    </w:rPr>
                  </w:pPr>
                  <w:r>
                    <w:rPr>
                      <w:b/>
                      <w:bCs/>
                      <w:color w:val="auto"/>
                      <w:kern w:val="0"/>
                      <w:szCs w:val="21"/>
                      <w:lang w:bidi="ar"/>
                    </w:rPr>
                    <w:t>危废类别、代码</w:t>
                  </w:r>
                </w:p>
              </w:tc>
              <w:tc>
                <w:tcPr>
                  <w:tcW w:w="870" w:type="dxa"/>
                  <w:vMerge w:val="restart"/>
                  <w:vAlign w:val="center"/>
                </w:tcPr>
                <w:p>
                  <w:pPr>
                    <w:widowControl/>
                    <w:wordWrap w:val="0"/>
                    <w:jc w:val="center"/>
                    <w:textAlignment w:val="center"/>
                    <w:rPr>
                      <w:b/>
                      <w:bCs/>
                      <w:color w:val="auto"/>
                      <w:kern w:val="0"/>
                      <w:szCs w:val="21"/>
                      <w:lang w:bidi="ar"/>
                    </w:rPr>
                  </w:pPr>
                  <w:r>
                    <w:rPr>
                      <w:b/>
                      <w:bCs/>
                      <w:color w:val="auto"/>
                      <w:kern w:val="0"/>
                      <w:szCs w:val="21"/>
                      <w:lang w:bidi="ar"/>
                    </w:rPr>
                    <w:t>产生量</w:t>
                  </w:r>
                </w:p>
              </w:tc>
              <w:tc>
                <w:tcPr>
                  <w:tcW w:w="660" w:type="dxa"/>
                  <w:vMerge w:val="restart"/>
                  <w:vAlign w:val="center"/>
                </w:tcPr>
                <w:p>
                  <w:pPr>
                    <w:widowControl/>
                    <w:wordWrap w:val="0"/>
                    <w:jc w:val="center"/>
                    <w:textAlignment w:val="center"/>
                    <w:rPr>
                      <w:b/>
                      <w:bCs/>
                      <w:color w:val="auto"/>
                      <w:kern w:val="0"/>
                      <w:szCs w:val="21"/>
                      <w:lang w:bidi="ar"/>
                    </w:rPr>
                  </w:pPr>
                  <w:r>
                    <w:rPr>
                      <w:b/>
                      <w:bCs/>
                      <w:color w:val="auto"/>
                      <w:kern w:val="0"/>
                      <w:szCs w:val="21"/>
                      <w:lang w:bidi="ar"/>
                    </w:rPr>
                    <w:t>产生工序及装置</w:t>
                  </w:r>
                </w:p>
              </w:tc>
              <w:tc>
                <w:tcPr>
                  <w:tcW w:w="570" w:type="dxa"/>
                  <w:vMerge w:val="restart"/>
                  <w:vAlign w:val="center"/>
                </w:tcPr>
                <w:p>
                  <w:pPr>
                    <w:widowControl/>
                    <w:jc w:val="center"/>
                    <w:rPr>
                      <w:b/>
                      <w:bCs/>
                      <w:color w:val="auto"/>
                      <w:kern w:val="0"/>
                      <w:szCs w:val="21"/>
                      <w:lang w:bidi="ar"/>
                    </w:rPr>
                  </w:pPr>
                  <w:r>
                    <w:rPr>
                      <w:b/>
                      <w:bCs/>
                      <w:color w:val="auto"/>
                      <w:kern w:val="0"/>
                      <w:szCs w:val="21"/>
                      <w:lang w:bidi="ar"/>
                    </w:rPr>
                    <w:t>形态</w:t>
                  </w:r>
                </w:p>
              </w:tc>
              <w:tc>
                <w:tcPr>
                  <w:tcW w:w="635" w:type="dxa"/>
                  <w:vMerge w:val="restart"/>
                  <w:vAlign w:val="center"/>
                </w:tcPr>
                <w:p>
                  <w:pPr>
                    <w:widowControl/>
                    <w:jc w:val="center"/>
                    <w:rPr>
                      <w:b/>
                      <w:bCs/>
                      <w:color w:val="auto"/>
                      <w:kern w:val="0"/>
                      <w:szCs w:val="21"/>
                      <w:lang w:bidi="ar"/>
                    </w:rPr>
                  </w:pPr>
                  <w:r>
                    <w:rPr>
                      <w:b/>
                      <w:bCs/>
                      <w:color w:val="auto"/>
                      <w:kern w:val="0"/>
                      <w:szCs w:val="21"/>
                      <w:lang w:bidi="ar"/>
                    </w:rPr>
                    <w:t>有害成分</w:t>
                  </w:r>
                </w:p>
              </w:tc>
              <w:tc>
                <w:tcPr>
                  <w:tcW w:w="487" w:type="dxa"/>
                  <w:vMerge w:val="restart"/>
                  <w:vAlign w:val="center"/>
                </w:tcPr>
                <w:p>
                  <w:pPr>
                    <w:widowControl/>
                    <w:wordWrap w:val="0"/>
                    <w:jc w:val="center"/>
                    <w:textAlignment w:val="center"/>
                    <w:rPr>
                      <w:b/>
                      <w:bCs/>
                      <w:color w:val="auto"/>
                      <w:szCs w:val="21"/>
                    </w:rPr>
                  </w:pPr>
                  <w:r>
                    <w:rPr>
                      <w:b/>
                      <w:bCs/>
                      <w:color w:val="auto"/>
                      <w:kern w:val="0"/>
                      <w:szCs w:val="21"/>
                      <w:lang w:bidi="ar"/>
                    </w:rPr>
                    <w:t>危险特性</w:t>
                  </w:r>
                </w:p>
              </w:tc>
              <w:tc>
                <w:tcPr>
                  <w:tcW w:w="3028" w:type="dxa"/>
                  <w:gridSpan w:val="4"/>
                  <w:vAlign w:val="center"/>
                </w:tcPr>
                <w:p>
                  <w:pPr>
                    <w:widowControl/>
                    <w:jc w:val="center"/>
                    <w:rPr>
                      <w:b/>
                      <w:bCs/>
                      <w:color w:val="auto"/>
                      <w:szCs w:val="21"/>
                    </w:rPr>
                  </w:pPr>
                  <w:r>
                    <w:rPr>
                      <w:b/>
                      <w:bCs/>
                      <w:color w:val="auto"/>
                      <w:kern w:val="0"/>
                      <w:szCs w:val="21"/>
                      <w:lang w:bidi="ar"/>
                    </w:rPr>
                    <w:t>污染防治措施</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593" w:hRule="atLeast"/>
                <w:jc w:val="center"/>
              </w:trPr>
              <w:tc>
                <w:tcPr>
                  <w:tcW w:w="682" w:type="dxa"/>
                  <w:vMerge w:val="continue"/>
                  <w:vAlign w:val="center"/>
                </w:tcPr>
                <w:p>
                  <w:pPr>
                    <w:widowControl/>
                    <w:wordWrap w:val="0"/>
                    <w:jc w:val="center"/>
                    <w:textAlignment w:val="center"/>
                    <w:rPr>
                      <w:color w:val="auto"/>
                      <w:szCs w:val="21"/>
                    </w:rPr>
                  </w:pPr>
                </w:p>
              </w:tc>
              <w:tc>
                <w:tcPr>
                  <w:tcW w:w="1485" w:type="dxa"/>
                  <w:gridSpan w:val="2"/>
                  <w:vMerge w:val="continue"/>
                  <w:vAlign w:val="center"/>
                </w:tcPr>
                <w:p>
                  <w:pPr>
                    <w:widowControl/>
                    <w:wordWrap w:val="0"/>
                    <w:jc w:val="center"/>
                    <w:textAlignment w:val="center"/>
                    <w:rPr>
                      <w:color w:val="auto"/>
                      <w:szCs w:val="21"/>
                    </w:rPr>
                  </w:pPr>
                </w:p>
              </w:tc>
              <w:tc>
                <w:tcPr>
                  <w:tcW w:w="870" w:type="dxa"/>
                  <w:vMerge w:val="continue"/>
                  <w:vAlign w:val="center"/>
                </w:tcPr>
                <w:p>
                  <w:pPr>
                    <w:widowControl/>
                    <w:wordWrap w:val="0"/>
                    <w:jc w:val="center"/>
                    <w:textAlignment w:val="center"/>
                    <w:rPr>
                      <w:color w:val="auto"/>
                      <w:szCs w:val="21"/>
                    </w:rPr>
                  </w:pPr>
                </w:p>
              </w:tc>
              <w:tc>
                <w:tcPr>
                  <w:tcW w:w="660" w:type="dxa"/>
                  <w:vMerge w:val="continue"/>
                  <w:vAlign w:val="center"/>
                </w:tcPr>
                <w:p>
                  <w:pPr>
                    <w:widowControl/>
                    <w:wordWrap w:val="0"/>
                    <w:jc w:val="center"/>
                    <w:textAlignment w:val="center"/>
                    <w:rPr>
                      <w:color w:val="auto"/>
                      <w:szCs w:val="21"/>
                    </w:rPr>
                  </w:pPr>
                </w:p>
              </w:tc>
              <w:tc>
                <w:tcPr>
                  <w:tcW w:w="570" w:type="dxa"/>
                  <w:vMerge w:val="continue"/>
                  <w:vAlign w:val="center"/>
                </w:tcPr>
                <w:p>
                  <w:pPr>
                    <w:widowControl/>
                    <w:wordWrap w:val="0"/>
                    <w:jc w:val="center"/>
                    <w:textAlignment w:val="center"/>
                    <w:rPr>
                      <w:color w:val="auto"/>
                      <w:szCs w:val="21"/>
                    </w:rPr>
                  </w:pPr>
                </w:p>
              </w:tc>
              <w:tc>
                <w:tcPr>
                  <w:tcW w:w="635" w:type="dxa"/>
                  <w:vMerge w:val="continue"/>
                  <w:vAlign w:val="center"/>
                </w:tcPr>
                <w:p>
                  <w:pPr>
                    <w:widowControl/>
                    <w:wordWrap w:val="0"/>
                    <w:jc w:val="center"/>
                    <w:textAlignment w:val="center"/>
                    <w:rPr>
                      <w:color w:val="auto"/>
                      <w:szCs w:val="21"/>
                    </w:rPr>
                  </w:pPr>
                </w:p>
              </w:tc>
              <w:tc>
                <w:tcPr>
                  <w:tcW w:w="487" w:type="dxa"/>
                  <w:vMerge w:val="continue"/>
                  <w:vAlign w:val="center"/>
                </w:tcPr>
                <w:p>
                  <w:pPr>
                    <w:widowControl/>
                    <w:kinsoku w:val="0"/>
                    <w:wordWrap w:val="0"/>
                    <w:autoSpaceDE w:val="0"/>
                    <w:autoSpaceDN w:val="0"/>
                    <w:adjustRightInd w:val="0"/>
                    <w:snapToGrid w:val="0"/>
                    <w:jc w:val="center"/>
                    <w:textAlignment w:val="baseline"/>
                    <w:rPr>
                      <w:color w:val="auto"/>
                      <w:szCs w:val="21"/>
                    </w:rPr>
                  </w:pPr>
                </w:p>
              </w:tc>
              <w:tc>
                <w:tcPr>
                  <w:tcW w:w="900" w:type="dxa"/>
                  <w:vAlign w:val="center"/>
                </w:tcPr>
                <w:p>
                  <w:pPr>
                    <w:widowControl/>
                    <w:jc w:val="center"/>
                    <w:rPr>
                      <w:color w:val="auto"/>
                      <w:szCs w:val="21"/>
                    </w:rPr>
                  </w:pPr>
                  <w:r>
                    <w:rPr>
                      <w:b/>
                      <w:bCs/>
                      <w:color w:val="auto"/>
                      <w:kern w:val="0"/>
                      <w:szCs w:val="21"/>
                      <w:lang w:bidi="ar"/>
                    </w:rPr>
                    <w:t>收集</w:t>
                  </w:r>
                </w:p>
              </w:tc>
              <w:tc>
                <w:tcPr>
                  <w:tcW w:w="657" w:type="dxa"/>
                  <w:vAlign w:val="center"/>
                </w:tcPr>
                <w:p>
                  <w:pPr>
                    <w:widowControl/>
                    <w:jc w:val="center"/>
                    <w:rPr>
                      <w:snapToGrid w:val="0"/>
                      <w:color w:val="auto"/>
                      <w:kern w:val="0"/>
                      <w:szCs w:val="21"/>
                    </w:rPr>
                  </w:pPr>
                  <w:r>
                    <w:rPr>
                      <w:b/>
                      <w:bCs/>
                      <w:color w:val="auto"/>
                      <w:kern w:val="0"/>
                      <w:szCs w:val="21"/>
                      <w:lang w:bidi="ar"/>
                    </w:rPr>
                    <w:t>贮存</w:t>
                  </w:r>
                </w:p>
              </w:tc>
              <w:tc>
                <w:tcPr>
                  <w:tcW w:w="825" w:type="dxa"/>
                  <w:vAlign w:val="center"/>
                </w:tcPr>
                <w:p>
                  <w:pPr>
                    <w:widowControl/>
                    <w:jc w:val="center"/>
                    <w:rPr>
                      <w:snapToGrid w:val="0"/>
                      <w:color w:val="auto"/>
                      <w:kern w:val="0"/>
                      <w:szCs w:val="21"/>
                    </w:rPr>
                  </w:pPr>
                  <w:r>
                    <w:rPr>
                      <w:b/>
                      <w:bCs/>
                      <w:color w:val="auto"/>
                      <w:kern w:val="0"/>
                      <w:szCs w:val="21"/>
                      <w:lang w:bidi="ar"/>
                    </w:rPr>
                    <w:t>运输</w:t>
                  </w:r>
                </w:p>
              </w:tc>
              <w:tc>
                <w:tcPr>
                  <w:tcW w:w="646" w:type="dxa"/>
                  <w:vAlign w:val="center"/>
                </w:tcPr>
                <w:p>
                  <w:pPr>
                    <w:widowControl/>
                    <w:jc w:val="center"/>
                    <w:rPr>
                      <w:color w:val="auto"/>
                      <w:szCs w:val="21"/>
                    </w:rPr>
                  </w:pPr>
                  <w:r>
                    <w:rPr>
                      <w:b/>
                      <w:bCs/>
                      <w:color w:val="auto"/>
                      <w:kern w:val="0"/>
                      <w:szCs w:val="21"/>
                      <w:lang w:bidi="ar"/>
                    </w:rPr>
                    <w:t>利用处置方式</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1" w:hRule="atLeast"/>
                <w:jc w:val="center"/>
              </w:trPr>
              <w:tc>
                <w:tcPr>
                  <w:tcW w:w="682"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废漆渣</w:t>
                  </w:r>
                </w:p>
              </w:tc>
              <w:tc>
                <w:tcPr>
                  <w:tcW w:w="630"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900-252-12</w:t>
                  </w:r>
                </w:p>
              </w:tc>
              <w:tc>
                <w:tcPr>
                  <w:tcW w:w="855"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HW12</w:t>
                  </w:r>
                </w:p>
              </w:tc>
              <w:tc>
                <w:tcPr>
                  <w:tcW w:w="870" w:type="dxa"/>
                  <w:vAlign w:val="center"/>
                </w:tcPr>
                <w:p>
                  <w:pPr>
                    <w:pStyle w:val="13"/>
                    <w:tabs>
                      <w:tab w:val="left" w:pos="2830"/>
                    </w:tabs>
                    <w:jc w:val="center"/>
                    <w:rPr>
                      <w:rFonts w:hint="default"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2.69</w:t>
                  </w:r>
                </w:p>
              </w:tc>
              <w:tc>
                <w:tcPr>
                  <w:tcW w:w="660"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喷漆</w:t>
                  </w:r>
                </w:p>
              </w:tc>
              <w:tc>
                <w:tcPr>
                  <w:tcW w:w="570"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固态</w:t>
                  </w:r>
                </w:p>
              </w:tc>
              <w:tc>
                <w:tcPr>
                  <w:tcW w:w="635" w:type="dxa"/>
                  <w:vMerge w:val="restar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漆</w:t>
                  </w:r>
                </w:p>
              </w:tc>
              <w:tc>
                <w:tcPr>
                  <w:tcW w:w="487" w:type="dxa"/>
                  <w:vAlign w:val="center"/>
                </w:tcPr>
                <w:p>
                  <w:pPr>
                    <w:pStyle w:val="13"/>
                    <w:tabs>
                      <w:tab w:val="left" w:pos="2830"/>
                    </w:tabs>
                    <w:jc w:val="center"/>
                    <w:rPr>
                      <w:rFonts w:ascii="Times New Roman" w:hAnsi="Times New Roman"/>
                      <w:snapToGrid w:val="0"/>
                      <w:color w:val="auto"/>
                      <w:spacing w:val="-2"/>
                      <w:sz w:val="21"/>
                      <w:szCs w:val="21"/>
                    </w:rPr>
                  </w:pPr>
                  <w:r>
                    <w:rPr>
                      <w:rFonts w:ascii="Times New Roman" w:hAnsi="Times New Roman"/>
                      <w:color w:val="auto"/>
                      <w:sz w:val="21"/>
                      <w:szCs w:val="21"/>
                    </w:rPr>
                    <w:t>T，I</w:t>
                  </w:r>
                </w:p>
              </w:tc>
              <w:tc>
                <w:tcPr>
                  <w:tcW w:w="900" w:type="dxa"/>
                  <w:vMerge w:val="restar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分类收集、制定操作规程、划定作业区域、桶装、标签贴示等</w:t>
                  </w:r>
                </w:p>
              </w:tc>
              <w:tc>
                <w:tcPr>
                  <w:tcW w:w="657" w:type="dxa"/>
                  <w:vMerge w:val="restar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袋装/桶装密闭储存，“四防”、警示标志、包装相容等</w:t>
                  </w:r>
                </w:p>
              </w:tc>
              <w:tc>
                <w:tcPr>
                  <w:tcW w:w="825" w:type="dxa"/>
                  <w:vMerge w:val="restar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由持有危险废物经营许可证、持有危险货物运输资质的单位实施，密闭遮盖运输</w:t>
                  </w:r>
                </w:p>
              </w:tc>
              <w:tc>
                <w:tcPr>
                  <w:tcW w:w="646" w:type="dxa"/>
                  <w:vMerge w:val="restar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委托有资质单位安全处置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644" w:hRule="atLeast"/>
                <w:jc w:val="center"/>
              </w:trPr>
              <w:tc>
                <w:tcPr>
                  <w:tcW w:w="682" w:type="dxa"/>
                  <w:vAlign w:val="center"/>
                </w:tcPr>
                <w:p>
                  <w:pPr>
                    <w:pStyle w:val="13"/>
                    <w:tabs>
                      <w:tab w:val="left" w:pos="2830"/>
                    </w:tabs>
                    <w:jc w:val="center"/>
                    <w:rPr>
                      <w:rFonts w:ascii="Times New Roman" w:hAnsi="Times New Roman"/>
                      <w:snapToGrid w:val="0"/>
                      <w:color w:val="auto"/>
                      <w:spacing w:val="-2"/>
                      <w:sz w:val="21"/>
                      <w:szCs w:val="21"/>
                    </w:rPr>
                  </w:pPr>
                  <w:r>
                    <w:rPr>
                      <w:rFonts w:ascii="Times New Roman" w:hAnsi="Times New Roman"/>
                      <w:color w:val="auto"/>
                      <w:sz w:val="21"/>
                      <w:szCs w:val="21"/>
                    </w:rPr>
                    <w:t>废漆桶</w:t>
                  </w:r>
                </w:p>
              </w:tc>
              <w:tc>
                <w:tcPr>
                  <w:tcW w:w="630"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900-041-49</w:t>
                  </w:r>
                </w:p>
              </w:tc>
              <w:tc>
                <w:tcPr>
                  <w:tcW w:w="855"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HW49</w:t>
                  </w:r>
                </w:p>
              </w:tc>
              <w:tc>
                <w:tcPr>
                  <w:tcW w:w="870"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0.</w:t>
                  </w:r>
                  <w:r>
                    <w:rPr>
                      <w:rFonts w:hint="eastAsia" w:ascii="Times New Roman" w:hAnsi="Times New Roman"/>
                      <w:color w:val="auto"/>
                      <w:sz w:val="21"/>
                      <w:szCs w:val="21"/>
                      <w:lang w:val="en-US" w:eastAsia="zh-CN"/>
                    </w:rPr>
                    <w:t>4</w:t>
                  </w:r>
                </w:p>
              </w:tc>
              <w:tc>
                <w:tcPr>
                  <w:tcW w:w="660"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包装</w:t>
                  </w:r>
                </w:p>
              </w:tc>
              <w:tc>
                <w:tcPr>
                  <w:tcW w:w="570"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固态</w:t>
                  </w:r>
                </w:p>
              </w:tc>
              <w:tc>
                <w:tcPr>
                  <w:tcW w:w="635" w:type="dxa"/>
                  <w:vMerge w:val="continue"/>
                  <w:vAlign w:val="center"/>
                </w:tcPr>
                <w:p>
                  <w:pPr>
                    <w:widowControl/>
                    <w:wordWrap w:val="0"/>
                    <w:jc w:val="center"/>
                    <w:textAlignment w:val="center"/>
                    <w:rPr>
                      <w:color w:val="auto"/>
                      <w:szCs w:val="21"/>
                    </w:rPr>
                  </w:pPr>
                </w:p>
              </w:tc>
              <w:tc>
                <w:tcPr>
                  <w:tcW w:w="487"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T/In</w:t>
                  </w:r>
                </w:p>
              </w:tc>
              <w:tc>
                <w:tcPr>
                  <w:tcW w:w="900" w:type="dxa"/>
                  <w:vMerge w:val="continue"/>
                  <w:vAlign w:val="center"/>
                </w:tcPr>
                <w:p>
                  <w:pPr>
                    <w:widowControl/>
                    <w:wordWrap w:val="0"/>
                    <w:jc w:val="center"/>
                    <w:textAlignment w:val="center"/>
                    <w:rPr>
                      <w:color w:val="auto"/>
                      <w:szCs w:val="21"/>
                    </w:rPr>
                  </w:pPr>
                </w:p>
              </w:tc>
              <w:tc>
                <w:tcPr>
                  <w:tcW w:w="657" w:type="dxa"/>
                  <w:vMerge w:val="continue"/>
                  <w:vAlign w:val="center"/>
                </w:tcPr>
                <w:p>
                  <w:pPr>
                    <w:widowControl/>
                    <w:kinsoku w:val="0"/>
                    <w:wordWrap w:val="0"/>
                    <w:autoSpaceDE w:val="0"/>
                    <w:autoSpaceDN w:val="0"/>
                    <w:adjustRightInd w:val="0"/>
                    <w:snapToGrid w:val="0"/>
                    <w:jc w:val="center"/>
                    <w:textAlignment w:val="baseline"/>
                    <w:rPr>
                      <w:color w:val="auto"/>
                      <w:szCs w:val="21"/>
                    </w:rPr>
                  </w:pPr>
                </w:p>
              </w:tc>
              <w:tc>
                <w:tcPr>
                  <w:tcW w:w="825" w:type="dxa"/>
                  <w:vMerge w:val="continue"/>
                  <w:vAlign w:val="center"/>
                </w:tcPr>
                <w:p>
                  <w:pPr>
                    <w:widowControl/>
                    <w:kinsoku w:val="0"/>
                    <w:wordWrap w:val="0"/>
                    <w:autoSpaceDE w:val="0"/>
                    <w:autoSpaceDN w:val="0"/>
                    <w:adjustRightInd w:val="0"/>
                    <w:snapToGrid w:val="0"/>
                    <w:jc w:val="center"/>
                    <w:textAlignment w:val="baseline"/>
                    <w:rPr>
                      <w:color w:val="auto"/>
                      <w:szCs w:val="21"/>
                    </w:rPr>
                  </w:pPr>
                </w:p>
              </w:tc>
              <w:tc>
                <w:tcPr>
                  <w:tcW w:w="646" w:type="dxa"/>
                  <w:vMerge w:val="continue"/>
                  <w:vAlign w:val="center"/>
                </w:tcPr>
                <w:p>
                  <w:pPr>
                    <w:wordWrap w:val="0"/>
                    <w:jc w:val="center"/>
                    <w:textAlignment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682"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废油桶</w:t>
                  </w:r>
                </w:p>
              </w:tc>
              <w:tc>
                <w:tcPr>
                  <w:tcW w:w="630"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900-249-08</w:t>
                  </w:r>
                </w:p>
              </w:tc>
              <w:tc>
                <w:tcPr>
                  <w:tcW w:w="855"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HW08</w:t>
                  </w:r>
                </w:p>
              </w:tc>
              <w:tc>
                <w:tcPr>
                  <w:tcW w:w="870"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0.2</w:t>
                  </w:r>
                </w:p>
              </w:tc>
              <w:tc>
                <w:tcPr>
                  <w:tcW w:w="660"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原辅料</w:t>
                  </w:r>
                </w:p>
              </w:tc>
              <w:tc>
                <w:tcPr>
                  <w:tcW w:w="570"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固态</w:t>
                  </w:r>
                </w:p>
              </w:tc>
              <w:tc>
                <w:tcPr>
                  <w:tcW w:w="635"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有机物</w:t>
                  </w:r>
                </w:p>
              </w:tc>
              <w:tc>
                <w:tcPr>
                  <w:tcW w:w="487"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T，In</w:t>
                  </w:r>
                </w:p>
              </w:tc>
              <w:tc>
                <w:tcPr>
                  <w:tcW w:w="900" w:type="dxa"/>
                  <w:vMerge w:val="continue"/>
                  <w:vAlign w:val="center"/>
                </w:tcPr>
                <w:p>
                  <w:pPr>
                    <w:widowControl/>
                    <w:wordWrap w:val="0"/>
                    <w:jc w:val="center"/>
                    <w:textAlignment w:val="center"/>
                    <w:rPr>
                      <w:color w:val="auto"/>
                      <w:szCs w:val="21"/>
                    </w:rPr>
                  </w:pPr>
                </w:p>
              </w:tc>
              <w:tc>
                <w:tcPr>
                  <w:tcW w:w="657" w:type="dxa"/>
                  <w:vMerge w:val="continue"/>
                  <w:vAlign w:val="center"/>
                </w:tcPr>
                <w:p>
                  <w:pPr>
                    <w:widowControl/>
                    <w:wordWrap w:val="0"/>
                    <w:jc w:val="center"/>
                    <w:textAlignment w:val="center"/>
                    <w:rPr>
                      <w:color w:val="auto"/>
                      <w:szCs w:val="21"/>
                    </w:rPr>
                  </w:pPr>
                </w:p>
              </w:tc>
              <w:tc>
                <w:tcPr>
                  <w:tcW w:w="825" w:type="dxa"/>
                  <w:vMerge w:val="continue"/>
                  <w:vAlign w:val="center"/>
                </w:tcPr>
                <w:p>
                  <w:pPr>
                    <w:widowControl/>
                    <w:wordWrap w:val="0"/>
                    <w:jc w:val="center"/>
                    <w:textAlignment w:val="center"/>
                    <w:rPr>
                      <w:color w:val="auto"/>
                      <w:szCs w:val="21"/>
                    </w:rPr>
                  </w:pPr>
                </w:p>
              </w:tc>
              <w:tc>
                <w:tcPr>
                  <w:tcW w:w="646" w:type="dxa"/>
                  <w:vMerge w:val="continue"/>
                  <w:vAlign w:val="center"/>
                </w:tcPr>
                <w:p>
                  <w:pPr>
                    <w:wordWrap w:val="0"/>
                    <w:jc w:val="center"/>
                    <w:textAlignment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599" w:hRule="atLeast"/>
                <w:jc w:val="center"/>
              </w:trPr>
              <w:tc>
                <w:tcPr>
                  <w:tcW w:w="682"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废活性炭</w:t>
                  </w:r>
                </w:p>
              </w:tc>
              <w:tc>
                <w:tcPr>
                  <w:tcW w:w="630"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900-039-49</w:t>
                  </w:r>
                </w:p>
              </w:tc>
              <w:tc>
                <w:tcPr>
                  <w:tcW w:w="855"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HW49</w:t>
                  </w:r>
                </w:p>
              </w:tc>
              <w:tc>
                <w:tcPr>
                  <w:tcW w:w="870" w:type="dxa"/>
                  <w:vAlign w:val="center"/>
                </w:tcPr>
                <w:p>
                  <w:pPr>
                    <w:pStyle w:val="13"/>
                    <w:tabs>
                      <w:tab w:val="left" w:pos="2830"/>
                    </w:tabs>
                    <w:jc w:val="center"/>
                    <w:rPr>
                      <w:rFonts w:hint="default"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2.5955</w:t>
                  </w:r>
                </w:p>
              </w:tc>
              <w:tc>
                <w:tcPr>
                  <w:tcW w:w="660"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废气治理</w:t>
                  </w:r>
                </w:p>
              </w:tc>
              <w:tc>
                <w:tcPr>
                  <w:tcW w:w="570"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固态</w:t>
                  </w:r>
                </w:p>
              </w:tc>
              <w:tc>
                <w:tcPr>
                  <w:tcW w:w="635"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矿物油</w:t>
                  </w:r>
                </w:p>
              </w:tc>
              <w:tc>
                <w:tcPr>
                  <w:tcW w:w="487" w:type="dxa"/>
                  <w:vAlign w:val="center"/>
                </w:tcPr>
                <w:p>
                  <w:pPr>
                    <w:pStyle w:val="13"/>
                    <w:tabs>
                      <w:tab w:val="left" w:pos="2830"/>
                    </w:tabs>
                    <w:jc w:val="center"/>
                    <w:rPr>
                      <w:rFonts w:ascii="Times New Roman" w:hAnsi="Times New Roman"/>
                      <w:snapToGrid w:val="0"/>
                      <w:color w:val="auto"/>
                      <w:spacing w:val="-2"/>
                      <w:sz w:val="21"/>
                      <w:szCs w:val="21"/>
                    </w:rPr>
                  </w:pPr>
                  <w:r>
                    <w:rPr>
                      <w:rFonts w:ascii="Times New Roman" w:hAnsi="Times New Roman"/>
                      <w:color w:val="auto"/>
                      <w:sz w:val="21"/>
                      <w:szCs w:val="21"/>
                    </w:rPr>
                    <w:t>T/In</w:t>
                  </w:r>
                </w:p>
              </w:tc>
              <w:tc>
                <w:tcPr>
                  <w:tcW w:w="900" w:type="dxa"/>
                  <w:vMerge w:val="continue"/>
                  <w:vAlign w:val="center"/>
                </w:tcPr>
                <w:p>
                  <w:pPr>
                    <w:widowControl/>
                    <w:wordWrap w:val="0"/>
                    <w:jc w:val="center"/>
                    <w:textAlignment w:val="center"/>
                    <w:rPr>
                      <w:color w:val="auto"/>
                      <w:szCs w:val="21"/>
                    </w:rPr>
                  </w:pPr>
                </w:p>
              </w:tc>
              <w:tc>
                <w:tcPr>
                  <w:tcW w:w="657" w:type="dxa"/>
                  <w:vMerge w:val="continue"/>
                  <w:vAlign w:val="center"/>
                </w:tcPr>
                <w:p>
                  <w:pPr>
                    <w:widowControl/>
                    <w:kinsoku w:val="0"/>
                    <w:wordWrap w:val="0"/>
                    <w:autoSpaceDE w:val="0"/>
                    <w:autoSpaceDN w:val="0"/>
                    <w:adjustRightInd w:val="0"/>
                    <w:snapToGrid w:val="0"/>
                    <w:jc w:val="center"/>
                    <w:textAlignment w:val="baseline"/>
                    <w:rPr>
                      <w:color w:val="auto"/>
                      <w:szCs w:val="21"/>
                    </w:rPr>
                  </w:pPr>
                </w:p>
              </w:tc>
              <w:tc>
                <w:tcPr>
                  <w:tcW w:w="825" w:type="dxa"/>
                  <w:vMerge w:val="continue"/>
                  <w:vAlign w:val="center"/>
                </w:tcPr>
                <w:p>
                  <w:pPr>
                    <w:widowControl/>
                    <w:kinsoku w:val="0"/>
                    <w:wordWrap w:val="0"/>
                    <w:autoSpaceDE w:val="0"/>
                    <w:autoSpaceDN w:val="0"/>
                    <w:adjustRightInd w:val="0"/>
                    <w:snapToGrid w:val="0"/>
                    <w:jc w:val="center"/>
                    <w:textAlignment w:val="baseline"/>
                    <w:rPr>
                      <w:color w:val="auto"/>
                      <w:szCs w:val="21"/>
                    </w:rPr>
                  </w:pPr>
                </w:p>
              </w:tc>
              <w:tc>
                <w:tcPr>
                  <w:tcW w:w="646" w:type="dxa"/>
                  <w:vMerge w:val="continue"/>
                  <w:vAlign w:val="center"/>
                </w:tcPr>
                <w:p>
                  <w:pPr>
                    <w:wordWrap w:val="0"/>
                    <w:jc w:val="center"/>
                    <w:textAlignment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825" w:hRule="atLeast"/>
                <w:jc w:val="center"/>
              </w:trPr>
              <w:tc>
                <w:tcPr>
                  <w:tcW w:w="682"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废润滑油</w:t>
                  </w:r>
                </w:p>
              </w:tc>
              <w:tc>
                <w:tcPr>
                  <w:tcW w:w="630"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900-214-08</w:t>
                  </w:r>
                </w:p>
              </w:tc>
              <w:tc>
                <w:tcPr>
                  <w:tcW w:w="855"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HW08</w:t>
                  </w:r>
                </w:p>
              </w:tc>
              <w:tc>
                <w:tcPr>
                  <w:tcW w:w="870"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0.005</w:t>
                  </w:r>
                </w:p>
              </w:tc>
              <w:tc>
                <w:tcPr>
                  <w:tcW w:w="660"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机器维修</w:t>
                  </w:r>
                </w:p>
              </w:tc>
              <w:tc>
                <w:tcPr>
                  <w:tcW w:w="570"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液态</w:t>
                  </w:r>
                </w:p>
              </w:tc>
              <w:tc>
                <w:tcPr>
                  <w:tcW w:w="635"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活性炭</w:t>
                  </w:r>
                </w:p>
              </w:tc>
              <w:tc>
                <w:tcPr>
                  <w:tcW w:w="487"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T，In</w:t>
                  </w:r>
                </w:p>
              </w:tc>
              <w:tc>
                <w:tcPr>
                  <w:tcW w:w="900" w:type="dxa"/>
                  <w:vMerge w:val="continue"/>
                  <w:vAlign w:val="center"/>
                </w:tcPr>
                <w:p>
                  <w:pPr>
                    <w:widowControl/>
                    <w:wordWrap w:val="0"/>
                    <w:jc w:val="center"/>
                    <w:textAlignment w:val="center"/>
                    <w:rPr>
                      <w:color w:val="auto"/>
                      <w:szCs w:val="21"/>
                    </w:rPr>
                  </w:pPr>
                </w:p>
              </w:tc>
              <w:tc>
                <w:tcPr>
                  <w:tcW w:w="657" w:type="dxa"/>
                  <w:vMerge w:val="continue"/>
                  <w:vAlign w:val="center"/>
                </w:tcPr>
                <w:p>
                  <w:pPr>
                    <w:widowControl/>
                    <w:kinsoku w:val="0"/>
                    <w:wordWrap w:val="0"/>
                    <w:autoSpaceDE w:val="0"/>
                    <w:autoSpaceDN w:val="0"/>
                    <w:adjustRightInd w:val="0"/>
                    <w:snapToGrid w:val="0"/>
                    <w:jc w:val="center"/>
                    <w:textAlignment w:val="baseline"/>
                    <w:rPr>
                      <w:snapToGrid w:val="0"/>
                      <w:color w:val="auto"/>
                      <w:kern w:val="0"/>
                      <w:szCs w:val="21"/>
                    </w:rPr>
                  </w:pPr>
                </w:p>
              </w:tc>
              <w:tc>
                <w:tcPr>
                  <w:tcW w:w="825" w:type="dxa"/>
                  <w:vMerge w:val="continue"/>
                  <w:vAlign w:val="center"/>
                </w:tcPr>
                <w:p>
                  <w:pPr>
                    <w:widowControl/>
                    <w:kinsoku w:val="0"/>
                    <w:wordWrap w:val="0"/>
                    <w:autoSpaceDE w:val="0"/>
                    <w:autoSpaceDN w:val="0"/>
                    <w:adjustRightInd w:val="0"/>
                    <w:snapToGrid w:val="0"/>
                    <w:jc w:val="center"/>
                    <w:textAlignment w:val="baseline"/>
                    <w:rPr>
                      <w:snapToGrid w:val="0"/>
                      <w:color w:val="auto"/>
                      <w:kern w:val="0"/>
                      <w:szCs w:val="21"/>
                    </w:rPr>
                  </w:pPr>
                </w:p>
              </w:tc>
              <w:tc>
                <w:tcPr>
                  <w:tcW w:w="646" w:type="dxa"/>
                  <w:vMerge w:val="continue"/>
                  <w:vAlign w:val="center"/>
                </w:tcPr>
                <w:p>
                  <w:pPr>
                    <w:wordWrap w:val="0"/>
                    <w:jc w:val="center"/>
                    <w:textAlignment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4" w:hRule="atLeast"/>
                <w:jc w:val="center"/>
              </w:trPr>
              <w:tc>
                <w:tcPr>
                  <w:tcW w:w="682"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废过滤棉</w:t>
                  </w:r>
                </w:p>
              </w:tc>
              <w:tc>
                <w:tcPr>
                  <w:tcW w:w="630"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900-041-49</w:t>
                  </w:r>
                </w:p>
              </w:tc>
              <w:tc>
                <w:tcPr>
                  <w:tcW w:w="855"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HW49</w:t>
                  </w:r>
                </w:p>
              </w:tc>
              <w:tc>
                <w:tcPr>
                  <w:tcW w:w="870" w:type="dxa"/>
                  <w:vAlign w:val="center"/>
                </w:tcPr>
                <w:p>
                  <w:pPr>
                    <w:pStyle w:val="13"/>
                    <w:tabs>
                      <w:tab w:val="left" w:pos="2830"/>
                    </w:tabs>
                    <w:jc w:val="center"/>
                    <w:rPr>
                      <w:rFonts w:hint="default"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6.099</w:t>
                  </w:r>
                </w:p>
              </w:tc>
              <w:tc>
                <w:tcPr>
                  <w:tcW w:w="660"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废气治理</w:t>
                  </w:r>
                </w:p>
              </w:tc>
              <w:tc>
                <w:tcPr>
                  <w:tcW w:w="570"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固态</w:t>
                  </w:r>
                </w:p>
              </w:tc>
              <w:tc>
                <w:tcPr>
                  <w:tcW w:w="635"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矿物油</w:t>
                  </w:r>
                </w:p>
              </w:tc>
              <w:tc>
                <w:tcPr>
                  <w:tcW w:w="487"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T/In</w:t>
                  </w:r>
                </w:p>
              </w:tc>
              <w:tc>
                <w:tcPr>
                  <w:tcW w:w="900" w:type="dxa"/>
                  <w:vMerge w:val="continue"/>
                  <w:vAlign w:val="center"/>
                </w:tcPr>
                <w:p>
                  <w:pPr>
                    <w:widowControl/>
                    <w:wordWrap w:val="0"/>
                    <w:jc w:val="center"/>
                    <w:textAlignment w:val="center"/>
                    <w:rPr>
                      <w:color w:val="auto"/>
                      <w:szCs w:val="21"/>
                    </w:rPr>
                  </w:pPr>
                </w:p>
              </w:tc>
              <w:tc>
                <w:tcPr>
                  <w:tcW w:w="657" w:type="dxa"/>
                  <w:vMerge w:val="continue"/>
                  <w:vAlign w:val="center"/>
                </w:tcPr>
                <w:p>
                  <w:pPr>
                    <w:widowControl/>
                    <w:wordWrap w:val="0"/>
                    <w:jc w:val="center"/>
                    <w:textAlignment w:val="center"/>
                    <w:rPr>
                      <w:color w:val="auto"/>
                      <w:szCs w:val="21"/>
                    </w:rPr>
                  </w:pPr>
                </w:p>
              </w:tc>
              <w:tc>
                <w:tcPr>
                  <w:tcW w:w="825" w:type="dxa"/>
                  <w:vMerge w:val="continue"/>
                  <w:vAlign w:val="center"/>
                </w:tcPr>
                <w:p>
                  <w:pPr>
                    <w:widowControl/>
                    <w:wordWrap w:val="0"/>
                    <w:jc w:val="center"/>
                    <w:textAlignment w:val="center"/>
                    <w:rPr>
                      <w:color w:val="auto"/>
                      <w:szCs w:val="21"/>
                    </w:rPr>
                  </w:pPr>
                </w:p>
              </w:tc>
              <w:tc>
                <w:tcPr>
                  <w:tcW w:w="646" w:type="dxa"/>
                  <w:vMerge w:val="continue"/>
                  <w:vAlign w:val="center"/>
                </w:tcPr>
                <w:p>
                  <w:pPr>
                    <w:wordWrap w:val="0"/>
                    <w:jc w:val="center"/>
                    <w:textAlignment w:val="center"/>
                    <w:rPr>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4" w:hRule="atLeast"/>
                <w:jc w:val="center"/>
              </w:trPr>
              <w:tc>
                <w:tcPr>
                  <w:tcW w:w="682" w:type="dxa"/>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eastAsia="宋体" w:cs="Times New Roman"/>
                      <w:color w:val="auto"/>
                      <w:kern w:val="0"/>
                      <w:sz w:val="21"/>
                      <w:szCs w:val="21"/>
                      <w:lang w:bidi="en-US"/>
                    </w:rPr>
                    <w:t>废喷枪枪头</w:t>
                  </w:r>
                </w:p>
              </w:tc>
              <w:tc>
                <w:tcPr>
                  <w:tcW w:w="630" w:type="dxa"/>
                  <w:vAlign w:val="center"/>
                </w:tcPr>
                <w:p>
                  <w:pPr>
                    <w:widowControl/>
                    <w:jc w:val="center"/>
                    <w:textAlignment w:val="center"/>
                    <w:rPr>
                      <w:rFonts w:ascii="Times New Roman" w:hAnsi="Times New Roman" w:eastAsia="宋体" w:cs="Times New Roman"/>
                      <w:color w:val="auto"/>
                      <w:kern w:val="0"/>
                      <w:sz w:val="21"/>
                      <w:szCs w:val="21"/>
                      <w:lang w:val="en-US" w:eastAsia="zh-CN" w:bidi="en-US"/>
                    </w:rPr>
                  </w:pPr>
                  <w:r>
                    <w:rPr>
                      <w:rFonts w:hint="eastAsia" w:ascii="Times New Roman" w:hAnsi="Times New Roman" w:eastAsia="宋体" w:cs="Times New Roman"/>
                      <w:color w:val="auto"/>
                      <w:kern w:val="0"/>
                      <w:sz w:val="21"/>
                      <w:szCs w:val="21"/>
                      <w:lang w:bidi="en-US"/>
                    </w:rPr>
                    <w:t>900-041-49</w:t>
                  </w:r>
                </w:p>
              </w:tc>
              <w:tc>
                <w:tcPr>
                  <w:tcW w:w="855"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HW49</w:t>
                  </w:r>
                </w:p>
              </w:tc>
              <w:tc>
                <w:tcPr>
                  <w:tcW w:w="870" w:type="dxa"/>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eastAsia="宋体" w:cs="Times New Roman"/>
                      <w:color w:val="auto"/>
                      <w:kern w:val="0"/>
                      <w:sz w:val="21"/>
                      <w:szCs w:val="21"/>
                      <w:lang w:bidi="en-US"/>
                    </w:rPr>
                    <w:t>0.0006</w:t>
                  </w:r>
                </w:p>
              </w:tc>
              <w:tc>
                <w:tcPr>
                  <w:tcW w:w="660" w:type="dxa"/>
                  <w:vAlign w:val="center"/>
                </w:tcPr>
                <w:p>
                  <w:pPr>
                    <w:pStyle w:val="13"/>
                    <w:tabs>
                      <w:tab w:val="left" w:pos="2830"/>
                    </w:tabs>
                    <w:jc w:val="center"/>
                    <w:rPr>
                      <w:rFonts w:ascii="Times New Roman" w:hAnsi="Times New Roman"/>
                      <w:color w:val="auto"/>
                      <w:sz w:val="21"/>
                      <w:szCs w:val="21"/>
                    </w:rPr>
                  </w:pPr>
                  <w:r>
                    <w:rPr>
                      <w:rFonts w:hint="eastAsia" w:hAnsiTheme="minorEastAsia" w:eastAsiaTheme="minorEastAsia"/>
                      <w:color w:val="auto"/>
                      <w:sz w:val="21"/>
                      <w:szCs w:val="21"/>
                    </w:rPr>
                    <w:t>喷漆</w:t>
                  </w:r>
                </w:p>
              </w:tc>
              <w:tc>
                <w:tcPr>
                  <w:tcW w:w="570"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固态</w:t>
                  </w:r>
                </w:p>
              </w:tc>
              <w:tc>
                <w:tcPr>
                  <w:tcW w:w="635" w:type="dxa"/>
                  <w:vAlign w:val="center"/>
                </w:tcPr>
                <w:p>
                  <w:pPr>
                    <w:pStyle w:val="13"/>
                    <w:tabs>
                      <w:tab w:val="left" w:pos="2830"/>
                    </w:tabs>
                    <w:jc w:val="center"/>
                    <w:rPr>
                      <w:rFonts w:hint="eastAsia" w:ascii="Times New Roman" w:hAnsi="Times New Roman" w:eastAsia="宋体"/>
                      <w:color w:val="auto"/>
                      <w:sz w:val="21"/>
                      <w:szCs w:val="21"/>
                      <w:lang w:eastAsia="zh-CN"/>
                    </w:rPr>
                  </w:pPr>
                  <w:r>
                    <w:rPr>
                      <w:rFonts w:hint="eastAsia" w:ascii="Times New Roman" w:hAnsi="Times New Roman"/>
                      <w:color w:val="auto"/>
                      <w:sz w:val="21"/>
                      <w:szCs w:val="21"/>
                      <w:lang w:eastAsia="zh-CN"/>
                    </w:rPr>
                    <w:t>有机物</w:t>
                  </w:r>
                </w:p>
              </w:tc>
              <w:tc>
                <w:tcPr>
                  <w:tcW w:w="487" w:type="dxa"/>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固态</w:t>
                  </w:r>
                </w:p>
              </w:tc>
              <w:tc>
                <w:tcPr>
                  <w:tcW w:w="900" w:type="dxa"/>
                  <w:vMerge w:val="continue"/>
                  <w:vAlign w:val="center"/>
                </w:tcPr>
                <w:p>
                  <w:pPr>
                    <w:widowControl/>
                    <w:wordWrap w:val="0"/>
                    <w:jc w:val="center"/>
                    <w:textAlignment w:val="center"/>
                    <w:rPr>
                      <w:color w:val="auto"/>
                      <w:szCs w:val="21"/>
                    </w:rPr>
                  </w:pPr>
                </w:p>
              </w:tc>
              <w:tc>
                <w:tcPr>
                  <w:tcW w:w="657" w:type="dxa"/>
                  <w:vMerge w:val="continue"/>
                  <w:vAlign w:val="center"/>
                </w:tcPr>
                <w:p>
                  <w:pPr>
                    <w:widowControl/>
                    <w:wordWrap w:val="0"/>
                    <w:jc w:val="center"/>
                    <w:textAlignment w:val="center"/>
                    <w:rPr>
                      <w:color w:val="auto"/>
                      <w:szCs w:val="21"/>
                    </w:rPr>
                  </w:pPr>
                </w:p>
              </w:tc>
              <w:tc>
                <w:tcPr>
                  <w:tcW w:w="825" w:type="dxa"/>
                  <w:vMerge w:val="continue"/>
                  <w:vAlign w:val="center"/>
                </w:tcPr>
                <w:p>
                  <w:pPr>
                    <w:widowControl/>
                    <w:wordWrap w:val="0"/>
                    <w:jc w:val="center"/>
                    <w:textAlignment w:val="center"/>
                    <w:rPr>
                      <w:color w:val="auto"/>
                      <w:szCs w:val="21"/>
                    </w:rPr>
                  </w:pPr>
                </w:p>
              </w:tc>
              <w:tc>
                <w:tcPr>
                  <w:tcW w:w="646" w:type="dxa"/>
                  <w:vMerge w:val="continue"/>
                  <w:vAlign w:val="center"/>
                </w:tcPr>
                <w:p>
                  <w:pPr>
                    <w:wordWrap w:val="0"/>
                    <w:jc w:val="center"/>
                    <w:textAlignment w:val="center"/>
                    <w:rPr>
                      <w:color w:val="auto"/>
                      <w:szCs w:val="21"/>
                    </w:rPr>
                  </w:pPr>
                </w:p>
              </w:tc>
            </w:tr>
            <w:bookmarkEnd w:id="41"/>
          </w:tbl>
          <w:p>
            <w:pPr>
              <w:wordWrap w:val="0"/>
              <w:spacing w:line="360" w:lineRule="auto"/>
              <w:ind w:firstLine="482" w:firstLineChars="200"/>
              <w:rPr>
                <w:b/>
                <w:bCs/>
                <w:color w:val="auto"/>
                <w:sz w:val="24"/>
              </w:rPr>
            </w:pPr>
            <w:r>
              <w:rPr>
                <w:b/>
                <w:bCs/>
                <w:color w:val="auto"/>
                <w:sz w:val="24"/>
              </w:rPr>
              <w:t>4.2固体废物源强核算过程简述</w:t>
            </w:r>
          </w:p>
          <w:p>
            <w:pPr>
              <w:wordWrap w:val="0"/>
              <w:spacing w:line="360" w:lineRule="auto"/>
              <w:ind w:firstLine="480" w:firstLineChars="200"/>
              <w:rPr>
                <w:color w:val="auto"/>
                <w:sz w:val="24"/>
              </w:rPr>
            </w:pPr>
            <w:r>
              <w:rPr>
                <w:color w:val="auto"/>
                <w:sz w:val="24"/>
              </w:rPr>
              <w:t>本项目产生的固废包括，一般工业固废：废边角料、</w:t>
            </w:r>
            <w:r>
              <w:rPr>
                <w:rFonts w:hint="eastAsia"/>
                <w:color w:val="auto"/>
                <w:sz w:val="24"/>
                <w:lang w:eastAsia="zh-CN"/>
              </w:rPr>
              <w:t>废钢丸、</w:t>
            </w:r>
            <w:r>
              <w:rPr>
                <w:b w:val="0"/>
                <w:bCs w:val="0"/>
                <w:color w:val="auto"/>
                <w:sz w:val="24"/>
              </w:rPr>
              <w:t>废气处理装置收集的烟粉尘</w:t>
            </w:r>
            <w:r>
              <w:rPr>
                <w:rFonts w:hint="eastAsia"/>
                <w:b w:val="0"/>
                <w:bCs w:val="0"/>
                <w:color w:val="auto"/>
                <w:sz w:val="24"/>
                <w:lang w:eastAsia="zh-CN"/>
              </w:rPr>
              <w:t>、</w:t>
            </w:r>
            <w:r>
              <w:rPr>
                <w:b w:val="0"/>
                <w:bCs w:val="0"/>
                <w:color w:val="auto"/>
                <w:sz w:val="24"/>
              </w:rPr>
              <w:t>废布袋、</w:t>
            </w:r>
            <w:r>
              <w:rPr>
                <w:rFonts w:hint="eastAsia"/>
                <w:b w:val="0"/>
                <w:bCs w:val="0"/>
                <w:color w:val="auto"/>
                <w:sz w:val="24"/>
                <w:lang w:eastAsia="zh-CN"/>
              </w:rPr>
              <w:t>废</w:t>
            </w:r>
            <w:r>
              <w:rPr>
                <w:b w:val="0"/>
                <w:bCs w:val="0"/>
                <w:color w:val="auto"/>
                <w:sz w:val="24"/>
              </w:rPr>
              <w:t>焊渣</w:t>
            </w:r>
            <w:r>
              <w:rPr>
                <w:rFonts w:hint="eastAsia"/>
                <w:b w:val="0"/>
                <w:bCs w:val="0"/>
                <w:color w:val="auto"/>
                <w:sz w:val="24"/>
                <w:lang w:eastAsia="zh-CN"/>
              </w:rPr>
              <w:t>、废砂轮片、废金属屑</w:t>
            </w:r>
            <w:r>
              <w:rPr>
                <w:b w:val="0"/>
                <w:bCs w:val="0"/>
                <w:color w:val="auto"/>
                <w:sz w:val="24"/>
              </w:rPr>
              <w:t>；危险废物：废漆渣、废漆桶、废</w:t>
            </w:r>
            <w:r>
              <w:rPr>
                <w:color w:val="auto"/>
                <w:sz w:val="24"/>
              </w:rPr>
              <w:t>油桶、废活性炭、废润滑油、废喷枪枪头</w:t>
            </w:r>
            <w:r>
              <w:rPr>
                <w:rFonts w:hint="eastAsia"/>
                <w:color w:val="auto"/>
                <w:sz w:val="24"/>
                <w:lang w:eastAsia="zh-CN"/>
              </w:rPr>
              <w:t>、</w:t>
            </w:r>
            <w:r>
              <w:rPr>
                <w:b w:val="0"/>
                <w:bCs w:val="0"/>
                <w:color w:val="auto"/>
                <w:sz w:val="24"/>
              </w:rPr>
              <w:t>废过滤干式过滤棉</w:t>
            </w:r>
            <w:r>
              <w:rPr>
                <w:rFonts w:hint="eastAsia"/>
                <w:color w:val="auto"/>
                <w:sz w:val="24"/>
                <w:lang w:eastAsia="zh-CN"/>
              </w:rPr>
              <w:t>；生活垃圾、</w:t>
            </w:r>
            <w:r>
              <w:rPr>
                <w:color w:val="auto"/>
                <w:sz w:val="24"/>
              </w:rPr>
              <w:t>化粪池污泥，本项目的固体废物产生量如下所示。</w:t>
            </w:r>
          </w:p>
          <w:p>
            <w:pPr>
              <w:numPr>
                <w:ilvl w:val="0"/>
                <w:numId w:val="5"/>
              </w:numPr>
              <w:wordWrap w:val="0"/>
              <w:spacing w:line="360" w:lineRule="auto"/>
              <w:ind w:firstLine="482" w:firstLineChars="200"/>
              <w:rPr>
                <w:b/>
                <w:bCs/>
                <w:color w:val="auto"/>
                <w:sz w:val="24"/>
              </w:rPr>
            </w:pPr>
            <w:r>
              <w:rPr>
                <w:b/>
                <w:bCs/>
                <w:color w:val="auto"/>
                <w:sz w:val="24"/>
              </w:rPr>
              <w:t>一般工业固废</w:t>
            </w:r>
          </w:p>
          <w:p>
            <w:pPr>
              <w:widowControl/>
              <w:autoSpaceDE w:val="0"/>
              <w:autoSpaceDN w:val="0"/>
              <w:adjustRightInd w:val="0"/>
              <w:snapToGrid w:val="0"/>
              <w:spacing w:line="360" w:lineRule="auto"/>
              <w:ind w:firstLine="480" w:firstLineChars="200"/>
              <w:rPr>
                <w:b/>
                <w:bCs/>
                <w:color w:val="auto"/>
                <w:sz w:val="24"/>
              </w:rPr>
            </w:pPr>
            <w:r>
              <w:rPr>
                <w:color w:val="auto"/>
                <w:sz w:val="24"/>
              </w:rPr>
              <w:t>①</w:t>
            </w:r>
            <w:r>
              <w:rPr>
                <w:b/>
                <w:bCs/>
                <w:color w:val="auto"/>
                <w:sz w:val="24"/>
              </w:rPr>
              <w:t>边角料</w:t>
            </w:r>
          </w:p>
          <w:p>
            <w:pPr>
              <w:widowControl/>
              <w:autoSpaceDE w:val="0"/>
              <w:autoSpaceDN w:val="0"/>
              <w:adjustRightInd w:val="0"/>
              <w:snapToGrid w:val="0"/>
              <w:spacing w:line="360" w:lineRule="auto"/>
              <w:ind w:firstLine="480" w:firstLineChars="200"/>
              <w:rPr>
                <w:color w:val="auto"/>
                <w:sz w:val="24"/>
              </w:rPr>
            </w:pPr>
            <w:r>
              <w:rPr>
                <w:color w:val="auto"/>
                <w:sz w:val="24"/>
              </w:rPr>
              <w:t>本项目下料、切割等生产过程中会产生边角料，产生量约为原料的0.5%，本项目钢材年用20300t/a，则边角料产生量约为</w:t>
            </w:r>
            <w:r>
              <w:rPr>
                <w:rFonts w:hint="eastAsia"/>
                <w:color w:val="auto"/>
                <w:sz w:val="24"/>
              </w:rPr>
              <w:t>101.5</w:t>
            </w:r>
            <w:r>
              <w:rPr>
                <w:color w:val="auto"/>
                <w:sz w:val="24"/>
              </w:rPr>
              <w:t>t/a，该部分固废收集后外售综合利用。</w:t>
            </w:r>
          </w:p>
          <w:p>
            <w:pPr>
              <w:widowControl/>
              <w:autoSpaceDE w:val="0"/>
              <w:autoSpaceDN w:val="0"/>
              <w:adjustRightInd w:val="0"/>
              <w:snapToGrid w:val="0"/>
              <w:spacing w:line="360" w:lineRule="auto"/>
              <w:ind w:firstLine="480" w:firstLineChars="200"/>
              <w:rPr>
                <w:color w:val="auto"/>
                <w:sz w:val="24"/>
              </w:rPr>
            </w:pPr>
            <w:r>
              <w:rPr>
                <w:color w:val="auto"/>
                <w:sz w:val="24"/>
              </w:rPr>
              <w:t>处理方式：外售综合利用。</w:t>
            </w:r>
          </w:p>
          <w:p>
            <w:pPr>
              <w:widowControl/>
              <w:autoSpaceDE w:val="0"/>
              <w:autoSpaceDN w:val="0"/>
              <w:adjustRightInd w:val="0"/>
              <w:snapToGrid w:val="0"/>
              <w:spacing w:line="360" w:lineRule="auto"/>
              <w:ind w:firstLine="482" w:firstLineChars="200"/>
              <w:rPr>
                <w:b/>
                <w:bCs/>
                <w:color w:val="auto"/>
                <w:sz w:val="24"/>
              </w:rPr>
            </w:pPr>
            <w:r>
              <w:rPr>
                <w:b/>
                <w:bCs/>
                <w:color w:val="auto"/>
                <w:sz w:val="24"/>
              </w:rPr>
              <w:t>②废钢丸</w:t>
            </w:r>
          </w:p>
          <w:p>
            <w:pPr>
              <w:widowControl/>
              <w:autoSpaceDE w:val="0"/>
              <w:autoSpaceDN w:val="0"/>
              <w:adjustRightInd w:val="0"/>
              <w:snapToGrid w:val="0"/>
              <w:spacing w:line="360" w:lineRule="auto"/>
              <w:ind w:firstLine="480" w:firstLineChars="200"/>
              <w:rPr>
                <w:color w:val="auto"/>
                <w:sz w:val="24"/>
              </w:rPr>
            </w:pPr>
            <w:r>
              <w:rPr>
                <w:color w:val="auto"/>
                <w:sz w:val="24"/>
              </w:rPr>
              <w:t>类比《江苏远大钢结构工程有限公司钢结构件生产项目竣工环境保护验收监测报告），江苏远大钢结构工程有限公司年生产钢结构件1000吨，钢丸2t/a，产生废钢丸1.2t/a，目主要以外购的钢板、型钢为原料，首先将钢板、型钢进行矫正，然后按规定 的尺寸进行切割下料，然后经焊接生产线焊接成型后再进行焊接成型、校正、表面抛光后得钢结构件成品。经同行业类比，则本项目钢丸使用3t/a，废钢丸产生量约为1.8t/a，该部分固废收集后外售综合利用。</w:t>
            </w:r>
          </w:p>
          <w:p>
            <w:pPr>
              <w:widowControl/>
              <w:autoSpaceDE w:val="0"/>
              <w:autoSpaceDN w:val="0"/>
              <w:adjustRightInd w:val="0"/>
              <w:snapToGrid w:val="0"/>
              <w:spacing w:line="360" w:lineRule="auto"/>
              <w:ind w:firstLine="480" w:firstLineChars="200"/>
              <w:rPr>
                <w:color w:val="auto"/>
                <w:sz w:val="24"/>
              </w:rPr>
            </w:pPr>
            <w:r>
              <w:rPr>
                <w:color w:val="auto"/>
                <w:sz w:val="24"/>
              </w:rPr>
              <w:t>处理方式：外售综合利用。</w:t>
            </w:r>
          </w:p>
          <w:p>
            <w:pPr>
              <w:widowControl/>
              <w:autoSpaceDE w:val="0"/>
              <w:autoSpaceDN w:val="0"/>
              <w:adjustRightInd w:val="0"/>
              <w:snapToGrid w:val="0"/>
              <w:spacing w:line="360" w:lineRule="auto"/>
              <w:ind w:firstLine="482" w:firstLineChars="200"/>
              <w:rPr>
                <w:b/>
                <w:bCs/>
                <w:color w:val="auto"/>
                <w:sz w:val="24"/>
              </w:rPr>
            </w:pPr>
            <w:r>
              <w:rPr>
                <w:b/>
                <w:bCs/>
                <w:color w:val="auto"/>
                <w:sz w:val="24"/>
              </w:rPr>
              <w:t>③废气处理装置收集的烟粉尘</w:t>
            </w:r>
          </w:p>
          <w:p>
            <w:pPr>
              <w:widowControl/>
              <w:autoSpaceDE w:val="0"/>
              <w:autoSpaceDN w:val="0"/>
              <w:adjustRightInd w:val="0"/>
              <w:snapToGrid w:val="0"/>
              <w:spacing w:line="360" w:lineRule="auto"/>
              <w:ind w:firstLine="480" w:firstLineChars="200"/>
              <w:rPr>
                <w:color w:val="auto"/>
                <w:sz w:val="24"/>
              </w:rPr>
            </w:pPr>
            <w:r>
              <w:rPr>
                <w:color w:val="auto"/>
                <w:sz w:val="24"/>
              </w:rPr>
              <w:t>本项目在切割、抛丸等工序产生的粉尘通过布袋除尘进行处理，经核算，</w:t>
            </w:r>
            <w:r>
              <w:rPr>
                <w:rFonts w:hint="eastAsia"/>
                <w:color w:val="auto"/>
                <w:sz w:val="24"/>
                <w:lang w:eastAsia="zh-CN"/>
              </w:rPr>
              <w:t>产生颗粒物</w:t>
            </w:r>
            <w:r>
              <w:rPr>
                <w:rFonts w:hint="eastAsia"/>
                <w:color w:val="auto"/>
                <w:sz w:val="24"/>
                <w:lang w:val="en-US" w:eastAsia="zh-CN"/>
              </w:rPr>
              <w:t>62.167（20.097+0.067+1.998+40.005）t/a，集气罩处理效率99.5%，因此</w:t>
            </w:r>
            <w:r>
              <w:rPr>
                <w:color w:val="auto"/>
                <w:sz w:val="24"/>
              </w:rPr>
              <w:t>收集的颗粒物约为</w:t>
            </w:r>
            <w:r>
              <w:rPr>
                <w:rFonts w:hint="eastAsia"/>
                <w:color w:val="auto"/>
                <w:sz w:val="24"/>
                <w:lang w:val="en-US" w:eastAsia="zh-CN"/>
              </w:rPr>
              <w:t>61.856t</w:t>
            </w:r>
            <w:r>
              <w:rPr>
                <w:color w:val="auto"/>
                <w:sz w:val="24"/>
              </w:rPr>
              <w:t>/a，该部分固废收集后外售综合利用。</w:t>
            </w:r>
          </w:p>
          <w:p>
            <w:pPr>
              <w:widowControl/>
              <w:autoSpaceDE w:val="0"/>
              <w:autoSpaceDN w:val="0"/>
              <w:adjustRightInd w:val="0"/>
              <w:snapToGrid w:val="0"/>
              <w:spacing w:line="360" w:lineRule="auto"/>
              <w:ind w:firstLine="480" w:firstLineChars="200"/>
              <w:rPr>
                <w:color w:val="auto"/>
                <w:sz w:val="24"/>
              </w:rPr>
            </w:pPr>
            <w:r>
              <w:rPr>
                <w:color w:val="auto"/>
                <w:sz w:val="24"/>
              </w:rPr>
              <w:t>处理方式：外售综合利用。</w:t>
            </w:r>
          </w:p>
          <w:p>
            <w:pPr>
              <w:widowControl/>
              <w:autoSpaceDE w:val="0"/>
              <w:autoSpaceDN w:val="0"/>
              <w:adjustRightInd w:val="0"/>
              <w:snapToGrid w:val="0"/>
              <w:spacing w:line="360" w:lineRule="auto"/>
              <w:ind w:firstLine="482" w:firstLineChars="200"/>
              <w:rPr>
                <w:b/>
                <w:bCs/>
                <w:color w:val="auto"/>
                <w:sz w:val="24"/>
              </w:rPr>
            </w:pPr>
            <w:r>
              <w:rPr>
                <w:b/>
                <w:bCs/>
                <w:color w:val="auto"/>
                <w:sz w:val="24"/>
              </w:rPr>
              <w:t>④废布袋</w:t>
            </w:r>
          </w:p>
          <w:p>
            <w:pPr>
              <w:widowControl/>
              <w:autoSpaceDE w:val="0"/>
              <w:autoSpaceDN w:val="0"/>
              <w:adjustRightInd w:val="0"/>
              <w:snapToGrid w:val="0"/>
              <w:spacing w:line="360" w:lineRule="auto"/>
              <w:ind w:firstLine="480" w:firstLineChars="200"/>
              <w:rPr>
                <w:color w:val="auto"/>
                <w:sz w:val="24"/>
              </w:rPr>
            </w:pPr>
            <w:r>
              <w:rPr>
                <w:color w:val="auto"/>
                <w:sz w:val="24"/>
              </w:rPr>
              <w:t>项目抛丸、打磨</w:t>
            </w:r>
            <w:r>
              <w:rPr>
                <w:rFonts w:hint="eastAsia"/>
                <w:color w:val="auto"/>
                <w:sz w:val="24"/>
                <w:lang w:eastAsia="zh-CN"/>
              </w:rPr>
              <w:t>、切割</w:t>
            </w:r>
            <w:r>
              <w:rPr>
                <w:color w:val="auto"/>
                <w:sz w:val="24"/>
              </w:rPr>
              <w:t>产生的粉尘采用布袋除尘器进行处理，类比同类企业，废布袋，约0.5t/a。</w:t>
            </w:r>
          </w:p>
          <w:p>
            <w:pPr>
              <w:widowControl/>
              <w:autoSpaceDE w:val="0"/>
              <w:autoSpaceDN w:val="0"/>
              <w:adjustRightInd w:val="0"/>
              <w:snapToGrid w:val="0"/>
              <w:spacing w:line="360" w:lineRule="auto"/>
              <w:ind w:firstLine="480" w:firstLineChars="200"/>
              <w:rPr>
                <w:color w:val="auto"/>
                <w:sz w:val="24"/>
              </w:rPr>
            </w:pPr>
            <w:r>
              <w:rPr>
                <w:color w:val="auto"/>
                <w:sz w:val="24"/>
              </w:rPr>
              <w:t>处理方式：外售综合利用。</w:t>
            </w:r>
          </w:p>
          <w:p>
            <w:pPr>
              <w:widowControl/>
              <w:autoSpaceDE w:val="0"/>
              <w:autoSpaceDN w:val="0"/>
              <w:adjustRightInd w:val="0"/>
              <w:snapToGrid w:val="0"/>
              <w:spacing w:line="360" w:lineRule="auto"/>
              <w:ind w:firstLine="482" w:firstLineChars="200"/>
              <w:rPr>
                <w:b/>
                <w:bCs/>
                <w:color w:val="auto"/>
                <w:sz w:val="24"/>
              </w:rPr>
            </w:pPr>
            <w:r>
              <w:rPr>
                <w:b/>
                <w:bCs/>
                <w:color w:val="auto"/>
                <w:sz w:val="24"/>
              </w:rPr>
              <w:t>⑤废焊渣</w:t>
            </w:r>
          </w:p>
          <w:p>
            <w:pPr>
              <w:spacing w:line="360" w:lineRule="auto"/>
              <w:ind w:firstLine="480" w:firstLineChars="200"/>
              <w:rPr>
                <w:color w:val="auto"/>
                <w:sz w:val="24"/>
              </w:rPr>
            </w:pPr>
            <w:r>
              <w:rPr>
                <w:color w:val="auto"/>
                <w:sz w:val="24"/>
              </w:rPr>
              <w:t>根据《机加工行业环境影响评价中常见污染物源强估算及污染治理》（许海萍等，湖北大学学报，2010，32（3）:344-348），焊渣产生量为焊材使用量*(1/11+4%)，本项目焊材总使用量为5.04t/a，则焊渣产生量为1.47t/a，</w:t>
            </w:r>
          </w:p>
          <w:p>
            <w:pPr>
              <w:spacing w:line="360" w:lineRule="auto"/>
              <w:ind w:firstLine="480" w:firstLineChars="200"/>
              <w:rPr>
                <w:color w:val="auto"/>
                <w:sz w:val="24"/>
              </w:rPr>
            </w:pPr>
            <w:r>
              <w:rPr>
                <w:color w:val="auto"/>
                <w:sz w:val="24"/>
              </w:rPr>
              <w:t>处理方式：统一收集后外售处理。</w:t>
            </w:r>
          </w:p>
          <w:p>
            <w:pPr>
              <w:widowControl/>
              <w:autoSpaceDE w:val="0"/>
              <w:autoSpaceDN w:val="0"/>
              <w:adjustRightInd w:val="0"/>
              <w:snapToGrid w:val="0"/>
              <w:spacing w:line="360" w:lineRule="auto"/>
              <w:ind w:firstLine="482" w:firstLineChars="200"/>
              <w:rPr>
                <w:b/>
                <w:bCs/>
                <w:color w:val="auto"/>
                <w:sz w:val="24"/>
              </w:rPr>
            </w:pPr>
            <w:r>
              <w:rPr>
                <w:b/>
                <w:bCs/>
                <w:color w:val="auto"/>
                <w:sz w:val="24"/>
              </w:rPr>
              <w:t>⑥废砂轮片</w:t>
            </w:r>
          </w:p>
          <w:p>
            <w:pPr>
              <w:widowControl/>
              <w:autoSpaceDE w:val="0"/>
              <w:autoSpaceDN w:val="0"/>
              <w:adjustRightInd w:val="0"/>
              <w:snapToGrid w:val="0"/>
              <w:spacing w:line="360" w:lineRule="auto"/>
              <w:ind w:firstLine="480" w:firstLineChars="200"/>
              <w:rPr>
                <w:color w:val="auto"/>
                <w:sz w:val="24"/>
              </w:rPr>
            </w:pPr>
            <w:r>
              <w:rPr>
                <w:color w:val="auto"/>
                <w:sz w:val="24"/>
              </w:rPr>
              <w:t>根据企业提供资料，砂轮片年用量为1000张/a，废砂轮片约110g/张，共计0.11t/a。</w:t>
            </w:r>
          </w:p>
          <w:p>
            <w:pPr>
              <w:pStyle w:val="17"/>
              <w:rPr>
                <w:b w:val="0"/>
                <w:bCs/>
                <w:color w:val="auto"/>
                <w:sz w:val="24"/>
              </w:rPr>
            </w:pPr>
            <w:r>
              <w:rPr>
                <w:b w:val="0"/>
                <w:bCs/>
                <w:color w:val="auto"/>
                <w:sz w:val="24"/>
              </w:rPr>
              <w:t>处理方式：外售综合利用。</w:t>
            </w:r>
          </w:p>
          <w:p>
            <w:pPr>
              <w:widowControl/>
              <w:autoSpaceDE w:val="0"/>
              <w:autoSpaceDN w:val="0"/>
              <w:adjustRightInd w:val="0"/>
              <w:snapToGrid w:val="0"/>
              <w:spacing w:line="360" w:lineRule="auto"/>
              <w:ind w:firstLine="482" w:firstLineChars="200"/>
              <w:rPr>
                <w:rFonts w:hint="eastAsia" w:eastAsia="宋体"/>
                <w:b/>
                <w:bCs/>
                <w:color w:val="auto"/>
                <w:sz w:val="24"/>
                <w:lang w:eastAsia="zh-CN"/>
              </w:rPr>
            </w:pPr>
            <w:r>
              <w:rPr>
                <w:b/>
                <w:bCs/>
                <w:color w:val="auto"/>
                <w:sz w:val="24"/>
              </w:rPr>
              <w:t>⑦</w:t>
            </w:r>
            <w:r>
              <w:rPr>
                <w:rFonts w:hint="eastAsia"/>
                <w:b/>
                <w:bCs/>
                <w:color w:val="auto"/>
                <w:sz w:val="24"/>
                <w:lang w:eastAsia="zh-CN"/>
              </w:rPr>
              <w:t>废金属屑</w:t>
            </w:r>
          </w:p>
          <w:p>
            <w:pPr>
              <w:spacing w:line="360" w:lineRule="auto"/>
              <w:ind w:firstLine="480" w:firstLineChars="200"/>
              <w:rPr>
                <w:color w:val="auto"/>
                <w:sz w:val="24"/>
              </w:rPr>
            </w:pPr>
            <w:r>
              <w:rPr>
                <w:rFonts w:hint="eastAsia"/>
                <w:color w:val="auto"/>
                <w:sz w:val="24"/>
                <w:lang w:eastAsia="zh-CN"/>
              </w:rPr>
              <w:t>切割、抛丸、打磨工序中</w:t>
            </w:r>
            <w:r>
              <w:rPr>
                <w:rFonts w:hint="eastAsia"/>
                <w:color w:val="auto"/>
                <w:sz w:val="24"/>
              </w:rPr>
              <w:t>由于金属粉尘自身比重较大，产生后在短时间内即在操作设备区域附件自然沉降</w:t>
            </w:r>
            <w:r>
              <w:rPr>
                <w:rFonts w:hint="eastAsia"/>
                <w:color w:val="auto"/>
                <w:sz w:val="24"/>
                <w:lang w:eastAsia="zh-CN"/>
              </w:rPr>
              <w:t>，因此未被集气罩收集的约</w:t>
            </w:r>
            <w:r>
              <w:rPr>
                <w:rFonts w:hint="eastAsia"/>
                <w:color w:val="auto"/>
                <w:sz w:val="24"/>
                <w:lang w:val="en-US" w:eastAsia="zh-CN"/>
              </w:rPr>
              <w:t>90%发生自然沉降，10%无组织挥发，因此沉降产生的废金属屑为：2.0097+0.007+0.199+4.0005=6.2162t/a。</w:t>
            </w:r>
          </w:p>
          <w:p>
            <w:pPr>
              <w:numPr>
                <w:ilvl w:val="0"/>
                <w:numId w:val="5"/>
              </w:numPr>
              <w:wordWrap w:val="0"/>
              <w:spacing w:line="360" w:lineRule="auto"/>
              <w:ind w:firstLine="482" w:firstLineChars="200"/>
              <w:rPr>
                <w:b/>
                <w:bCs/>
                <w:color w:val="auto"/>
                <w:sz w:val="24"/>
              </w:rPr>
            </w:pPr>
            <w:r>
              <w:rPr>
                <w:rFonts w:hint="eastAsia"/>
                <w:b/>
                <w:bCs/>
                <w:color w:val="auto"/>
                <w:sz w:val="24"/>
                <w:lang w:eastAsia="zh-CN"/>
              </w:rPr>
              <w:t>危险固废</w:t>
            </w:r>
          </w:p>
          <w:p>
            <w:pPr>
              <w:widowControl/>
              <w:autoSpaceDE w:val="0"/>
              <w:autoSpaceDN w:val="0"/>
              <w:adjustRightInd w:val="0"/>
              <w:snapToGrid w:val="0"/>
              <w:spacing w:line="360" w:lineRule="auto"/>
              <w:ind w:firstLine="482" w:firstLineChars="200"/>
              <w:rPr>
                <w:b/>
                <w:bCs/>
                <w:color w:val="auto"/>
                <w:sz w:val="24"/>
              </w:rPr>
            </w:pPr>
            <w:r>
              <w:rPr>
                <w:b/>
                <w:bCs/>
                <w:color w:val="auto"/>
                <w:sz w:val="24"/>
              </w:rPr>
              <w:t>⑧废漆渣</w:t>
            </w:r>
          </w:p>
          <w:p>
            <w:pPr>
              <w:widowControl/>
              <w:autoSpaceDE w:val="0"/>
              <w:autoSpaceDN w:val="0"/>
              <w:adjustRightInd w:val="0"/>
              <w:snapToGrid w:val="0"/>
              <w:spacing w:line="360" w:lineRule="auto"/>
              <w:ind w:firstLine="480" w:firstLineChars="200"/>
              <w:rPr>
                <w:color w:val="auto"/>
                <w:sz w:val="24"/>
              </w:rPr>
            </w:pPr>
            <w:r>
              <w:rPr>
                <w:color w:val="auto"/>
                <w:sz w:val="24"/>
              </w:rPr>
              <w:t>项目喷漆过程采用</w:t>
            </w:r>
            <w:r>
              <w:rPr>
                <w:rFonts w:hint="eastAsia"/>
                <w:color w:val="auto"/>
                <w:sz w:val="24"/>
                <w:lang w:eastAsia="zh-CN"/>
              </w:rPr>
              <w:t>人工</w:t>
            </w:r>
            <w:r>
              <w:rPr>
                <w:color w:val="auto"/>
                <w:sz w:val="24"/>
              </w:rPr>
              <w:t>喷</w:t>
            </w:r>
            <w:r>
              <w:rPr>
                <w:rFonts w:hint="eastAsia"/>
                <w:color w:val="auto"/>
                <w:sz w:val="24"/>
                <w:lang w:eastAsia="zh-CN"/>
              </w:rPr>
              <w:t>涂</w:t>
            </w:r>
            <w:r>
              <w:rPr>
                <w:color w:val="auto"/>
                <w:sz w:val="24"/>
              </w:rPr>
              <w:t>，喷漆过程中上漆率为70%，10%形成漆渣，剩余20%形成喷漆颗粒物，根据物料平衡，漆渣产生量约</w:t>
            </w:r>
            <w:r>
              <w:rPr>
                <w:rFonts w:hint="eastAsia"/>
                <w:color w:val="auto"/>
                <w:sz w:val="24"/>
                <w:lang w:val="en-US" w:eastAsia="zh-CN"/>
              </w:rPr>
              <w:t>2.69</w:t>
            </w:r>
            <w:r>
              <w:rPr>
                <w:color w:val="auto"/>
                <w:sz w:val="24"/>
              </w:rPr>
              <w:t>t/a，为危废，集中收集后暂存在危废暂存间内，经查询属于危险废物（HW12染料、涂料废物900-252-12）。</w:t>
            </w:r>
          </w:p>
          <w:p>
            <w:pPr>
              <w:widowControl/>
              <w:autoSpaceDE w:val="0"/>
              <w:autoSpaceDN w:val="0"/>
              <w:adjustRightInd w:val="0"/>
              <w:snapToGrid w:val="0"/>
              <w:spacing w:line="360" w:lineRule="auto"/>
              <w:ind w:firstLine="480" w:firstLineChars="200"/>
              <w:rPr>
                <w:color w:val="auto"/>
                <w:sz w:val="24"/>
              </w:rPr>
            </w:pPr>
            <w:r>
              <w:rPr>
                <w:color w:val="auto"/>
                <w:sz w:val="24"/>
              </w:rPr>
              <w:t>处理方式：需委托有资质单位安全处置。</w:t>
            </w:r>
          </w:p>
          <w:p>
            <w:pPr>
              <w:widowControl/>
              <w:autoSpaceDE w:val="0"/>
              <w:autoSpaceDN w:val="0"/>
              <w:adjustRightInd w:val="0"/>
              <w:snapToGrid w:val="0"/>
              <w:spacing w:line="360" w:lineRule="auto"/>
              <w:ind w:firstLine="482" w:firstLineChars="200"/>
              <w:rPr>
                <w:b/>
                <w:bCs/>
                <w:color w:val="auto"/>
                <w:sz w:val="24"/>
              </w:rPr>
            </w:pPr>
            <w:r>
              <w:rPr>
                <w:b/>
                <w:bCs/>
                <w:color w:val="auto"/>
                <w:sz w:val="24"/>
              </w:rPr>
              <w:t>⑨废漆桶</w:t>
            </w:r>
          </w:p>
          <w:p>
            <w:pPr>
              <w:widowControl/>
              <w:autoSpaceDE w:val="0"/>
              <w:autoSpaceDN w:val="0"/>
              <w:adjustRightInd w:val="0"/>
              <w:snapToGrid w:val="0"/>
              <w:spacing w:line="360" w:lineRule="auto"/>
              <w:ind w:firstLine="480" w:firstLineChars="200"/>
              <w:rPr>
                <w:color w:val="auto"/>
                <w:sz w:val="24"/>
              </w:rPr>
            </w:pPr>
            <w:r>
              <w:rPr>
                <w:color w:val="auto"/>
                <w:sz w:val="24"/>
              </w:rPr>
              <w:t>项目水性漆储存过程中会产生废漆桶，项目水性漆使用量为</w:t>
            </w:r>
            <w:r>
              <w:rPr>
                <w:rFonts w:hint="eastAsia"/>
                <w:color w:val="auto"/>
                <w:sz w:val="24"/>
                <w:lang w:val="en-US" w:eastAsia="zh-CN"/>
              </w:rPr>
              <w:t>40</w:t>
            </w:r>
            <w:r>
              <w:rPr>
                <w:color w:val="auto"/>
                <w:sz w:val="24"/>
              </w:rPr>
              <w:t>t/a，采用</w:t>
            </w:r>
            <w:r>
              <w:rPr>
                <w:rFonts w:hint="eastAsia"/>
                <w:color w:val="auto"/>
                <w:sz w:val="24"/>
                <w:lang w:val="en-US" w:eastAsia="zh-CN"/>
              </w:rPr>
              <w:t>50</w:t>
            </w:r>
            <w:r>
              <w:rPr>
                <w:color w:val="auto"/>
                <w:sz w:val="24"/>
              </w:rPr>
              <w:t>kg化工桶存储，化工桶用量为</w:t>
            </w:r>
            <w:r>
              <w:rPr>
                <w:rFonts w:hint="eastAsia"/>
                <w:color w:val="auto"/>
                <w:sz w:val="24"/>
                <w:lang w:val="en-US" w:eastAsia="zh-CN"/>
              </w:rPr>
              <w:t>800</w:t>
            </w:r>
            <w:r>
              <w:rPr>
                <w:color w:val="auto"/>
                <w:sz w:val="24"/>
              </w:rPr>
              <w:t>个，每个桶重5kg，使用过程中会产生废漆桶，报废率为10%，则废漆桶的产生量约为0.</w:t>
            </w:r>
            <w:r>
              <w:rPr>
                <w:rFonts w:hint="eastAsia"/>
                <w:color w:val="auto"/>
                <w:sz w:val="24"/>
                <w:lang w:val="en-US" w:eastAsia="zh-CN"/>
              </w:rPr>
              <w:t>4</w:t>
            </w:r>
            <w:r>
              <w:rPr>
                <w:color w:val="auto"/>
                <w:sz w:val="24"/>
              </w:rPr>
              <w:t>t/a，经查询属于危废（HW49 其他废物 900-041-49）。</w:t>
            </w:r>
          </w:p>
          <w:p>
            <w:pPr>
              <w:widowControl/>
              <w:autoSpaceDE w:val="0"/>
              <w:autoSpaceDN w:val="0"/>
              <w:adjustRightInd w:val="0"/>
              <w:snapToGrid w:val="0"/>
              <w:spacing w:line="360" w:lineRule="auto"/>
              <w:ind w:firstLine="480" w:firstLineChars="200"/>
              <w:rPr>
                <w:color w:val="auto"/>
                <w:sz w:val="24"/>
              </w:rPr>
            </w:pPr>
            <w:r>
              <w:rPr>
                <w:color w:val="auto"/>
                <w:sz w:val="24"/>
              </w:rPr>
              <w:t>处理方式：需委托有资质单位安全处置。</w:t>
            </w:r>
          </w:p>
          <w:p>
            <w:pPr>
              <w:widowControl/>
              <w:autoSpaceDE w:val="0"/>
              <w:autoSpaceDN w:val="0"/>
              <w:adjustRightInd w:val="0"/>
              <w:snapToGrid w:val="0"/>
              <w:spacing w:line="360" w:lineRule="auto"/>
              <w:ind w:firstLine="482" w:firstLineChars="200"/>
              <w:rPr>
                <w:b/>
                <w:bCs/>
                <w:color w:val="auto"/>
                <w:sz w:val="24"/>
              </w:rPr>
            </w:pPr>
            <w:r>
              <w:rPr>
                <w:b/>
                <w:bCs/>
                <w:color w:val="auto"/>
                <w:sz w:val="24"/>
              </w:rPr>
              <w:t>⑩废油桶</w:t>
            </w:r>
          </w:p>
          <w:p>
            <w:pPr>
              <w:widowControl/>
              <w:autoSpaceDE w:val="0"/>
              <w:autoSpaceDN w:val="0"/>
              <w:adjustRightInd w:val="0"/>
              <w:snapToGrid w:val="0"/>
              <w:spacing w:line="360" w:lineRule="auto"/>
              <w:ind w:firstLine="480" w:firstLineChars="200"/>
              <w:rPr>
                <w:color w:val="auto"/>
                <w:sz w:val="24"/>
              </w:rPr>
            </w:pPr>
            <w:r>
              <w:rPr>
                <w:color w:val="auto"/>
                <w:sz w:val="24"/>
              </w:rPr>
              <w:t>本项目生产过程设备的维护涉及润滑油，使用桶装，经计算，全年产生废油桶共8个桶，每个废包装桶重约25kg，全年产生废包装桶的产生量约为0.2t/a。废油桶危废编号HW08，废物代码900-249-08，该部分固废收集后委托有资质单位处置。</w:t>
            </w:r>
          </w:p>
          <w:p>
            <w:pPr>
              <w:widowControl/>
              <w:autoSpaceDE w:val="0"/>
              <w:autoSpaceDN w:val="0"/>
              <w:adjustRightInd w:val="0"/>
              <w:snapToGrid w:val="0"/>
              <w:spacing w:line="360" w:lineRule="auto"/>
              <w:ind w:firstLine="480" w:firstLineChars="200"/>
              <w:rPr>
                <w:color w:val="auto"/>
                <w:sz w:val="24"/>
              </w:rPr>
            </w:pPr>
            <w:r>
              <w:rPr>
                <w:color w:val="auto"/>
                <w:sz w:val="24"/>
              </w:rPr>
              <w:t>处理方式：需委托有资质单位安全处置。</w:t>
            </w:r>
          </w:p>
          <w:p>
            <w:pPr>
              <w:widowControl/>
              <w:autoSpaceDE w:val="0"/>
              <w:autoSpaceDN w:val="0"/>
              <w:adjustRightInd w:val="0"/>
              <w:snapToGrid w:val="0"/>
              <w:spacing w:line="360" w:lineRule="auto"/>
              <w:ind w:firstLine="482" w:firstLineChars="200"/>
              <w:rPr>
                <w:b/>
                <w:bCs/>
                <w:color w:val="auto"/>
                <w:sz w:val="24"/>
              </w:rPr>
            </w:pPr>
            <w:r>
              <w:rPr>
                <w:b/>
                <w:bCs/>
                <w:color w:val="auto"/>
                <w:sz w:val="24"/>
              </w:rPr>
              <w:t>⑪废活性炭</w:t>
            </w:r>
          </w:p>
          <w:p>
            <w:pPr>
              <w:widowControl/>
              <w:autoSpaceDE w:val="0"/>
              <w:autoSpaceDN w:val="0"/>
              <w:adjustRightInd w:val="0"/>
              <w:snapToGrid w:val="0"/>
              <w:spacing w:line="360" w:lineRule="auto"/>
              <w:ind w:firstLine="480" w:firstLineChars="200"/>
              <w:rPr>
                <w:color w:val="auto"/>
                <w:kern w:val="0"/>
                <w:sz w:val="24"/>
              </w:rPr>
            </w:pPr>
            <w:r>
              <w:rPr>
                <w:color w:val="auto"/>
                <w:kern w:val="0"/>
                <w:sz w:val="24"/>
              </w:rPr>
              <w:t>根据废气处理设施活性炭更换周期情况分析，各废气处理装置活性炭均每</w:t>
            </w:r>
            <w:r>
              <w:rPr>
                <w:rFonts w:hint="eastAsia"/>
                <w:color w:val="auto"/>
                <w:kern w:val="0"/>
                <w:sz w:val="24"/>
                <w:lang w:eastAsia="zh-CN"/>
              </w:rPr>
              <w:t>三</w:t>
            </w:r>
            <w:r>
              <w:rPr>
                <w:color w:val="auto"/>
                <w:kern w:val="0"/>
                <w:sz w:val="24"/>
              </w:rPr>
              <w:t>个月更换一次；因此全厂废活性炭产生量为</w:t>
            </w:r>
            <w:r>
              <w:rPr>
                <w:rFonts w:hint="eastAsia"/>
                <w:color w:val="auto"/>
                <w:kern w:val="0"/>
                <w:sz w:val="24"/>
                <w:lang w:val="en-US" w:eastAsia="zh-CN"/>
              </w:rPr>
              <w:t>2.5955</w:t>
            </w:r>
            <w:r>
              <w:rPr>
                <w:color w:val="auto"/>
                <w:kern w:val="0"/>
                <w:sz w:val="24"/>
              </w:rPr>
              <w:t>t/a。废活性炭属于《国家危险废物名录》（2021年版）中的HW49其他废物（900-039-49）。</w:t>
            </w:r>
          </w:p>
          <w:p>
            <w:pPr>
              <w:widowControl/>
              <w:autoSpaceDE w:val="0"/>
              <w:autoSpaceDN w:val="0"/>
              <w:adjustRightInd w:val="0"/>
              <w:snapToGrid w:val="0"/>
              <w:spacing w:line="360" w:lineRule="auto"/>
              <w:ind w:firstLine="480" w:firstLineChars="200"/>
              <w:rPr>
                <w:color w:val="auto"/>
                <w:kern w:val="0"/>
                <w:sz w:val="24"/>
              </w:rPr>
            </w:pPr>
            <w:r>
              <w:rPr>
                <w:color w:val="auto"/>
                <w:sz w:val="24"/>
              </w:rPr>
              <w:t>处理方式：需委托有资质单位安全处置。</w:t>
            </w:r>
          </w:p>
          <w:p>
            <w:pPr>
              <w:widowControl/>
              <w:autoSpaceDE w:val="0"/>
              <w:autoSpaceDN w:val="0"/>
              <w:adjustRightInd w:val="0"/>
              <w:snapToGrid w:val="0"/>
              <w:spacing w:line="360" w:lineRule="auto"/>
              <w:ind w:firstLine="482" w:firstLineChars="200"/>
              <w:rPr>
                <w:b/>
                <w:bCs/>
                <w:color w:val="auto"/>
                <w:sz w:val="24"/>
              </w:rPr>
            </w:pPr>
            <w:r>
              <w:rPr>
                <w:b/>
                <w:bCs/>
                <w:color w:val="auto"/>
                <w:sz w:val="24"/>
              </w:rPr>
              <w:t>⑫废润滑油</w:t>
            </w:r>
          </w:p>
          <w:p>
            <w:pPr>
              <w:widowControl/>
              <w:autoSpaceDE w:val="0"/>
              <w:autoSpaceDN w:val="0"/>
              <w:adjustRightInd w:val="0"/>
              <w:snapToGrid w:val="0"/>
              <w:spacing w:line="360" w:lineRule="auto"/>
              <w:ind w:firstLine="480" w:firstLineChars="200"/>
              <w:rPr>
                <w:color w:val="auto"/>
                <w:sz w:val="24"/>
              </w:rPr>
            </w:pPr>
            <w:r>
              <w:rPr>
                <w:color w:val="auto"/>
                <w:sz w:val="24"/>
              </w:rPr>
              <w:t>本项目在生产过程中，机械设备维护产生废润滑油，使用过程中约有10%的损耗，产生量约为0.005t/a，废润滑油危废编号HW08，废物代码900-214-08，该部分固废收集后委托有资质单位处置。</w:t>
            </w:r>
          </w:p>
          <w:p>
            <w:pPr>
              <w:widowControl/>
              <w:autoSpaceDE w:val="0"/>
              <w:autoSpaceDN w:val="0"/>
              <w:adjustRightInd w:val="0"/>
              <w:snapToGrid w:val="0"/>
              <w:spacing w:line="360" w:lineRule="auto"/>
              <w:ind w:firstLine="480" w:firstLineChars="200"/>
              <w:rPr>
                <w:color w:val="auto"/>
                <w:sz w:val="24"/>
              </w:rPr>
            </w:pPr>
            <w:r>
              <w:rPr>
                <w:color w:val="auto"/>
                <w:sz w:val="24"/>
              </w:rPr>
              <w:t>处理方式：需委托有资质单位安全处置。</w:t>
            </w:r>
          </w:p>
          <w:p>
            <w:pPr>
              <w:widowControl/>
              <w:autoSpaceDE w:val="0"/>
              <w:autoSpaceDN w:val="0"/>
              <w:adjustRightInd w:val="0"/>
              <w:snapToGrid w:val="0"/>
              <w:spacing w:line="360" w:lineRule="auto"/>
              <w:ind w:firstLine="482" w:firstLineChars="200"/>
              <w:jc w:val="left"/>
              <w:rPr>
                <w:rFonts w:eastAsiaTheme="minorEastAsia"/>
                <w:b/>
                <w:bCs/>
                <w:color w:val="auto"/>
                <w:sz w:val="24"/>
              </w:rPr>
            </w:pPr>
            <w:r>
              <w:rPr>
                <w:b/>
                <w:bCs/>
                <w:color w:val="auto"/>
                <w:sz w:val="24"/>
              </w:rPr>
              <w:t>⑬</w:t>
            </w:r>
            <w:r>
              <w:rPr>
                <w:rFonts w:eastAsiaTheme="minorEastAsia"/>
                <w:b/>
                <w:bCs/>
                <w:color w:val="auto"/>
                <w:sz w:val="24"/>
              </w:rPr>
              <w:t>废喷枪枪头</w:t>
            </w:r>
          </w:p>
          <w:p>
            <w:pPr>
              <w:widowControl/>
              <w:autoSpaceDE w:val="0"/>
              <w:autoSpaceDN w:val="0"/>
              <w:adjustRightInd w:val="0"/>
              <w:snapToGrid w:val="0"/>
              <w:spacing w:line="360" w:lineRule="auto"/>
              <w:ind w:firstLine="480" w:firstLineChars="200"/>
              <w:jc w:val="left"/>
              <w:rPr>
                <w:rFonts w:eastAsiaTheme="minorEastAsia"/>
                <w:color w:val="auto"/>
                <w:sz w:val="24"/>
              </w:rPr>
            </w:pPr>
            <w:r>
              <w:rPr>
                <w:rFonts w:eastAsiaTheme="minorEastAsia"/>
                <w:color w:val="auto"/>
                <w:sz w:val="24"/>
              </w:rPr>
              <w:t>根据企业提供资料，喷漆枪头每月换一个，年用量为12个/a，喷枪枪头约50g/个，共计0.0006t/a。</w:t>
            </w:r>
          </w:p>
          <w:p>
            <w:pPr>
              <w:widowControl/>
              <w:autoSpaceDE w:val="0"/>
              <w:autoSpaceDN w:val="0"/>
              <w:adjustRightInd w:val="0"/>
              <w:snapToGrid w:val="0"/>
              <w:spacing w:line="360" w:lineRule="auto"/>
              <w:ind w:firstLine="480" w:firstLineChars="200"/>
              <w:jc w:val="left"/>
              <w:rPr>
                <w:rFonts w:eastAsiaTheme="minorEastAsia"/>
                <w:color w:val="auto"/>
                <w:sz w:val="24"/>
              </w:rPr>
            </w:pPr>
            <w:r>
              <w:rPr>
                <w:rFonts w:eastAsiaTheme="minorEastAsia"/>
                <w:color w:val="auto"/>
                <w:sz w:val="24"/>
              </w:rPr>
              <w:t>处理方式：需委托有资质单位安全处置。</w:t>
            </w:r>
          </w:p>
          <w:p>
            <w:pPr>
              <w:widowControl/>
              <w:autoSpaceDE w:val="0"/>
              <w:autoSpaceDN w:val="0"/>
              <w:adjustRightInd w:val="0"/>
              <w:snapToGrid w:val="0"/>
              <w:spacing w:line="360" w:lineRule="auto"/>
              <w:ind w:firstLine="482" w:firstLineChars="200"/>
              <w:rPr>
                <w:b/>
                <w:bCs/>
                <w:color w:val="auto"/>
                <w:sz w:val="24"/>
              </w:rPr>
            </w:pPr>
            <w:r>
              <w:rPr>
                <w:b/>
                <w:bCs/>
                <w:color w:val="auto"/>
                <w:sz w:val="24"/>
              </w:rPr>
              <w:t xml:space="preserve">⑭废干式过滤棉 </w:t>
            </w:r>
          </w:p>
          <w:p>
            <w:pPr>
              <w:widowControl/>
              <w:autoSpaceDE w:val="0"/>
              <w:autoSpaceDN w:val="0"/>
              <w:adjustRightInd w:val="0"/>
              <w:snapToGrid w:val="0"/>
              <w:spacing w:line="360" w:lineRule="auto"/>
              <w:ind w:firstLine="480" w:firstLineChars="200"/>
              <w:rPr>
                <w:color w:val="auto"/>
                <w:sz w:val="24"/>
              </w:rPr>
            </w:pPr>
            <w:r>
              <w:rPr>
                <w:color w:val="auto"/>
                <w:sz w:val="24"/>
              </w:rPr>
              <w:t>项目喷漆颗粒物采用</w:t>
            </w:r>
            <w:r>
              <w:rPr>
                <w:rFonts w:hint="eastAsia"/>
                <w:color w:val="auto"/>
                <w:sz w:val="24"/>
                <w:lang w:eastAsia="zh-CN"/>
              </w:rPr>
              <w:t>车间</w:t>
            </w:r>
            <w:r>
              <w:rPr>
                <w:rFonts w:hint="eastAsia"/>
                <w:color w:val="auto"/>
                <w:sz w:val="24"/>
              </w:rPr>
              <w:t>密闭负压收集</w:t>
            </w:r>
            <w:r>
              <w:rPr>
                <w:color w:val="auto"/>
                <w:sz w:val="24"/>
              </w:rPr>
              <w:t>+干式过滤棉+二级活性炭处理，有组织漆雾颗粒物产生量为</w:t>
            </w:r>
            <w:r>
              <w:rPr>
                <w:rFonts w:hint="eastAsia"/>
                <w:color w:val="auto"/>
                <w:sz w:val="24"/>
                <w:lang w:val="en-US" w:eastAsia="zh-CN"/>
              </w:rPr>
              <w:t>5.111</w:t>
            </w:r>
            <w:r>
              <w:rPr>
                <w:color w:val="auto"/>
                <w:sz w:val="24"/>
              </w:rPr>
              <w:t>t/a，过滤棉处理效率以9</w:t>
            </w:r>
            <w:r>
              <w:rPr>
                <w:rFonts w:hint="eastAsia"/>
                <w:color w:val="auto"/>
                <w:sz w:val="24"/>
                <w:lang w:val="en-US" w:eastAsia="zh-CN"/>
              </w:rPr>
              <w:t>0</w:t>
            </w:r>
            <w:r>
              <w:rPr>
                <w:color w:val="auto"/>
                <w:sz w:val="24"/>
              </w:rPr>
              <w:t>%计，则过滤棉吸附颗粒物产生量为</w:t>
            </w:r>
            <w:r>
              <w:rPr>
                <w:rFonts w:hint="eastAsia"/>
                <w:color w:val="auto"/>
                <w:sz w:val="24"/>
                <w:lang w:val="en-US" w:eastAsia="zh-CN"/>
              </w:rPr>
              <w:t>4.599</w:t>
            </w:r>
            <w:r>
              <w:rPr>
                <w:color w:val="auto"/>
                <w:sz w:val="24"/>
              </w:rPr>
              <w:t>t/a，喷漆废气处理过程产生废过滤棉，类比同类项目，过滤棉使用量约为</w:t>
            </w:r>
            <w:r>
              <w:rPr>
                <w:rFonts w:hint="eastAsia"/>
                <w:color w:val="auto"/>
                <w:sz w:val="24"/>
                <w:lang w:val="en-US" w:eastAsia="zh-CN"/>
              </w:rPr>
              <w:t>1.5</w:t>
            </w:r>
            <w:r>
              <w:rPr>
                <w:color w:val="auto"/>
                <w:sz w:val="24"/>
              </w:rPr>
              <w:t>t/a，则废过滤棉产生量为</w:t>
            </w:r>
            <w:r>
              <w:rPr>
                <w:rFonts w:hint="eastAsia"/>
                <w:color w:val="auto"/>
                <w:sz w:val="24"/>
                <w:lang w:val="en-US" w:eastAsia="zh-CN"/>
              </w:rPr>
              <w:t>6.099</w:t>
            </w:r>
            <w:r>
              <w:rPr>
                <w:color w:val="auto"/>
                <w:sz w:val="24"/>
              </w:rPr>
              <w:t>t/a，经查询属于危险废物（HW49 其它废物900-041-49）。</w:t>
            </w:r>
          </w:p>
          <w:p>
            <w:pPr>
              <w:widowControl/>
              <w:autoSpaceDE w:val="0"/>
              <w:autoSpaceDN w:val="0"/>
              <w:adjustRightInd w:val="0"/>
              <w:snapToGrid w:val="0"/>
              <w:spacing w:line="360" w:lineRule="auto"/>
              <w:ind w:firstLine="480" w:firstLineChars="200"/>
              <w:rPr>
                <w:color w:val="auto"/>
                <w:sz w:val="24"/>
              </w:rPr>
            </w:pPr>
            <w:r>
              <w:rPr>
                <w:color w:val="auto"/>
                <w:sz w:val="24"/>
              </w:rPr>
              <w:t>处理方式：需委托有资质单位安全处置。</w:t>
            </w:r>
          </w:p>
          <w:p>
            <w:pPr>
              <w:widowControl/>
              <w:autoSpaceDE w:val="0"/>
              <w:autoSpaceDN w:val="0"/>
              <w:adjustRightInd w:val="0"/>
              <w:snapToGrid w:val="0"/>
              <w:spacing w:line="360" w:lineRule="auto"/>
              <w:ind w:firstLine="482" w:firstLineChars="200"/>
              <w:rPr>
                <w:b/>
                <w:bCs/>
                <w:color w:val="auto"/>
                <w:sz w:val="24"/>
              </w:rPr>
            </w:pPr>
            <w:r>
              <w:rPr>
                <w:b/>
                <w:bCs/>
                <w:color w:val="auto"/>
                <w:sz w:val="24"/>
              </w:rPr>
              <w:t xml:space="preserve">⑮生活垃圾 </w:t>
            </w:r>
          </w:p>
          <w:p>
            <w:pPr>
              <w:widowControl/>
              <w:autoSpaceDE w:val="0"/>
              <w:autoSpaceDN w:val="0"/>
              <w:adjustRightInd w:val="0"/>
              <w:snapToGrid w:val="0"/>
              <w:spacing w:line="360" w:lineRule="auto"/>
              <w:ind w:firstLine="480" w:firstLineChars="200"/>
              <w:rPr>
                <w:color w:val="auto"/>
                <w:sz w:val="24"/>
              </w:rPr>
            </w:pPr>
            <w:r>
              <w:rPr>
                <w:color w:val="auto"/>
                <w:sz w:val="24"/>
              </w:rPr>
              <w:t>项本项目产生的固废主要为生活垃圾。项目共有员工30人，</w:t>
            </w:r>
            <w:r>
              <w:rPr>
                <w:bCs/>
                <w:color w:val="auto"/>
                <w:kern w:val="0"/>
                <w:sz w:val="24"/>
                <w:szCs w:val="20"/>
              </w:rPr>
              <w:t>根据《城镇生活源产排污系数手册》，生活垃圾按0.42kg/人</w:t>
            </w:r>
            <w:r>
              <w:rPr>
                <w:color w:val="auto"/>
                <w:kern w:val="0"/>
                <w:sz w:val="24"/>
                <w:szCs w:val="20"/>
              </w:rPr>
              <w:t>·</w:t>
            </w:r>
            <w:r>
              <w:rPr>
                <w:bCs/>
                <w:color w:val="auto"/>
                <w:kern w:val="0"/>
                <w:sz w:val="24"/>
                <w:szCs w:val="20"/>
              </w:rPr>
              <w:t>d计算</w:t>
            </w:r>
            <w:r>
              <w:rPr>
                <w:color w:val="auto"/>
                <w:sz w:val="24"/>
              </w:rPr>
              <w:t>，则产生生活垃圾7.56t/a。</w:t>
            </w:r>
          </w:p>
          <w:p>
            <w:pPr>
              <w:widowControl/>
              <w:autoSpaceDE w:val="0"/>
              <w:autoSpaceDN w:val="0"/>
              <w:adjustRightInd w:val="0"/>
              <w:snapToGrid w:val="0"/>
              <w:spacing w:line="360" w:lineRule="auto"/>
              <w:ind w:firstLine="480" w:firstLineChars="200"/>
              <w:rPr>
                <w:color w:val="auto"/>
                <w:sz w:val="24"/>
              </w:rPr>
            </w:pPr>
            <w:r>
              <w:rPr>
                <w:color w:val="auto"/>
                <w:sz w:val="24"/>
              </w:rPr>
              <w:t>处理方式：由环卫部门定期清运。</w:t>
            </w:r>
          </w:p>
          <w:p>
            <w:pPr>
              <w:wordWrap w:val="0"/>
              <w:spacing w:line="360" w:lineRule="auto"/>
              <w:ind w:firstLine="482" w:firstLineChars="200"/>
              <w:rPr>
                <w:b/>
                <w:bCs/>
                <w:color w:val="auto"/>
                <w:sz w:val="24"/>
              </w:rPr>
            </w:pPr>
            <w:r>
              <w:rPr>
                <w:rFonts w:hint="eastAsia"/>
                <w:b/>
                <w:bCs/>
                <w:color w:val="auto"/>
                <w:sz w:val="24"/>
              </w:rPr>
              <w:t>⑯</w:t>
            </w:r>
            <w:r>
              <w:rPr>
                <w:b/>
                <w:bCs/>
                <w:color w:val="auto"/>
                <w:sz w:val="24"/>
              </w:rPr>
              <w:t>化粪池污泥</w:t>
            </w:r>
          </w:p>
          <w:p>
            <w:pPr>
              <w:widowControl/>
              <w:autoSpaceDE w:val="0"/>
              <w:autoSpaceDN w:val="0"/>
              <w:adjustRightInd w:val="0"/>
              <w:snapToGrid w:val="0"/>
              <w:spacing w:line="360" w:lineRule="auto"/>
              <w:ind w:firstLine="480" w:firstLineChars="200"/>
              <w:rPr>
                <w:color w:val="auto"/>
                <w:sz w:val="24"/>
              </w:rPr>
            </w:pPr>
            <w:r>
              <w:rPr>
                <w:color w:val="auto"/>
                <w:sz w:val="24"/>
              </w:rPr>
              <w:t>根据《建筑给排水设计标准》（GB50015-2019），化粪池计算污泥量为 0.3L/人•天，</w:t>
            </w:r>
            <w:r>
              <w:rPr>
                <w:color w:val="auto"/>
                <w:kern w:val="0"/>
                <w:sz w:val="24"/>
                <w:szCs w:val="20"/>
              </w:rPr>
              <w:t>项目职工30人，</w:t>
            </w:r>
            <w:r>
              <w:rPr>
                <w:bCs/>
                <w:color w:val="auto"/>
                <w:kern w:val="0"/>
                <w:sz w:val="24"/>
                <w:szCs w:val="20"/>
              </w:rPr>
              <w:t>年运营300d，</w:t>
            </w:r>
            <w:r>
              <w:rPr>
                <w:color w:val="auto"/>
                <w:sz w:val="24"/>
              </w:rPr>
              <w:t>则污泥产生量为2.7t/a。</w:t>
            </w:r>
          </w:p>
          <w:p>
            <w:pPr>
              <w:widowControl/>
              <w:adjustRightInd w:val="0"/>
              <w:snapToGrid w:val="0"/>
              <w:spacing w:line="360" w:lineRule="auto"/>
              <w:ind w:firstLine="480" w:firstLineChars="200"/>
              <w:rPr>
                <w:color w:val="auto"/>
                <w:kern w:val="0"/>
                <w:sz w:val="24"/>
                <w:szCs w:val="20"/>
              </w:rPr>
            </w:pPr>
            <w:r>
              <w:rPr>
                <w:color w:val="auto"/>
                <w:kern w:val="0"/>
                <w:sz w:val="24"/>
                <w:szCs w:val="20"/>
              </w:rPr>
              <w:t>化粪池污泥量计算如下：</w:t>
            </w:r>
          </w:p>
          <w:p>
            <w:pPr>
              <w:pStyle w:val="12"/>
              <w:adjustRightInd w:val="0"/>
              <w:snapToGrid w:val="0"/>
              <w:spacing w:after="0"/>
              <w:ind w:left="0" w:leftChars="0"/>
              <w:jc w:val="center"/>
              <w:rPr>
                <w:b/>
                <w:color w:val="auto"/>
                <w:sz w:val="24"/>
                <w:szCs w:val="24"/>
              </w:rPr>
            </w:pPr>
            <w:r>
              <w:rPr>
                <w:b/>
                <w:color w:val="auto"/>
                <w:sz w:val="24"/>
                <w:szCs w:val="24"/>
              </w:rPr>
              <w:t>表4.</w:t>
            </w:r>
            <w:r>
              <w:rPr>
                <w:rFonts w:hint="eastAsia"/>
                <w:b/>
                <w:color w:val="auto"/>
                <w:sz w:val="24"/>
                <w:szCs w:val="24"/>
              </w:rPr>
              <w:t>2-2</w:t>
            </w:r>
            <w:r>
              <w:rPr>
                <w:rFonts w:hint="eastAsia"/>
                <w:b/>
                <w:color w:val="auto"/>
                <w:sz w:val="24"/>
                <w:szCs w:val="24"/>
                <w:lang w:val="en-US" w:eastAsia="zh-CN"/>
              </w:rPr>
              <w:t>3</w:t>
            </w:r>
            <w:r>
              <w:rPr>
                <w:rFonts w:hint="eastAsia"/>
                <w:b/>
                <w:color w:val="auto"/>
                <w:sz w:val="24"/>
                <w:szCs w:val="24"/>
              </w:rPr>
              <w:t xml:space="preserve"> </w:t>
            </w:r>
            <w:r>
              <w:rPr>
                <w:b/>
                <w:color w:val="auto"/>
                <w:sz w:val="24"/>
                <w:szCs w:val="24"/>
              </w:rPr>
              <w:t>化粪池每人每日计算污泥量</w:t>
            </w:r>
            <w:r>
              <w:rPr>
                <w:color w:val="auto"/>
                <w:sz w:val="21"/>
                <w:szCs w:val="21"/>
              </w:rPr>
              <w:t>单位:L⑯</w:t>
            </w:r>
          </w:p>
          <w:tbl>
            <w:tblPr>
              <w:tblStyle w:val="20"/>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
            <w:tblGrid>
              <w:gridCol w:w="3488"/>
              <w:gridCol w:w="2892"/>
              <w:gridCol w:w="203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13" w:hRule="atLeast"/>
                <w:jc w:val="center"/>
              </w:trPr>
              <w:tc>
                <w:tcPr>
                  <w:tcW w:w="2072"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建筑物分类</w:t>
                  </w:r>
                </w:p>
              </w:tc>
              <w:tc>
                <w:tcPr>
                  <w:tcW w:w="1718"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生活污水与生活废水合流排入</w:t>
                  </w:r>
                </w:p>
              </w:tc>
              <w:tc>
                <w:tcPr>
                  <w:tcW w:w="1210"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生活污水单独排入</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13" w:hRule="atLeast"/>
                <w:jc w:val="center"/>
              </w:trPr>
              <w:tc>
                <w:tcPr>
                  <w:tcW w:w="2072"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有住宿的建筑物</w:t>
                  </w:r>
                </w:p>
              </w:tc>
              <w:tc>
                <w:tcPr>
                  <w:tcW w:w="1718"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0.7</w:t>
                  </w:r>
                </w:p>
              </w:tc>
              <w:tc>
                <w:tcPr>
                  <w:tcW w:w="1210"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0.4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13" w:hRule="atLeast"/>
                <w:jc w:val="center"/>
              </w:trPr>
              <w:tc>
                <w:tcPr>
                  <w:tcW w:w="2072"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人员逗留时间＞4h，并≤10h的建筑物</w:t>
                  </w:r>
                </w:p>
              </w:tc>
              <w:tc>
                <w:tcPr>
                  <w:tcW w:w="1718"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0.3</w:t>
                  </w:r>
                </w:p>
              </w:tc>
              <w:tc>
                <w:tcPr>
                  <w:tcW w:w="1210"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0.2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13" w:hRule="atLeast"/>
                <w:jc w:val="center"/>
              </w:trPr>
              <w:tc>
                <w:tcPr>
                  <w:tcW w:w="2072"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人员逗留时间≤4h的建筑物</w:t>
                  </w:r>
                </w:p>
              </w:tc>
              <w:tc>
                <w:tcPr>
                  <w:tcW w:w="1718"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0.1</w:t>
                  </w:r>
                </w:p>
              </w:tc>
              <w:tc>
                <w:tcPr>
                  <w:tcW w:w="1210" w:type="pct"/>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0.07</w:t>
                  </w:r>
                </w:p>
              </w:tc>
            </w:tr>
          </w:tbl>
          <w:p>
            <w:pPr>
              <w:wordWrap w:val="0"/>
              <w:spacing w:line="360" w:lineRule="auto"/>
              <w:ind w:firstLine="482" w:firstLineChars="200"/>
              <w:rPr>
                <w:b/>
                <w:bCs/>
                <w:color w:val="auto"/>
                <w:sz w:val="24"/>
              </w:rPr>
            </w:pPr>
            <w:r>
              <w:rPr>
                <w:b/>
                <w:bCs/>
                <w:color w:val="auto"/>
                <w:sz w:val="24"/>
              </w:rPr>
              <w:t>4.</w:t>
            </w:r>
            <w:r>
              <w:rPr>
                <w:rFonts w:hint="eastAsia"/>
                <w:b/>
                <w:bCs/>
                <w:color w:val="auto"/>
                <w:sz w:val="24"/>
                <w:lang w:val="en-US" w:eastAsia="zh-CN"/>
              </w:rPr>
              <w:t>3</w:t>
            </w:r>
            <w:r>
              <w:rPr>
                <w:b/>
                <w:bCs/>
                <w:color w:val="auto"/>
                <w:sz w:val="24"/>
              </w:rPr>
              <w:t>固体废物环境影响分析</w:t>
            </w:r>
          </w:p>
          <w:p>
            <w:pPr>
              <w:pStyle w:val="2"/>
              <w:wordWrap w:val="0"/>
              <w:spacing w:before="0" w:after="0" w:line="360" w:lineRule="auto"/>
              <w:ind w:right="0" w:firstLine="482" w:firstLineChars="200"/>
              <w:rPr>
                <w:b/>
                <w:bCs/>
                <w:color w:val="auto"/>
                <w:sz w:val="24"/>
                <w:szCs w:val="24"/>
              </w:rPr>
            </w:pPr>
            <w:r>
              <w:rPr>
                <w:b/>
                <w:bCs/>
                <w:color w:val="auto"/>
                <w:sz w:val="24"/>
                <w:szCs w:val="24"/>
              </w:rPr>
              <w:t>（1）对环境及敏感目标影响</w:t>
            </w:r>
          </w:p>
          <w:p>
            <w:pPr>
              <w:wordWrap w:val="0"/>
              <w:spacing w:line="360" w:lineRule="auto"/>
              <w:ind w:firstLine="480" w:firstLineChars="200"/>
              <w:rPr>
                <w:color w:val="auto"/>
                <w:sz w:val="24"/>
              </w:rPr>
            </w:pPr>
            <w:r>
              <w:rPr>
                <w:color w:val="auto"/>
                <w:sz w:val="24"/>
              </w:rPr>
              <w:t>通常，固体废物中有害物质通过释放到水体、土壤和大气中而进入环境，对环境造成影响，影响的程度取决于释放过程中污染物的转移量及其进入环境后的浓度。</w:t>
            </w:r>
          </w:p>
          <w:p>
            <w:pPr>
              <w:wordWrap w:val="0"/>
              <w:spacing w:line="360" w:lineRule="auto"/>
              <w:ind w:firstLine="480" w:firstLineChars="200"/>
              <w:rPr>
                <w:color w:val="auto"/>
                <w:sz w:val="24"/>
              </w:rPr>
            </w:pPr>
            <w:r>
              <w:rPr>
                <w:color w:val="auto"/>
                <w:sz w:val="24"/>
              </w:rPr>
              <w:t>企业从其产生固体废物的种类及其成分来看，若不妥善处置，有可能对土壤、水体、环境空气质量产生影响。</w:t>
            </w:r>
          </w:p>
          <w:p>
            <w:pPr>
              <w:wordWrap w:val="0"/>
              <w:spacing w:line="360" w:lineRule="auto"/>
              <w:ind w:firstLine="480" w:firstLineChars="200"/>
              <w:rPr>
                <w:color w:val="auto"/>
                <w:sz w:val="24"/>
              </w:rPr>
            </w:pPr>
            <w:r>
              <w:rPr>
                <w:color w:val="auto"/>
                <w:sz w:val="24"/>
              </w:rPr>
              <w:t>I、对土壤环境的影响分析</w:t>
            </w:r>
          </w:p>
          <w:p>
            <w:pPr>
              <w:wordWrap w:val="0"/>
              <w:spacing w:line="360" w:lineRule="auto"/>
              <w:ind w:firstLine="480" w:firstLineChars="200"/>
              <w:rPr>
                <w:color w:val="auto"/>
                <w:sz w:val="24"/>
              </w:rPr>
            </w:pPr>
            <w:r>
              <w:rPr>
                <w:color w:val="auto"/>
                <w:sz w:val="24"/>
              </w:rPr>
              <w:t>企业废活性炭等危险废物泄漏，可能对土壤造成一定程度的污染。</w:t>
            </w:r>
          </w:p>
          <w:p>
            <w:pPr>
              <w:wordWrap w:val="0"/>
              <w:spacing w:line="360" w:lineRule="auto"/>
              <w:ind w:firstLine="480" w:firstLineChars="200"/>
              <w:rPr>
                <w:color w:val="auto"/>
                <w:sz w:val="24"/>
              </w:rPr>
            </w:pPr>
            <w:r>
              <w:rPr>
                <w:color w:val="auto"/>
                <w:sz w:val="24"/>
              </w:rPr>
              <w:t>II、对水环境的影响分析</w:t>
            </w:r>
          </w:p>
          <w:p>
            <w:pPr>
              <w:wordWrap w:val="0"/>
              <w:spacing w:line="360" w:lineRule="auto"/>
              <w:ind w:firstLine="480" w:firstLineChars="200"/>
              <w:rPr>
                <w:color w:val="auto"/>
                <w:sz w:val="24"/>
              </w:rPr>
            </w:pPr>
            <w:r>
              <w:rPr>
                <w:color w:val="auto"/>
                <w:sz w:val="24"/>
              </w:rPr>
              <w:t>企业储存场所若未采取防雨、防渗措施，工业固体废物（尤其是危险废物）一旦与水（雨水、地表径流水或地下水等）接触，固体废物中的有害成分就会不可避免地或多或少被浸滤出来，污染物（有害成分）随浸出液进入地面水体和地下水层，可能对地面水体和地下水体造成污染，造成二次污染。</w:t>
            </w:r>
          </w:p>
          <w:p>
            <w:pPr>
              <w:wordWrap w:val="0"/>
              <w:spacing w:line="360" w:lineRule="auto"/>
              <w:ind w:firstLine="480" w:firstLineChars="200"/>
              <w:rPr>
                <w:color w:val="auto"/>
                <w:sz w:val="24"/>
              </w:rPr>
            </w:pPr>
            <w:r>
              <w:rPr>
                <w:color w:val="auto"/>
                <w:sz w:val="24"/>
              </w:rPr>
              <w:t>III、对环境空气的影响分析</w:t>
            </w:r>
          </w:p>
          <w:p>
            <w:pPr>
              <w:wordWrap w:val="0"/>
              <w:spacing w:line="360" w:lineRule="auto"/>
              <w:ind w:firstLine="480" w:firstLineChars="200"/>
              <w:rPr>
                <w:color w:val="auto"/>
                <w:sz w:val="24"/>
              </w:rPr>
            </w:pPr>
            <w:r>
              <w:rPr>
                <w:color w:val="auto"/>
                <w:sz w:val="24"/>
              </w:rPr>
              <w:t>企业危险废物废活性炭等，若对这些不进行妥善处置，或在包装、运输过程中泄漏，则会对附近敏感点或运输线路沿线的环境空气造成一定的污染影响。</w:t>
            </w:r>
          </w:p>
          <w:p>
            <w:pPr>
              <w:wordWrap w:val="0"/>
              <w:spacing w:line="360" w:lineRule="auto"/>
              <w:ind w:firstLine="480" w:firstLineChars="200"/>
              <w:rPr>
                <w:color w:val="auto"/>
                <w:sz w:val="24"/>
              </w:rPr>
            </w:pPr>
            <w:r>
              <w:rPr>
                <w:color w:val="auto"/>
                <w:sz w:val="24"/>
              </w:rPr>
              <w:t>本项目产生固废根据其特性分别采用密封桶装或袋装方式，并单独分区存储，贮存过程不会对环境空气和地表水产生影响；危险废物暂存场所须防腐防渗处理，泄漏物料不会对地下水和土壤造成污染。</w:t>
            </w:r>
          </w:p>
          <w:p>
            <w:pPr>
              <w:wordWrap w:val="0"/>
              <w:spacing w:line="360" w:lineRule="auto"/>
              <w:ind w:firstLine="482" w:firstLineChars="200"/>
              <w:rPr>
                <w:b/>
                <w:bCs/>
                <w:color w:val="auto"/>
                <w:sz w:val="24"/>
              </w:rPr>
            </w:pPr>
            <w:r>
              <w:rPr>
                <w:b/>
                <w:bCs/>
                <w:color w:val="auto"/>
                <w:sz w:val="24"/>
              </w:rPr>
              <w:t>（2）暂存影响分析</w:t>
            </w:r>
          </w:p>
          <w:p>
            <w:pPr>
              <w:wordWrap w:val="0"/>
              <w:spacing w:line="360" w:lineRule="auto"/>
              <w:ind w:firstLine="482" w:firstLineChars="200"/>
              <w:rPr>
                <w:b/>
                <w:bCs/>
                <w:color w:val="auto"/>
                <w:sz w:val="24"/>
              </w:rPr>
            </w:pPr>
            <w:r>
              <w:rPr>
                <w:b/>
                <w:bCs/>
                <w:color w:val="auto"/>
                <w:sz w:val="24"/>
              </w:rPr>
              <w:t>1）一般固体废物暂存库建设要求</w:t>
            </w:r>
          </w:p>
          <w:p>
            <w:pPr>
              <w:wordWrap w:val="0"/>
              <w:spacing w:line="360" w:lineRule="auto"/>
              <w:ind w:firstLine="480" w:firstLineChars="200"/>
              <w:rPr>
                <w:color w:val="auto"/>
                <w:sz w:val="24"/>
              </w:rPr>
            </w:pPr>
            <w:r>
              <w:rPr>
                <w:color w:val="auto"/>
                <w:sz w:val="24"/>
              </w:rPr>
              <w:t>一般固体废物暂存库应按照《一般工业固体废物贮存和填埋污染控制标准》（GB18599-2020）要求建设：</w:t>
            </w:r>
          </w:p>
          <w:p>
            <w:pPr>
              <w:wordWrap w:val="0"/>
              <w:spacing w:line="360" w:lineRule="auto"/>
              <w:ind w:firstLine="480" w:firstLineChars="200"/>
              <w:rPr>
                <w:color w:val="auto"/>
                <w:sz w:val="24"/>
                <w:lang w:val="zh-CN"/>
              </w:rPr>
            </w:pPr>
            <w:r>
              <w:rPr>
                <w:color w:val="auto"/>
                <w:sz w:val="24"/>
              </w:rPr>
              <w:t>①暂存库</w:t>
            </w:r>
            <w:r>
              <w:rPr>
                <w:color w:val="auto"/>
                <w:sz w:val="24"/>
                <w:lang w:val="zh-CN"/>
              </w:rPr>
              <w:t>的选址应符合环境保护法律法规及相关法定规划要求。</w:t>
            </w:r>
          </w:p>
          <w:p>
            <w:pPr>
              <w:wordWrap w:val="0"/>
              <w:spacing w:line="360" w:lineRule="auto"/>
              <w:ind w:firstLine="480" w:firstLineChars="200"/>
              <w:rPr>
                <w:color w:val="auto"/>
                <w:sz w:val="24"/>
              </w:rPr>
            </w:pPr>
            <w:r>
              <w:rPr>
                <w:color w:val="auto"/>
                <w:sz w:val="24"/>
              </w:rPr>
              <w:t>②暂存库</w:t>
            </w:r>
            <w:r>
              <w:rPr>
                <w:color w:val="auto"/>
                <w:sz w:val="24"/>
                <w:lang w:val="zh-CN"/>
              </w:rPr>
              <w:t>的位置与周围居民区的距离应依据环境影响评价文件及审批意见确定。</w:t>
            </w:r>
          </w:p>
          <w:p>
            <w:pPr>
              <w:wordWrap w:val="0"/>
              <w:spacing w:line="360" w:lineRule="auto"/>
              <w:ind w:firstLine="480" w:firstLineChars="200"/>
              <w:rPr>
                <w:color w:val="auto"/>
                <w:sz w:val="24"/>
              </w:rPr>
            </w:pPr>
            <w:r>
              <w:rPr>
                <w:color w:val="auto"/>
                <w:sz w:val="24"/>
              </w:rPr>
              <w:t>③暂存库</w:t>
            </w:r>
            <w:r>
              <w:rPr>
                <w:color w:val="auto"/>
                <w:sz w:val="24"/>
                <w:lang w:val="zh-CN"/>
              </w:rPr>
              <w:t>不得选在生态保护红线区域、永久基本农田集中区域和其他需要特别保护的区域内。</w:t>
            </w:r>
          </w:p>
          <w:p>
            <w:pPr>
              <w:wordWrap w:val="0"/>
              <w:spacing w:line="360" w:lineRule="auto"/>
              <w:ind w:firstLine="480" w:firstLineChars="200"/>
              <w:rPr>
                <w:color w:val="auto"/>
                <w:sz w:val="24"/>
              </w:rPr>
            </w:pPr>
            <w:r>
              <w:rPr>
                <w:color w:val="auto"/>
                <w:sz w:val="24"/>
              </w:rPr>
              <w:t>④暂存库</w:t>
            </w:r>
            <w:r>
              <w:rPr>
                <w:color w:val="auto"/>
                <w:sz w:val="24"/>
                <w:lang w:val="zh-CN"/>
              </w:rPr>
              <w:t>应避开活动断层、溶洞区、天然滑坡或泥石流影响区以及湿地等区域。</w:t>
            </w:r>
          </w:p>
          <w:p>
            <w:pPr>
              <w:wordWrap w:val="0"/>
              <w:spacing w:line="360" w:lineRule="auto"/>
              <w:ind w:firstLine="480" w:firstLineChars="200"/>
              <w:rPr>
                <w:color w:val="auto"/>
                <w:sz w:val="24"/>
              </w:rPr>
            </w:pPr>
            <w:r>
              <w:rPr>
                <w:color w:val="auto"/>
                <w:sz w:val="24"/>
              </w:rPr>
              <w:t>⑤暂存库</w:t>
            </w:r>
            <w:r>
              <w:rPr>
                <w:color w:val="auto"/>
                <w:sz w:val="24"/>
                <w:lang w:val="zh-CN"/>
              </w:rPr>
              <w:t>不得选在江河、湖泊、运河、渠道、水库最高水位线以下的滩地和岸坡，以及国家和地方长远规划中的水库等人工蓄水设施的淹没区和保护区之内。</w:t>
            </w:r>
          </w:p>
          <w:p>
            <w:pPr>
              <w:wordWrap w:val="0"/>
              <w:spacing w:line="360" w:lineRule="auto"/>
              <w:ind w:firstLine="482" w:firstLineChars="200"/>
              <w:rPr>
                <w:b/>
                <w:bCs/>
                <w:color w:val="auto"/>
                <w:sz w:val="24"/>
              </w:rPr>
            </w:pPr>
            <w:r>
              <w:rPr>
                <w:b/>
                <w:bCs/>
                <w:color w:val="auto"/>
                <w:sz w:val="24"/>
              </w:rPr>
              <w:t>2）危险废物废暂存库建设要求</w:t>
            </w:r>
          </w:p>
          <w:p>
            <w:pPr>
              <w:wordWrap w:val="0"/>
              <w:spacing w:line="360" w:lineRule="auto"/>
              <w:ind w:firstLine="480" w:firstLineChars="200"/>
              <w:rPr>
                <w:color w:val="auto"/>
                <w:sz w:val="24"/>
                <w:szCs w:val="22"/>
              </w:rPr>
            </w:pPr>
            <w:r>
              <w:rPr>
                <w:color w:val="auto"/>
                <w:sz w:val="24"/>
              </w:rPr>
              <w:t>危险废物废暂存库应按照《危险废物贮存污染物控制标准》（GB18597-2023）中危险废物贮存</w:t>
            </w:r>
            <w:r>
              <w:rPr>
                <w:color w:val="auto"/>
                <w:sz w:val="24"/>
                <w:szCs w:val="22"/>
              </w:rPr>
              <w:t>设施（仓库式）的设计原则要求建设：</w:t>
            </w:r>
          </w:p>
          <w:p>
            <w:pPr>
              <w:wordWrap w:val="0"/>
              <w:spacing w:line="360" w:lineRule="auto"/>
              <w:ind w:firstLine="480" w:firstLineChars="200"/>
              <w:rPr>
                <w:color w:val="auto"/>
                <w:sz w:val="24"/>
                <w:szCs w:val="22"/>
              </w:rPr>
            </w:pPr>
            <w:r>
              <w:rPr>
                <w:color w:val="auto"/>
                <w:sz w:val="24"/>
              </w:rPr>
              <w:t>①</w:t>
            </w:r>
            <w:r>
              <w:rPr>
                <w:color w:val="auto"/>
                <w:sz w:val="24"/>
                <w:szCs w:val="22"/>
              </w:rPr>
              <w:t>危废暂存库的地面与裙脚已用坚固、防渗的材料建造，墙角四周开截留沟槽，设置集水井，并刷环氧漆。</w:t>
            </w:r>
          </w:p>
          <w:p>
            <w:pPr>
              <w:wordWrap w:val="0"/>
              <w:spacing w:line="360" w:lineRule="auto"/>
              <w:ind w:firstLine="480" w:firstLineChars="200"/>
              <w:rPr>
                <w:color w:val="auto"/>
                <w:sz w:val="24"/>
                <w:szCs w:val="22"/>
              </w:rPr>
            </w:pPr>
            <w:r>
              <w:rPr>
                <w:color w:val="auto"/>
                <w:sz w:val="24"/>
              </w:rPr>
              <w:t>②</w:t>
            </w:r>
            <w:r>
              <w:rPr>
                <w:color w:val="auto"/>
                <w:sz w:val="24"/>
                <w:szCs w:val="22"/>
              </w:rPr>
              <w:t>库内有泄漏液体收集装置、气体导出口；并设有安全照明设施（防爆灯）和观察窗口；用防渗托盘存放装载液体、半固体的危险废物。</w:t>
            </w:r>
          </w:p>
          <w:p>
            <w:pPr>
              <w:wordWrap w:val="0"/>
              <w:spacing w:line="360" w:lineRule="auto"/>
              <w:ind w:firstLine="480" w:firstLineChars="200"/>
              <w:rPr>
                <w:color w:val="auto"/>
                <w:sz w:val="24"/>
                <w:szCs w:val="22"/>
              </w:rPr>
            </w:pPr>
            <w:r>
              <w:rPr>
                <w:color w:val="auto"/>
                <w:sz w:val="24"/>
              </w:rPr>
              <w:t>③</w:t>
            </w:r>
            <w:r>
              <w:rPr>
                <w:color w:val="auto"/>
                <w:sz w:val="24"/>
                <w:szCs w:val="22"/>
              </w:rPr>
              <w:t>不相容的危险废物已分开存放，并设有隔离间隔断。</w:t>
            </w:r>
          </w:p>
          <w:p>
            <w:pPr>
              <w:wordWrap w:val="0"/>
              <w:spacing w:line="360" w:lineRule="auto"/>
              <w:ind w:firstLine="480" w:firstLineChars="200"/>
              <w:rPr>
                <w:color w:val="auto"/>
                <w:sz w:val="24"/>
                <w:szCs w:val="22"/>
              </w:rPr>
            </w:pPr>
            <w:r>
              <w:rPr>
                <w:color w:val="auto"/>
                <w:sz w:val="24"/>
              </w:rPr>
              <w:t>④</w:t>
            </w:r>
            <w:r>
              <w:rPr>
                <w:color w:val="auto"/>
                <w:sz w:val="24"/>
                <w:szCs w:val="22"/>
              </w:rPr>
              <w:t>对于会有挥发性气体产生的固废，建议装在有内衬的吨袋里，密封存贮，并定期处置。</w:t>
            </w:r>
          </w:p>
          <w:p>
            <w:pPr>
              <w:wordWrap w:val="0"/>
              <w:spacing w:line="360" w:lineRule="auto"/>
              <w:ind w:firstLine="480" w:firstLineChars="200"/>
              <w:rPr>
                <w:color w:val="auto"/>
                <w:sz w:val="24"/>
              </w:rPr>
            </w:pPr>
            <w:r>
              <w:rPr>
                <w:color w:val="auto"/>
                <w:sz w:val="24"/>
              </w:rPr>
              <w:t>与此同时，企业应按照</w:t>
            </w:r>
            <w:r>
              <w:rPr>
                <w:bCs/>
                <w:color w:val="auto"/>
                <w:sz w:val="24"/>
                <w:lang w:val="zh-CN"/>
              </w:rPr>
              <w:t>《省生态环境厅关于做好江苏省危险废物全生命周期监控系统上线运行工作的通知》（苏环办</w:t>
            </w:r>
            <w:r>
              <w:rPr>
                <w:bCs/>
                <w:color w:val="auto"/>
                <w:sz w:val="24"/>
              </w:rPr>
              <w:t>〔</w:t>
            </w:r>
            <w:r>
              <w:rPr>
                <w:bCs/>
                <w:color w:val="auto"/>
                <w:sz w:val="24"/>
                <w:lang w:val="zh-CN"/>
              </w:rPr>
              <w:t>2020</w:t>
            </w:r>
            <w:r>
              <w:rPr>
                <w:bCs/>
                <w:color w:val="auto"/>
                <w:sz w:val="24"/>
              </w:rPr>
              <w:t>〕</w:t>
            </w:r>
            <w:r>
              <w:rPr>
                <w:bCs/>
                <w:color w:val="auto"/>
                <w:sz w:val="24"/>
                <w:lang w:val="zh-CN"/>
              </w:rPr>
              <w:t>401号）</w:t>
            </w:r>
            <w:r>
              <w:rPr>
                <w:color w:val="auto"/>
                <w:sz w:val="24"/>
              </w:rPr>
              <w:t>的相关要求，建立“三牌一签制度”，并设有视频监控、烟感探测器、去静电装置以及灭火器等设施。项目危险固废及时处置，存储期不超过一年，危废进出库都有台帐记录，各类固体废物均得到有效处置，实现零排放，不会造成二次污染。</w:t>
            </w:r>
          </w:p>
          <w:p>
            <w:pPr>
              <w:wordWrap w:val="0"/>
              <w:spacing w:line="360" w:lineRule="auto"/>
              <w:ind w:firstLine="480" w:firstLineChars="200"/>
              <w:rPr>
                <w:color w:val="auto"/>
                <w:sz w:val="24"/>
              </w:rPr>
            </w:pPr>
            <w:r>
              <w:rPr>
                <w:color w:val="auto"/>
                <w:sz w:val="24"/>
              </w:rPr>
              <w:t>综上，建议企业今后严格按照《危险废物贮存污染物控制标准》（GB18597-2023）以及</w:t>
            </w:r>
            <w:r>
              <w:rPr>
                <w:bCs/>
                <w:color w:val="auto"/>
                <w:sz w:val="24"/>
                <w:lang w:val="zh-CN"/>
              </w:rPr>
              <w:t>《省生态环境厅关于做好江苏省危险废物全生命周期监控系统上线运行工作的通知》（苏环办</w:t>
            </w:r>
            <w:r>
              <w:rPr>
                <w:bCs/>
                <w:color w:val="auto"/>
                <w:sz w:val="24"/>
              </w:rPr>
              <w:t>〔</w:t>
            </w:r>
            <w:r>
              <w:rPr>
                <w:bCs/>
                <w:color w:val="auto"/>
                <w:sz w:val="24"/>
                <w:lang w:val="zh-CN"/>
              </w:rPr>
              <w:t>2020</w:t>
            </w:r>
            <w:r>
              <w:rPr>
                <w:bCs/>
                <w:color w:val="auto"/>
                <w:sz w:val="24"/>
              </w:rPr>
              <w:t>〕</w:t>
            </w:r>
            <w:r>
              <w:rPr>
                <w:bCs/>
                <w:color w:val="auto"/>
                <w:sz w:val="24"/>
                <w:lang w:val="zh-CN"/>
              </w:rPr>
              <w:t>401号）、《省生态环境厅关于做好《危险废物贮存污染控制标准》等标准规范实施后危险废物环境管理衔接工作的通知》（苏环办[2023]154号）</w:t>
            </w:r>
            <w:r>
              <w:rPr>
                <w:color w:val="auto"/>
                <w:sz w:val="24"/>
              </w:rPr>
              <w:t>的相关要求，规范的危废的存储与处置，每年按要求登录江苏省危险废物动态管理系统，如实申报并制定危废管理计划；日常危废的进出库记录好台帐（注明危险废物的名称、来源、数量、特性和包装容器的类别、入库日期、存放库位、废物出库日期及接收单位名称）。</w:t>
            </w:r>
          </w:p>
          <w:p>
            <w:pPr>
              <w:tabs>
                <w:tab w:val="left" w:pos="360"/>
              </w:tabs>
              <w:wordWrap w:val="0"/>
              <w:autoSpaceDE w:val="0"/>
              <w:autoSpaceDN w:val="0"/>
              <w:adjustRightInd w:val="0"/>
              <w:spacing w:line="360" w:lineRule="auto"/>
              <w:ind w:firstLine="482" w:firstLineChars="200"/>
              <w:rPr>
                <w:b/>
                <w:bCs/>
                <w:color w:val="auto"/>
                <w:sz w:val="24"/>
              </w:rPr>
            </w:pPr>
            <w:r>
              <w:rPr>
                <w:b/>
                <w:bCs/>
                <w:color w:val="auto"/>
                <w:sz w:val="24"/>
              </w:rPr>
              <w:t>3）危险废物暂存场所贮存及管理要求</w:t>
            </w:r>
          </w:p>
          <w:p>
            <w:pPr>
              <w:tabs>
                <w:tab w:val="left" w:pos="360"/>
              </w:tabs>
              <w:wordWrap w:val="0"/>
              <w:autoSpaceDE w:val="0"/>
              <w:autoSpaceDN w:val="0"/>
              <w:adjustRightInd w:val="0"/>
              <w:spacing w:line="360" w:lineRule="auto"/>
              <w:ind w:firstLine="480" w:firstLineChars="200"/>
              <w:rPr>
                <w:color w:val="auto"/>
                <w:sz w:val="24"/>
              </w:rPr>
            </w:pPr>
            <w:r>
              <w:rPr>
                <w:color w:val="auto"/>
                <w:sz w:val="24"/>
              </w:rPr>
              <w:t>本项目危险废物贮存及管理的一般要求为：</w:t>
            </w:r>
          </w:p>
          <w:p>
            <w:pPr>
              <w:tabs>
                <w:tab w:val="left" w:pos="360"/>
              </w:tabs>
              <w:wordWrap w:val="0"/>
              <w:autoSpaceDE w:val="0"/>
              <w:autoSpaceDN w:val="0"/>
              <w:adjustRightInd w:val="0"/>
              <w:spacing w:line="360" w:lineRule="auto"/>
              <w:ind w:firstLine="480" w:firstLineChars="200"/>
              <w:rPr>
                <w:color w:val="auto"/>
                <w:sz w:val="24"/>
              </w:rPr>
            </w:pPr>
            <w:r>
              <w:rPr>
                <w:color w:val="auto"/>
                <w:sz w:val="24"/>
              </w:rPr>
              <w:t>①盛装在容器内的同类危险废物可以堆叠存放。</w:t>
            </w:r>
          </w:p>
          <w:p>
            <w:pPr>
              <w:tabs>
                <w:tab w:val="left" w:pos="360"/>
              </w:tabs>
              <w:wordWrap w:val="0"/>
              <w:autoSpaceDE w:val="0"/>
              <w:autoSpaceDN w:val="0"/>
              <w:adjustRightInd w:val="0"/>
              <w:spacing w:line="360" w:lineRule="auto"/>
              <w:ind w:firstLine="480" w:firstLineChars="200"/>
              <w:rPr>
                <w:color w:val="auto"/>
                <w:sz w:val="24"/>
              </w:rPr>
            </w:pPr>
            <w:r>
              <w:rPr>
                <w:color w:val="auto"/>
                <w:sz w:val="24"/>
              </w:rPr>
              <w:t>②每个堆间应留有搬运通道。</w:t>
            </w:r>
          </w:p>
          <w:p>
            <w:pPr>
              <w:tabs>
                <w:tab w:val="left" w:pos="360"/>
              </w:tabs>
              <w:wordWrap w:val="0"/>
              <w:autoSpaceDE w:val="0"/>
              <w:autoSpaceDN w:val="0"/>
              <w:adjustRightInd w:val="0"/>
              <w:spacing w:line="360" w:lineRule="auto"/>
              <w:ind w:firstLine="480" w:firstLineChars="200"/>
              <w:rPr>
                <w:color w:val="auto"/>
                <w:sz w:val="24"/>
              </w:rPr>
            </w:pPr>
            <w:r>
              <w:rPr>
                <w:color w:val="auto"/>
                <w:sz w:val="24"/>
              </w:rPr>
              <w:t>③危险废物产生者和危险废物贮存设施经营者均须做好危险废物情况的记录，记录上须注明危险废物的名称、来源、数量、特性和包装容器的类别、入库日期、存放库位、废物出库日期及接收单位名称。危险废物的记录和货单在危险废物回取后应继续保留5年。</w:t>
            </w:r>
          </w:p>
          <w:p>
            <w:pPr>
              <w:tabs>
                <w:tab w:val="left" w:pos="360"/>
              </w:tabs>
              <w:wordWrap w:val="0"/>
              <w:autoSpaceDE w:val="0"/>
              <w:autoSpaceDN w:val="0"/>
              <w:adjustRightInd w:val="0"/>
              <w:spacing w:line="360" w:lineRule="auto"/>
              <w:ind w:firstLine="480" w:firstLineChars="200"/>
              <w:rPr>
                <w:color w:val="auto"/>
                <w:sz w:val="24"/>
              </w:rPr>
            </w:pPr>
            <w:r>
              <w:rPr>
                <w:color w:val="auto"/>
                <w:sz w:val="24"/>
              </w:rPr>
              <w:t>④必须定期对所贮存的危险废物包装容器及贮存设施进行检查，发现破损，应及时采取措施清理更换。</w:t>
            </w:r>
          </w:p>
          <w:p>
            <w:pPr>
              <w:tabs>
                <w:tab w:val="left" w:pos="360"/>
              </w:tabs>
              <w:wordWrap w:val="0"/>
              <w:autoSpaceDE w:val="0"/>
              <w:autoSpaceDN w:val="0"/>
              <w:adjustRightInd w:val="0"/>
              <w:spacing w:line="360" w:lineRule="auto"/>
              <w:ind w:firstLine="480" w:firstLineChars="200"/>
              <w:rPr>
                <w:color w:val="auto"/>
                <w:sz w:val="24"/>
              </w:rPr>
            </w:pPr>
            <w:r>
              <w:rPr>
                <w:color w:val="auto"/>
                <w:sz w:val="24"/>
              </w:rPr>
              <w:t>⑤不得将不相容的废物混合或合并存放。</w:t>
            </w:r>
          </w:p>
          <w:p>
            <w:pPr>
              <w:tabs>
                <w:tab w:val="left" w:pos="360"/>
              </w:tabs>
              <w:wordWrap w:val="0"/>
              <w:autoSpaceDE w:val="0"/>
              <w:autoSpaceDN w:val="0"/>
              <w:adjustRightInd w:val="0"/>
              <w:spacing w:line="360" w:lineRule="auto"/>
              <w:ind w:firstLine="480" w:firstLineChars="200"/>
              <w:rPr>
                <w:color w:val="auto"/>
                <w:sz w:val="24"/>
              </w:rPr>
            </w:pPr>
            <w:r>
              <w:rPr>
                <w:color w:val="auto"/>
                <w:sz w:val="24"/>
              </w:rPr>
              <w:t>⑥危险废物贮存设施都必须按GB15562.2的规定设置警示标志。</w:t>
            </w:r>
          </w:p>
          <w:p>
            <w:pPr>
              <w:tabs>
                <w:tab w:val="left" w:pos="360"/>
              </w:tabs>
              <w:wordWrap w:val="0"/>
              <w:autoSpaceDE w:val="0"/>
              <w:autoSpaceDN w:val="0"/>
              <w:adjustRightInd w:val="0"/>
              <w:spacing w:line="360" w:lineRule="auto"/>
              <w:ind w:firstLine="480" w:firstLineChars="200"/>
              <w:rPr>
                <w:color w:val="auto"/>
                <w:sz w:val="24"/>
              </w:rPr>
            </w:pPr>
            <w:r>
              <w:rPr>
                <w:color w:val="auto"/>
                <w:sz w:val="24"/>
              </w:rPr>
              <w:t>⑦危险废物贮存设施周围应设置围墙或其他防护栅栏。</w:t>
            </w:r>
          </w:p>
          <w:p>
            <w:pPr>
              <w:tabs>
                <w:tab w:val="left" w:pos="360"/>
              </w:tabs>
              <w:wordWrap w:val="0"/>
              <w:autoSpaceDE w:val="0"/>
              <w:autoSpaceDN w:val="0"/>
              <w:adjustRightInd w:val="0"/>
              <w:spacing w:line="360" w:lineRule="auto"/>
              <w:ind w:firstLine="480" w:firstLineChars="200"/>
              <w:rPr>
                <w:color w:val="auto"/>
                <w:sz w:val="24"/>
              </w:rPr>
            </w:pPr>
            <w:r>
              <w:rPr>
                <w:color w:val="auto"/>
                <w:sz w:val="24"/>
              </w:rPr>
              <w:t>⑧危险废物贮存设施应配备通讯设备、照明设施、安全防护服装及工具，并设有应急防护设施；</w:t>
            </w:r>
          </w:p>
          <w:p>
            <w:pPr>
              <w:tabs>
                <w:tab w:val="left" w:pos="360"/>
              </w:tabs>
              <w:wordWrap w:val="0"/>
              <w:autoSpaceDE w:val="0"/>
              <w:autoSpaceDN w:val="0"/>
              <w:adjustRightInd w:val="0"/>
              <w:spacing w:line="360" w:lineRule="auto"/>
              <w:ind w:firstLine="480" w:firstLineChars="200"/>
              <w:rPr>
                <w:color w:val="auto"/>
                <w:sz w:val="24"/>
              </w:rPr>
            </w:pPr>
            <w:r>
              <w:rPr>
                <w:color w:val="auto"/>
                <w:sz w:val="24"/>
              </w:rPr>
              <w:t>⑨危险废物贮存设施内清理出来的泄漏物，一律按危险废物处理。</w:t>
            </w:r>
          </w:p>
          <w:p>
            <w:pPr>
              <w:tabs>
                <w:tab w:val="left" w:pos="360"/>
              </w:tabs>
              <w:wordWrap w:val="0"/>
              <w:autoSpaceDE w:val="0"/>
              <w:autoSpaceDN w:val="0"/>
              <w:adjustRightInd w:val="0"/>
              <w:spacing w:line="360" w:lineRule="auto"/>
              <w:ind w:firstLine="482" w:firstLineChars="200"/>
              <w:rPr>
                <w:b/>
                <w:bCs/>
                <w:color w:val="auto"/>
                <w:sz w:val="24"/>
              </w:rPr>
            </w:pPr>
            <w:r>
              <w:rPr>
                <w:b/>
                <w:bCs/>
                <w:color w:val="auto"/>
                <w:sz w:val="24"/>
              </w:rPr>
              <w:t>4）规范化管理要求</w:t>
            </w:r>
          </w:p>
          <w:p>
            <w:pPr>
              <w:wordWrap w:val="0"/>
              <w:spacing w:line="360" w:lineRule="auto"/>
              <w:ind w:firstLine="480" w:firstLineChars="200"/>
              <w:rPr>
                <w:color w:val="auto"/>
                <w:sz w:val="24"/>
              </w:rPr>
            </w:pPr>
            <w:r>
              <w:rPr>
                <w:color w:val="auto"/>
                <w:sz w:val="24"/>
              </w:rPr>
              <w:t xml:space="preserve">对于建设项目运行后的固体废弃物的环境管理，应做到以下几点： </w:t>
            </w:r>
          </w:p>
          <w:p>
            <w:pPr>
              <w:wordWrap w:val="0"/>
              <w:spacing w:line="360" w:lineRule="auto"/>
              <w:ind w:firstLine="480" w:firstLineChars="200"/>
              <w:rPr>
                <w:color w:val="auto"/>
                <w:sz w:val="24"/>
              </w:rPr>
            </w:pPr>
            <w:r>
              <w:rPr>
                <w:color w:val="auto"/>
                <w:sz w:val="24"/>
              </w:rPr>
              <w:t xml:space="preserve">①建设单位应通过“江苏省污染源"一企一档”管理系统”（环保脸谱系统）进行危险废物申报登记。将危险废物的实际产生、贮存、利用、处置等情况纳入生产记录，建立危险废物管理台账和企业内部产生和收集、贮存、转移等部门危险废物交接制度。 </w:t>
            </w:r>
          </w:p>
          <w:p>
            <w:pPr>
              <w:wordWrap w:val="0"/>
              <w:spacing w:line="360" w:lineRule="auto"/>
              <w:ind w:firstLine="480" w:firstLineChars="200"/>
              <w:rPr>
                <w:color w:val="auto"/>
                <w:sz w:val="24"/>
              </w:rPr>
            </w:pPr>
            <w:r>
              <w:rPr>
                <w:color w:val="auto"/>
                <w:sz w:val="24"/>
              </w:rPr>
              <w:t>②必须明确企业为固体废物污染防治的责任主体，要求企业建立风险管理及应急救援体系，执行环境监测计划、转移联单管理制度及国家和省有关转移管理的相关规定、处置过程安全操作规程、人员培训考核制度、档案管理制度、处置全过程管理制度等</w:t>
            </w:r>
          </w:p>
          <w:p>
            <w:pPr>
              <w:wordWrap w:val="0"/>
              <w:spacing w:line="360" w:lineRule="auto"/>
              <w:ind w:firstLine="480" w:firstLineChars="200"/>
              <w:rPr>
                <w:color w:val="auto"/>
                <w:sz w:val="24"/>
              </w:rPr>
            </w:pPr>
            <w:r>
              <w:rPr>
                <w:color w:val="auto"/>
                <w:sz w:val="24"/>
              </w:rPr>
              <w:t>③规范建设危险废物贮存场所并按照要求设置警告标志，危险废物包装、容器和贮存场所应根据《危险废物识别标志设置技术规范》（HJ 1276- 2022）、《危险废物贮存污染控制标准》（GB18597-2023）、《省生态环境厅关于做好《危险废物贮存污染控制标准》等标准规范实施后危险废物环境管理衔接工作的通知》（苏环办[2023]154 号）要求进行设置。</w:t>
            </w:r>
          </w:p>
          <w:p>
            <w:pPr>
              <w:tabs>
                <w:tab w:val="left" w:pos="360"/>
              </w:tabs>
              <w:wordWrap w:val="0"/>
              <w:autoSpaceDE w:val="0"/>
              <w:autoSpaceDN w:val="0"/>
              <w:adjustRightInd w:val="0"/>
              <w:spacing w:line="360" w:lineRule="auto"/>
              <w:ind w:firstLine="482" w:firstLineChars="200"/>
              <w:rPr>
                <w:b/>
                <w:bCs/>
                <w:color w:val="auto"/>
                <w:sz w:val="24"/>
              </w:rPr>
            </w:pPr>
            <w:r>
              <w:rPr>
                <w:b/>
                <w:bCs/>
                <w:color w:val="auto"/>
                <w:sz w:val="24"/>
              </w:rPr>
              <w:t>（3）危险废物贮存场所贮存能力分析</w:t>
            </w:r>
          </w:p>
          <w:p>
            <w:pPr>
              <w:pStyle w:val="2"/>
              <w:kinsoku w:val="0"/>
              <w:wordWrap w:val="0"/>
              <w:overflowPunct w:val="0"/>
              <w:spacing w:before="0" w:after="0" w:line="360" w:lineRule="auto"/>
              <w:ind w:right="0" w:firstLine="480" w:firstLineChars="200"/>
              <w:rPr>
                <w:color w:val="auto"/>
                <w:sz w:val="24"/>
              </w:rPr>
            </w:pPr>
            <w:r>
              <w:rPr>
                <w:color w:val="auto"/>
                <w:sz w:val="24"/>
              </w:rPr>
              <w:t>危险废物贮存作为危险废物产生和利用处置的中间环节，在危险废物全过程监管中具有重要意义。根据《省生态环境厅关于印发江苏省危险废物贮存规范化管理专项整治行动方案的通知》（苏环办〔2019〕149号）及《省生态环境厅关于做好江苏省危险废物全生命周期监控系统上线运行工作的通知》（苏环办〔2020〕401号）、《危险废物贮存污染控制标准》（GB18597-2023）要求，危险废物产生单位和经营单位均应在关键位置设置在线视频监控。在视频监控系统管理上，企业指定专人专职维护视频监控设施运行，定期巡视并做好相应的监控运行、维修、使用记录，保持摄像头表面整洁干净、监控拍摄位置正确、监控设施完好无损，确保视频传输图像清晰、监控设备正常稳定运行。视频记录保存时间至少为3个月。因维修、更换等原因导致监控设备不能正常运行的，应采取人工摄像等应急措施，确保视频监控不间断。</w:t>
            </w:r>
          </w:p>
          <w:p>
            <w:pPr>
              <w:pStyle w:val="2"/>
              <w:kinsoku w:val="0"/>
              <w:wordWrap w:val="0"/>
              <w:overflowPunct w:val="0"/>
              <w:spacing w:before="0" w:after="0" w:line="360" w:lineRule="auto"/>
              <w:ind w:right="0" w:firstLine="480" w:firstLineChars="200"/>
              <w:jc w:val="both"/>
              <w:rPr>
                <w:color w:val="auto"/>
                <w:sz w:val="24"/>
              </w:rPr>
            </w:pPr>
            <w:r>
              <w:rPr>
                <w:color w:val="auto"/>
                <w:sz w:val="24"/>
                <w:szCs w:val="22"/>
              </w:rPr>
              <w:t>根据《工业危险废物产生单位规范化管理实施指南》（苏环办〔2014〕232号）文件要求，贮存场所面积至少应满足正常</w:t>
            </w:r>
            <w:r>
              <w:rPr>
                <w:color w:val="auto"/>
                <w:sz w:val="24"/>
              </w:rPr>
              <w:t>生产15日产生的各类危废贮存要求。</w:t>
            </w:r>
          </w:p>
          <w:p>
            <w:pPr>
              <w:wordWrap w:val="0"/>
              <w:spacing w:line="360" w:lineRule="auto"/>
              <w:ind w:firstLine="480" w:firstLineChars="200"/>
              <w:rPr>
                <w:color w:val="auto"/>
                <w:sz w:val="24"/>
              </w:rPr>
            </w:pPr>
            <w:r>
              <w:rPr>
                <w:color w:val="auto"/>
                <w:sz w:val="24"/>
              </w:rPr>
              <w:t>本项目新建1间占地面积为</w:t>
            </w:r>
            <w:r>
              <w:rPr>
                <w:rFonts w:hint="eastAsia"/>
                <w:color w:val="auto"/>
                <w:sz w:val="24"/>
                <w:lang w:val="en-US" w:eastAsia="zh-CN"/>
              </w:rPr>
              <w:t>15</w:t>
            </w:r>
            <w:r>
              <w:rPr>
                <w:color w:val="auto"/>
                <w:sz w:val="24"/>
              </w:rPr>
              <w:t>m</w:t>
            </w:r>
            <w:r>
              <w:rPr>
                <w:color w:val="auto"/>
                <w:sz w:val="24"/>
                <w:vertAlign w:val="superscript"/>
              </w:rPr>
              <w:t>2</w:t>
            </w:r>
            <w:r>
              <w:rPr>
                <w:color w:val="auto"/>
                <w:sz w:val="24"/>
              </w:rPr>
              <w:t>的危废暂存库，企业产生的危险废物均分区域堆放在库内，危险废物包装方式主要为桶装或有内衬的袋装。</w:t>
            </w:r>
          </w:p>
          <w:p>
            <w:pPr>
              <w:tabs>
                <w:tab w:val="left" w:pos="5460"/>
              </w:tabs>
              <w:wordWrap w:val="0"/>
              <w:spacing w:line="360" w:lineRule="auto"/>
              <w:ind w:firstLine="482"/>
              <w:rPr>
                <w:color w:val="auto"/>
                <w:sz w:val="24"/>
                <w:szCs w:val="22"/>
                <w:lang w:val="zh-CN"/>
              </w:rPr>
            </w:pPr>
            <w:r>
              <w:rPr>
                <w:color w:val="auto"/>
                <w:sz w:val="24"/>
              </w:rPr>
              <w:t>本项目全厂危险废物年产生量总计约为</w:t>
            </w:r>
            <w:r>
              <w:rPr>
                <w:rFonts w:hint="eastAsia"/>
                <w:color w:val="auto"/>
                <w:sz w:val="24"/>
                <w:lang w:val="en-US" w:eastAsia="zh-CN"/>
              </w:rPr>
              <w:t>11.9901</w:t>
            </w:r>
            <w:r>
              <w:rPr>
                <w:color w:val="auto"/>
                <w:sz w:val="24"/>
              </w:rPr>
              <w:t>t/a，年工作天数300天，则正常生产情况下，企业危险废物约3个月清理一次，则3个月最大危废产生量约</w:t>
            </w:r>
            <w:r>
              <w:rPr>
                <w:rFonts w:hint="eastAsia"/>
                <w:color w:val="auto"/>
                <w:sz w:val="24"/>
                <w:lang w:val="en-US" w:eastAsia="zh-CN"/>
              </w:rPr>
              <w:t>3.9967</w:t>
            </w:r>
            <w:r>
              <w:rPr>
                <w:color w:val="auto"/>
                <w:sz w:val="24"/>
              </w:rPr>
              <w:t>t，小于危废暂存库最大储存能力（</w:t>
            </w:r>
            <w:r>
              <w:rPr>
                <w:rFonts w:hint="eastAsia"/>
                <w:color w:val="auto"/>
                <w:sz w:val="24"/>
                <w:lang w:val="en-US" w:eastAsia="zh-CN"/>
              </w:rPr>
              <w:t>15</w:t>
            </w:r>
            <w:r>
              <w:rPr>
                <w:color w:val="auto"/>
                <w:sz w:val="24"/>
              </w:rPr>
              <w:t>t）。因此，在</w:t>
            </w:r>
            <w:r>
              <w:rPr>
                <w:color w:val="auto"/>
                <w:sz w:val="24"/>
                <w:szCs w:val="22"/>
                <w:lang w:val="zh-CN"/>
              </w:rPr>
              <w:t>符合危废及时转移的前提下，企业</w:t>
            </w:r>
            <w:r>
              <w:rPr>
                <w:color w:val="auto"/>
                <w:sz w:val="24"/>
              </w:rPr>
              <w:t>新建的</w:t>
            </w:r>
            <w:r>
              <w:rPr>
                <w:color w:val="auto"/>
                <w:sz w:val="24"/>
                <w:szCs w:val="22"/>
                <w:lang w:val="zh-CN"/>
              </w:rPr>
              <w:t>危废暂存库可以满足正常情况下危废贮存需求。</w:t>
            </w:r>
          </w:p>
          <w:p>
            <w:pPr>
              <w:wordWrap w:val="0"/>
              <w:spacing w:line="360" w:lineRule="auto"/>
              <w:ind w:firstLine="482" w:firstLineChars="200"/>
              <w:rPr>
                <w:b/>
                <w:bCs/>
                <w:color w:val="auto"/>
                <w:sz w:val="24"/>
              </w:rPr>
            </w:pPr>
            <w:r>
              <w:rPr>
                <w:b/>
                <w:bCs/>
                <w:color w:val="auto"/>
                <w:sz w:val="24"/>
              </w:rPr>
              <w:t>（4）贮存过程中对环境要素的影响分析</w:t>
            </w:r>
          </w:p>
          <w:p>
            <w:pPr>
              <w:pStyle w:val="2"/>
              <w:kinsoku w:val="0"/>
              <w:wordWrap w:val="0"/>
              <w:overflowPunct w:val="0"/>
              <w:spacing w:before="0" w:after="0" w:line="360" w:lineRule="auto"/>
              <w:ind w:right="0" w:firstLine="480" w:firstLineChars="200"/>
              <w:rPr>
                <w:color w:val="auto"/>
                <w:sz w:val="24"/>
                <w:szCs w:val="22"/>
              </w:rPr>
            </w:pPr>
            <w:r>
              <w:rPr>
                <w:color w:val="auto"/>
                <w:sz w:val="24"/>
                <w:szCs w:val="22"/>
              </w:rPr>
              <w:t>大气环境影响分析：本项目在固体废物贮存场的建设均采用封闭结构，避免在堆存过程中产生扬尘，造成环境空气的污染；产生的固废需采用密闭塑桶或吨包袋（含防水尼龙内胆），对外运的危废要求使用有资质的专用车辆进行运输，同时运输过程中注意遮盖，避免物料遗撒，防止运输途中产生扬尘，污染道路沿线的大气环境。</w:t>
            </w:r>
          </w:p>
          <w:p>
            <w:pPr>
              <w:pStyle w:val="2"/>
              <w:kinsoku w:val="0"/>
              <w:wordWrap w:val="0"/>
              <w:overflowPunct w:val="0"/>
              <w:spacing w:before="0" w:after="0" w:line="360" w:lineRule="auto"/>
              <w:ind w:right="0" w:firstLine="480" w:firstLineChars="200"/>
              <w:rPr>
                <w:color w:val="auto"/>
                <w:sz w:val="24"/>
                <w:szCs w:val="22"/>
              </w:rPr>
            </w:pPr>
            <w:r>
              <w:rPr>
                <w:color w:val="auto"/>
                <w:sz w:val="24"/>
                <w:szCs w:val="22"/>
              </w:rPr>
              <w:t>水环境影响分析：为避免对水环境产生影响，本次评价要求建设单位针对固体废物临时堆场设置防雨篷、围墙、导流沟、多孔排水管、防渗地面等设施，并严格按照危险废物贮存污染控制标准（GB18597-2023）要求进行建造，同时严格按照相关要求进行管理，保证了雨水不进入、废水不外排、废渣不流失，从而最大限度地减轻工业固体废物对水环境的影响。</w:t>
            </w:r>
          </w:p>
          <w:p>
            <w:pPr>
              <w:wordWrap w:val="0"/>
              <w:spacing w:line="360" w:lineRule="auto"/>
              <w:ind w:firstLine="482"/>
              <w:rPr>
                <w:color w:val="auto"/>
                <w:sz w:val="24"/>
                <w:szCs w:val="22"/>
                <w:lang w:val="zh-CN"/>
              </w:rPr>
            </w:pPr>
            <w:r>
              <w:rPr>
                <w:color w:val="auto"/>
                <w:sz w:val="24"/>
                <w:szCs w:val="22"/>
              </w:rPr>
              <w:t>土壤环境影响分析：根据固体废物防治的有关规定要求，各类固体废物均修建专门库房或堆场存放。库房或堆场按照《危险废物贮存污染控制标准》（GB18597-2023）进行防渗处理，设计采用地面硬化及环氧树脂等防渗结构，并设置导流沟和液体收集装置等。经采取以上防治措施后，</w:t>
            </w:r>
            <w:r>
              <w:rPr>
                <w:color w:val="auto"/>
                <w:sz w:val="24"/>
                <w:szCs w:val="22"/>
                <w:lang w:val="zh-CN"/>
              </w:rPr>
              <w:t>可以有效防止固体废物污染土壤环境。</w:t>
            </w:r>
          </w:p>
          <w:p>
            <w:pPr>
              <w:wordWrap w:val="0"/>
              <w:spacing w:line="360" w:lineRule="auto"/>
              <w:ind w:firstLine="482"/>
              <w:rPr>
                <w:b/>
                <w:bCs/>
                <w:color w:val="auto"/>
                <w:sz w:val="24"/>
                <w:szCs w:val="22"/>
                <w:lang w:val="zh-CN"/>
              </w:rPr>
            </w:pPr>
            <w:r>
              <w:rPr>
                <w:b/>
                <w:bCs/>
                <w:color w:val="auto"/>
                <w:sz w:val="24"/>
                <w:szCs w:val="22"/>
                <w:lang w:val="zh-CN"/>
              </w:rPr>
              <w:t>（5）运输过程环境影响分析</w:t>
            </w:r>
          </w:p>
          <w:p>
            <w:pPr>
              <w:wordWrap w:val="0"/>
              <w:spacing w:line="360" w:lineRule="auto"/>
              <w:ind w:firstLine="482"/>
              <w:rPr>
                <w:color w:val="auto"/>
                <w:sz w:val="24"/>
              </w:rPr>
            </w:pPr>
            <w:r>
              <w:rPr>
                <w:color w:val="auto"/>
                <w:sz w:val="24"/>
                <w:szCs w:val="22"/>
                <w:lang w:val="zh-CN"/>
              </w:rPr>
              <w:t>危险废物的收集</w:t>
            </w:r>
            <w:r>
              <w:rPr>
                <w:color w:val="auto"/>
                <w:sz w:val="24"/>
              </w:rPr>
              <w:t>、运输按照《危险废物收集、贮存、运输技术规范》（HJ2025-2012）的要求进行。在运输过程中，按照《江苏省固体废物污染环境防治条例》中对危险废物的包装、运输的有关标准、技术规范和要求进行，有效防止危险废物转移过程中污染环境。项目需处理的危险废物采用专门的车辆，密闭运输，严格禁止抛洒滴漏，杜绝在运输过程中造成环境的二次污染，运送危险废物的专用车辆不得运送其他物品。在危险废物的运输中执行《危险废物转移管理办法》（部令 第23号）中有关的规定和要求。</w:t>
            </w:r>
          </w:p>
          <w:p>
            <w:pPr>
              <w:wordWrap w:val="0"/>
              <w:spacing w:line="360" w:lineRule="auto"/>
              <w:ind w:firstLine="480" w:firstLineChars="200"/>
              <w:rPr>
                <w:color w:val="auto"/>
                <w:sz w:val="24"/>
              </w:rPr>
            </w:pPr>
            <w:r>
              <w:rPr>
                <w:color w:val="auto"/>
                <w:sz w:val="24"/>
              </w:rPr>
              <w:t>采取以上措施后，运输过程中对环境影响较小。</w:t>
            </w:r>
          </w:p>
          <w:p>
            <w:pPr>
              <w:wordWrap w:val="0"/>
              <w:spacing w:line="360" w:lineRule="auto"/>
              <w:ind w:firstLine="480" w:firstLineChars="200"/>
              <w:rPr>
                <w:color w:val="auto"/>
                <w:sz w:val="24"/>
              </w:rPr>
            </w:pPr>
            <w:r>
              <w:rPr>
                <w:color w:val="auto"/>
                <w:sz w:val="24"/>
              </w:rPr>
              <w:t>建设单位须针对此对员工进行培训，加强安全生产及防止污染的意识，培训通过后方可上岗，对于固体废物的收集、运输要实施专人专职管理制度并建立好台帐。</w:t>
            </w:r>
          </w:p>
          <w:p>
            <w:pPr>
              <w:wordWrap w:val="0"/>
              <w:spacing w:line="360" w:lineRule="auto"/>
              <w:ind w:firstLine="482" w:firstLineChars="200"/>
              <w:rPr>
                <w:b/>
                <w:bCs/>
                <w:color w:val="auto"/>
                <w:sz w:val="24"/>
              </w:rPr>
            </w:pPr>
            <w:r>
              <w:rPr>
                <w:b/>
                <w:bCs/>
                <w:color w:val="auto"/>
                <w:sz w:val="24"/>
              </w:rPr>
              <w:t>（6）委托利用或处置可行性分析</w:t>
            </w:r>
          </w:p>
          <w:p>
            <w:pPr>
              <w:wordWrap w:val="0"/>
              <w:spacing w:line="360" w:lineRule="auto"/>
              <w:ind w:firstLine="480" w:firstLineChars="200"/>
              <w:rPr>
                <w:color w:val="auto"/>
                <w:sz w:val="24"/>
              </w:rPr>
            </w:pPr>
            <w:r>
              <w:rPr>
                <w:color w:val="auto"/>
                <w:sz w:val="24"/>
              </w:rPr>
              <w:t>本项目产生的危废，待正式投产后，与有危废处置资质的单位签订危废处置协议，并委托其处置。</w:t>
            </w:r>
          </w:p>
          <w:p>
            <w:pPr>
              <w:pStyle w:val="17"/>
              <w:spacing w:line="360" w:lineRule="auto"/>
              <w:ind w:firstLine="482"/>
              <w:rPr>
                <w:rFonts w:ascii="Times New Roman" w:cs="Times New Roman"/>
                <w:color w:val="auto"/>
              </w:rPr>
            </w:pPr>
            <w:r>
              <w:rPr>
                <w:rFonts w:hint="eastAsia" w:cs="Times New Roman"/>
                <w:color w:val="auto"/>
              </w:rPr>
              <w:t>可委托处置的公司有</w:t>
            </w:r>
            <w:r>
              <w:rPr>
                <w:rFonts w:ascii="Times New Roman" w:cs="Times New Roman"/>
                <w:color w:val="auto"/>
              </w:rPr>
              <w:t>淮安华昌固废处置有限公司</w:t>
            </w:r>
            <w:r>
              <w:rPr>
                <w:rFonts w:hint="eastAsia" w:ascii="Times New Roman" w:cs="Times New Roman"/>
                <w:color w:val="auto"/>
              </w:rPr>
              <w:t>。</w:t>
            </w:r>
          </w:p>
          <w:p>
            <w:pPr>
              <w:pStyle w:val="17"/>
              <w:spacing w:line="360" w:lineRule="auto"/>
              <w:ind w:firstLine="482"/>
              <w:rPr>
                <w:rFonts w:ascii="Times New Roman" w:cs="Times New Roman"/>
                <w:color w:val="auto"/>
              </w:rPr>
            </w:pPr>
            <w:r>
              <w:rPr>
                <w:rFonts w:ascii="Times New Roman" w:cs="Times New Roman"/>
                <w:color w:val="auto"/>
              </w:rPr>
              <w:t>该公司位于</w:t>
            </w:r>
            <w:r>
              <w:rPr>
                <w:rFonts w:hint="eastAsia" w:ascii="Times New Roman" w:cs="Times New Roman"/>
                <w:color w:val="auto"/>
              </w:rPr>
              <w:t>江苏涟水经济开发区循环经济产业园</w:t>
            </w:r>
            <w:r>
              <w:rPr>
                <w:rFonts w:ascii="Times New Roman" w:cs="Times New Roman"/>
                <w:color w:val="auto"/>
              </w:rPr>
              <w:t>，年处置量3.3万吨，核准经营：焚烧处置医药废物（HW02）、废药物、药品（HW03）、农药废物（HW04）、木材防腐剂废物（HW05）、废有机溶剂与含有机溶剂废物（HW06）、热处理含氰废物（HW07）、废矿物油与含矿物油废物（HW08）、精（蒸）馏残渣（HW11）、染料涂料废物（HW12）、有机树脂类废物（HW13）、新化学物质废物（HW14）、感光材料废物（HW16）、表面处理废物（HW17）、含有机磷化合物废物（HW37）、含酚废物（HW39）、含醚废物（HW40）、含有机卤化物废物（HW45）、其他废物（HW49，仅限772-006-49、#900-039-49、900-041-49、900-042-49、900-046-49、#900-047-49、900-999-49）、废催化剂（HW50，仅限#261-151-50、261-152-50、261-183-50、263-013-50、#271-006-50、275-009-50、276-006-50、900-048-50）。</w:t>
            </w:r>
          </w:p>
          <w:p>
            <w:pPr>
              <w:adjustRightInd w:val="0"/>
              <w:snapToGrid w:val="0"/>
              <w:spacing w:line="360" w:lineRule="auto"/>
              <w:ind w:firstLine="482" w:firstLineChars="200"/>
              <w:rPr>
                <w:b/>
                <w:color w:val="auto"/>
                <w:sz w:val="24"/>
              </w:rPr>
            </w:pPr>
            <w:r>
              <w:rPr>
                <w:b/>
                <w:color w:val="auto"/>
                <w:sz w:val="24"/>
              </w:rPr>
              <w:t>4.</w:t>
            </w:r>
            <w:r>
              <w:rPr>
                <w:rFonts w:hint="eastAsia"/>
                <w:b/>
                <w:color w:val="auto"/>
                <w:sz w:val="24"/>
                <w:lang w:val="en-US" w:eastAsia="zh-CN"/>
              </w:rPr>
              <w:t>4</w:t>
            </w:r>
            <w:r>
              <w:rPr>
                <w:b/>
                <w:color w:val="auto"/>
                <w:sz w:val="24"/>
              </w:rPr>
              <w:t>结论与建议</w:t>
            </w:r>
          </w:p>
          <w:p>
            <w:pPr>
              <w:adjustRightInd w:val="0"/>
              <w:snapToGrid w:val="0"/>
              <w:spacing w:line="360" w:lineRule="auto"/>
              <w:ind w:firstLine="480" w:firstLineChars="200"/>
              <w:jc w:val="left"/>
              <w:rPr>
                <w:color w:val="auto"/>
              </w:rPr>
            </w:pPr>
            <w:r>
              <w:rPr>
                <w:color w:val="auto"/>
                <w:sz w:val="24"/>
              </w:rPr>
              <w:t>综上所述，本项目所产生的固体废物及危险废物通过以上方法处理处置后，将不会对周围的环境产生影响，亦不会造成二次污染。但必须指出的是，固体废物和危险废物处理处置前在厂内的堆放、贮存场所应按照国家固体废物贮存有关要求设置，避免其对周围环境产生二次污染。通过以上措施，建设项目产生的固体废物均得到了妥善处置和利用，对外环境的影响可减至最小程度。</w:t>
            </w:r>
          </w:p>
          <w:p>
            <w:pPr>
              <w:wordWrap w:val="0"/>
              <w:spacing w:line="360" w:lineRule="auto"/>
              <w:ind w:firstLine="482" w:firstLineChars="200"/>
              <w:rPr>
                <w:b/>
                <w:bCs/>
                <w:color w:val="auto"/>
                <w:sz w:val="24"/>
              </w:rPr>
            </w:pPr>
            <w:r>
              <w:rPr>
                <w:b/>
                <w:bCs/>
                <w:color w:val="auto"/>
                <w:sz w:val="24"/>
              </w:rPr>
              <w:t>5、土壤、地下水环境影响分析</w:t>
            </w:r>
          </w:p>
          <w:p>
            <w:pPr>
              <w:wordWrap w:val="0"/>
              <w:spacing w:line="360" w:lineRule="auto"/>
              <w:ind w:firstLine="482" w:firstLineChars="200"/>
              <w:rPr>
                <w:b/>
                <w:bCs/>
                <w:color w:val="auto"/>
                <w:sz w:val="24"/>
              </w:rPr>
            </w:pPr>
            <w:bookmarkStart w:id="42" w:name="_Hlk58946322"/>
            <w:r>
              <w:rPr>
                <w:b/>
                <w:bCs/>
                <w:color w:val="auto"/>
                <w:sz w:val="24"/>
              </w:rPr>
              <w:t>5.1地下水、土壤污染源分析</w:t>
            </w:r>
          </w:p>
          <w:p>
            <w:pPr>
              <w:wordWrap w:val="0"/>
              <w:adjustRightInd w:val="0"/>
              <w:snapToGrid w:val="0"/>
              <w:spacing w:line="360" w:lineRule="auto"/>
              <w:ind w:firstLine="480" w:firstLineChars="200"/>
              <w:rPr>
                <w:color w:val="auto"/>
                <w:sz w:val="24"/>
                <w:szCs w:val="28"/>
              </w:rPr>
            </w:pPr>
            <w:r>
              <w:rPr>
                <w:color w:val="auto"/>
                <w:sz w:val="24"/>
                <w:szCs w:val="28"/>
              </w:rPr>
              <w:t>根据建设项目工程分析可知，项目营运期土壤、地下水影响源主要有：</w:t>
            </w:r>
          </w:p>
          <w:p>
            <w:pPr>
              <w:adjustRightInd w:val="0"/>
              <w:snapToGrid w:val="0"/>
              <w:spacing w:line="360" w:lineRule="auto"/>
              <w:ind w:firstLine="480" w:firstLineChars="200"/>
              <w:rPr>
                <w:color w:val="auto"/>
                <w:sz w:val="24"/>
              </w:rPr>
            </w:pPr>
            <w:r>
              <w:rPr>
                <w:color w:val="auto"/>
                <w:sz w:val="24"/>
              </w:rPr>
              <w:t>（1）废气</w:t>
            </w:r>
          </w:p>
          <w:p>
            <w:pPr>
              <w:spacing w:line="360" w:lineRule="auto"/>
              <w:ind w:firstLine="480" w:firstLineChars="200"/>
              <w:rPr>
                <w:color w:val="auto"/>
                <w:sz w:val="24"/>
                <w:szCs w:val="28"/>
              </w:rPr>
            </w:pPr>
            <w:r>
              <w:rPr>
                <w:color w:val="auto"/>
                <w:sz w:val="24"/>
              </w:rPr>
              <w:t>本项目主要废气污染因子有颗粒物、非甲烷总烃</w:t>
            </w:r>
            <w:r>
              <w:rPr>
                <w:color w:val="auto"/>
                <w:sz w:val="24"/>
                <w:szCs w:val="28"/>
              </w:rPr>
              <w:t>等，上述污染因子均不在《土壤环境质量 建设用地土壤污染风险管控标准（试行）》（GB3600-2018）中，且不易沉降，因此不考虑大气沉降对土壤的影响。</w:t>
            </w:r>
          </w:p>
          <w:p>
            <w:pPr>
              <w:autoSpaceDE w:val="0"/>
              <w:autoSpaceDN w:val="0"/>
              <w:adjustRightInd w:val="0"/>
              <w:spacing w:line="360" w:lineRule="auto"/>
              <w:ind w:firstLine="480" w:firstLineChars="200"/>
              <w:rPr>
                <w:color w:val="auto"/>
                <w:sz w:val="24"/>
              </w:rPr>
            </w:pPr>
            <w:r>
              <w:rPr>
                <w:color w:val="auto"/>
                <w:sz w:val="24"/>
              </w:rPr>
              <w:t>（2）废水</w:t>
            </w:r>
          </w:p>
          <w:p>
            <w:pPr>
              <w:autoSpaceDE w:val="0"/>
              <w:autoSpaceDN w:val="0"/>
              <w:adjustRightInd w:val="0"/>
              <w:spacing w:line="360" w:lineRule="auto"/>
              <w:ind w:firstLine="480" w:firstLineChars="200"/>
              <w:rPr>
                <w:color w:val="auto"/>
                <w:sz w:val="24"/>
              </w:rPr>
            </w:pPr>
            <w:r>
              <w:rPr>
                <w:color w:val="auto"/>
                <w:sz w:val="24"/>
              </w:rPr>
              <w:t>本项目厂区内均做好防渗，严格采取防渗措施，且生活污水经化粪池均由管道进行运输，因此不考虑此影响。</w:t>
            </w:r>
          </w:p>
          <w:p>
            <w:pPr>
              <w:autoSpaceDE w:val="0"/>
              <w:autoSpaceDN w:val="0"/>
              <w:adjustRightInd w:val="0"/>
              <w:spacing w:line="360" w:lineRule="auto"/>
              <w:ind w:left="420" w:leftChars="200"/>
              <w:rPr>
                <w:color w:val="auto"/>
                <w:sz w:val="24"/>
              </w:rPr>
            </w:pPr>
            <w:r>
              <w:rPr>
                <w:color w:val="auto"/>
                <w:sz w:val="24"/>
              </w:rPr>
              <w:t>（3）水性漆、矿物油等</w:t>
            </w:r>
          </w:p>
          <w:p>
            <w:pPr>
              <w:adjustRightInd w:val="0"/>
              <w:snapToGrid w:val="0"/>
              <w:spacing w:line="360" w:lineRule="auto"/>
              <w:ind w:firstLine="480" w:firstLineChars="200"/>
              <w:jc w:val="left"/>
              <w:rPr>
                <w:color w:val="auto"/>
                <w:sz w:val="24"/>
              </w:rPr>
            </w:pPr>
            <w:r>
              <w:rPr>
                <w:color w:val="auto"/>
                <w:sz w:val="24"/>
              </w:rPr>
              <w:t>本项目生产过程中涉及水性漆</w:t>
            </w:r>
            <w:r>
              <w:rPr>
                <w:rFonts w:hint="eastAsia"/>
                <w:color w:val="auto"/>
                <w:sz w:val="24"/>
              </w:rPr>
              <w:t>、</w:t>
            </w:r>
            <w:r>
              <w:rPr>
                <w:color w:val="auto"/>
                <w:sz w:val="24"/>
              </w:rPr>
              <w:t>润滑油等原辅材料的使用，上述原料均不涉及重金属，含有一定矿物油成分。建设项目的原料仓库、危废仓库中，水性漆、矿物油、润滑油均为桶装，且危废暂存库按照</w:t>
            </w:r>
            <w:r>
              <w:rPr>
                <w:bCs/>
                <w:color w:val="auto"/>
                <w:sz w:val="24"/>
              </w:rPr>
              <w:t>《危险废物贮存污染控制》（GB18579-2023）要求设置，做到了防漏、防渗</w:t>
            </w:r>
            <w:r>
              <w:rPr>
                <w:color w:val="auto"/>
                <w:sz w:val="24"/>
              </w:rPr>
              <w:t>。</w:t>
            </w:r>
          </w:p>
          <w:p>
            <w:pPr>
              <w:adjustRightInd w:val="0"/>
              <w:snapToGrid w:val="0"/>
              <w:spacing w:line="360" w:lineRule="auto"/>
              <w:ind w:firstLine="480" w:firstLineChars="200"/>
              <w:jc w:val="left"/>
              <w:rPr>
                <w:color w:val="auto"/>
              </w:rPr>
            </w:pPr>
            <w:r>
              <w:rPr>
                <w:color w:val="auto"/>
                <w:sz w:val="24"/>
              </w:rPr>
              <w:t>建设项目运营过程中涉及的地下水、土壤环境影响途径主要为生产车间水性漆、矿物油、润滑油以及危险废物暂存场所危险废物撒漏。</w:t>
            </w:r>
          </w:p>
          <w:p>
            <w:pPr>
              <w:wordWrap w:val="0"/>
              <w:spacing w:line="360" w:lineRule="auto"/>
              <w:ind w:firstLine="482" w:firstLineChars="200"/>
              <w:rPr>
                <w:b/>
                <w:bCs/>
                <w:color w:val="auto"/>
                <w:sz w:val="24"/>
              </w:rPr>
            </w:pPr>
            <w:r>
              <w:rPr>
                <w:b/>
                <w:bCs/>
                <w:color w:val="auto"/>
                <w:sz w:val="24"/>
              </w:rPr>
              <w:t>5.2污染防控措施</w:t>
            </w:r>
          </w:p>
          <w:p>
            <w:pPr>
              <w:wordWrap w:val="0"/>
              <w:snapToGrid w:val="0"/>
              <w:spacing w:line="360" w:lineRule="auto"/>
              <w:ind w:firstLine="480" w:firstLineChars="200"/>
              <w:rPr>
                <w:color w:val="auto"/>
                <w:sz w:val="24"/>
              </w:rPr>
            </w:pPr>
            <w:r>
              <w:rPr>
                <w:color w:val="auto"/>
                <w:sz w:val="24"/>
              </w:rPr>
              <w:t>针对企业危险废物暂存过程，采取合理有效的工程措施可防止污染物对地下水、土壤的污染。为更好地保护地下水和土壤资源，将项目对环境的影响降至最低限度，建议采取相关措施，具体如下：</w:t>
            </w:r>
          </w:p>
          <w:p>
            <w:pPr>
              <w:wordWrap w:val="0"/>
              <w:snapToGrid w:val="0"/>
              <w:spacing w:line="360" w:lineRule="auto"/>
              <w:ind w:left="480"/>
              <w:rPr>
                <w:color w:val="auto"/>
                <w:sz w:val="24"/>
              </w:rPr>
            </w:pPr>
            <w:r>
              <w:rPr>
                <w:color w:val="auto"/>
                <w:sz w:val="24"/>
              </w:rPr>
              <w:fldChar w:fldCharType="begin"/>
            </w:r>
            <w:r>
              <w:rPr>
                <w:color w:val="auto"/>
                <w:sz w:val="24"/>
              </w:rPr>
              <w:instrText xml:space="preserve"> = 1 \* GB3 \* MERGEFORMAT </w:instrText>
            </w:r>
            <w:r>
              <w:rPr>
                <w:color w:val="auto"/>
                <w:sz w:val="24"/>
              </w:rPr>
              <w:fldChar w:fldCharType="separate"/>
            </w:r>
            <w:r>
              <w:rPr>
                <w:color w:val="auto"/>
                <w:sz w:val="24"/>
              </w:rPr>
              <w:t>①</w:t>
            </w:r>
            <w:r>
              <w:rPr>
                <w:color w:val="auto"/>
                <w:sz w:val="24"/>
              </w:rPr>
              <w:fldChar w:fldCharType="end"/>
            </w:r>
            <w:r>
              <w:rPr>
                <w:color w:val="auto"/>
                <w:sz w:val="24"/>
              </w:rPr>
              <w:t>源头控制</w:t>
            </w:r>
          </w:p>
          <w:p>
            <w:pPr>
              <w:wordWrap w:val="0"/>
              <w:snapToGrid w:val="0"/>
              <w:spacing w:line="360" w:lineRule="auto"/>
              <w:ind w:firstLine="480" w:firstLineChars="200"/>
              <w:rPr>
                <w:color w:val="auto"/>
                <w:sz w:val="24"/>
              </w:rPr>
            </w:pPr>
            <w:r>
              <w:rPr>
                <w:color w:val="auto"/>
                <w:sz w:val="24"/>
              </w:rPr>
              <w:t>厂区采取雨污分流、清污分流，加强企业管理，定期对废气及废水处理设施等进行维护，避免非正常工况排放。排水管道等须采取防渗措施，杜绝各类废水下渗的通道。应严格废水的管理，强调节约用水，杜绝废水“跑、冒、滴、漏”现象的发生，确保污水处理系统的正常运行。</w:t>
            </w:r>
          </w:p>
          <w:p>
            <w:pPr>
              <w:wordWrap w:val="0"/>
              <w:snapToGrid w:val="0"/>
              <w:spacing w:line="360" w:lineRule="auto"/>
              <w:ind w:left="480"/>
              <w:rPr>
                <w:color w:val="auto"/>
                <w:sz w:val="24"/>
              </w:rPr>
            </w:pPr>
            <w:r>
              <w:rPr>
                <w:color w:val="auto"/>
                <w:sz w:val="24"/>
              </w:rPr>
              <w:fldChar w:fldCharType="begin"/>
            </w:r>
            <w:r>
              <w:rPr>
                <w:color w:val="auto"/>
                <w:sz w:val="24"/>
              </w:rPr>
              <w:instrText xml:space="preserve"> = 2 \* GB3 \* MERGEFORMAT </w:instrText>
            </w:r>
            <w:r>
              <w:rPr>
                <w:color w:val="auto"/>
                <w:sz w:val="24"/>
              </w:rPr>
              <w:fldChar w:fldCharType="separate"/>
            </w:r>
            <w:r>
              <w:rPr>
                <w:color w:val="auto"/>
                <w:sz w:val="24"/>
              </w:rPr>
              <w:t>②</w:t>
            </w:r>
            <w:r>
              <w:rPr>
                <w:color w:val="auto"/>
                <w:sz w:val="24"/>
              </w:rPr>
              <w:fldChar w:fldCharType="end"/>
            </w:r>
            <w:r>
              <w:rPr>
                <w:color w:val="auto"/>
                <w:sz w:val="24"/>
              </w:rPr>
              <w:t>分区防渗</w:t>
            </w:r>
          </w:p>
          <w:p>
            <w:pPr>
              <w:wordWrap w:val="0"/>
              <w:snapToGrid w:val="0"/>
              <w:spacing w:line="360" w:lineRule="auto"/>
              <w:ind w:firstLine="480" w:firstLineChars="200"/>
              <w:rPr>
                <w:b/>
                <w:bCs/>
                <w:color w:val="auto"/>
                <w:sz w:val="24"/>
                <w:lang w:val="zh-CN"/>
              </w:rPr>
            </w:pPr>
            <w:r>
              <w:rPr>
                <w:color w:val="auto"/>
                <w:sz w:val="24"/>
              </w:rPr>
              <w:t>结合本项目各生产设备、一般固废暂存库、危废暂存库等因素，根据场地天然包气带防污性能、污染控制难易程度和污染物特性对全厂进行分区防渗。本次评价要求建设单位采取分区防渗的措施，详见下表。</w:t>
            </w:r>
          </w:p>
          <w:p>
            <w:pPr>
              <w:keepNext/>
              <w:wordWrap w:val="0"/>
              <w:adjustRightInd w:val="0"/>
              <w:snapToGrid w:val="0"/>
              <w:spacing w:line="360" w:lineRule="auto"/>
              <w:jc w:val="center"/>
              <w:rPr>
                <w:b/>
                <w:bCs/>
                <w:color w:val="auto"/>
                <w:szCs w:val="21"/>
                <w:lang w:val="zh-CN"/>
              </w:rPr>
            </w:pPr>
          </w:p>
          <w:p>
            <w:pPr>
              <w:keepNext/>
              <w:wordWrap w:val="0"/>
              <w:adjustRightInd w:val="0"/>
              <w:snapToGrid w:val="0"/>
              <w:spacing w:line="360" w:lineRule="auto"/>
              <w:jc w:val="center"/>
              <w:rPr>
                <w:b/>
                <w:bCs/>
                <w:color w:val="auto"/>
                <w:szCs w:val="21"/>
                <w:lang w:val="zh-CN"/>
              </w:rPr>
            </w:pPr>
            <w:r>
              <w:rPr>
                <w:b/>
                <w:bCs/>
                <w:color w:val="auto"/>
                <w:szCs w:val="21"/>
                <w:lang w:val="zh-CN"/>
              </w:rPr>
              <w:t>表</w:t>
            </w:r>
            <w:r>
              <w:rPr>
                <w:b/>
                <w:bCs/>
                <w:color w:val="auto"/>
                <w:szCs w:val="21"/>
              </w:rPr>
              <w:t>4.2-2</w:t>
            </w:r>
            <w:r>
              <w:rPr>
                <w:rFonts w:hint="eastAsia"/>
                <w:b/>
                <w:bCs/>
                <w:color w:val="auto"/>
                <w:szCs w:val="21"/>
                <w:lang w:val="en-US" w:eastAsia="zh-CN"/>
              </w:rPr>
              <w:t>4</w:t>
            </w:r>
            <w:r>
              <w:rPr>
                <w:b/>
                <w:bCs/>
                <w:color w:val="auto"/>
                <w:szCs w:val="21"/>
              </w:rPr>
              <w:t xml:space="preserve"> </w:t>
            </w:r>
            <w:r>
              <w:rPr>
                <w:b/>
                <w:bCs/>
                <w:color w:val="auto"/>
                <w:szCs w:val="21"/>
                <w:lang w:val="zh-CN"/>
              </w:rPr>
              <w:t>全厂分区防渗方案及防渗措施表</w:t>
            </w:r>
          </w:p>
          <w:tbl>
            <w:tblPr>
              <w:tblStyle w:val="20"/>
              <w:tblW w:w="8138"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
            <w:tblGrid>
              <w:gridCol w:w="1054"/>
              <w:gridCol w:w="1134"/>
              <w:gridCol w:w="1418"/>
              <w:gridCol w:w="1418"/>
              <w:gridCol w:w="311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391" w:hRule="atLeast"/>
                <w:jc w:val="center"/>
              </w:trPr>
              <w:tc>
                <w:tcPr>
                  <w:tcW w:w="648" w:type="pct"/>
                  <w:vAlign w:val="center"/>
                </w:tcPr>
                <w:p>
                  <w:pPr>
                    <w:wordWrap w:val="0"/>
                    <w:adjustRightInd w:val="0"/>
                    <w:snapToGrid w:val="0"/>
                    <w:jc w:val="center"/>
                    <w:rPr>
                      <w:b/>
                      <w:bCs/>
                      <w:color w:val="auto"/>
                      <w:szCs w:val="21"/>
                      <w:lang w:val="zh-CN"/>
                    </w:rPr>
                  </w:pPr>
                  <w:r>
                    <w:rPr>
                      <w:b/>
                      <w:bCs/>
                      <w:color w:val="auto"/>
                      <w:szCs w:val="21"/>
                      <w:lang w:val="zh-CN"/>
                    </w:rPr>
                    <w:t>防治分区</w:t>
                  </w:r>
                </w:p>
              </w:tc>
              <w:tc>
                <w:tcPr>
                  <w:tcW w:w="697" w:type="pct"/>
                  <w:vAlign w:val="center"/>
                </w:tcPr>
                <w:p>
                  <w:pPr>
                    <w:wordWrap w:val="0"/>
                    <w:adjustRightInd w:val="0"/>
                    <w:snapToGrid w:val="0"/>
                    <w:jc w:val="center"/>
                    <w:rPr>
                      <w:b/>
                      <w:bCs/>
                      <w:color w:val="auto"/>
                      <w:szCs w:val="21"/>
                      <w:lang w:val="zh-CN"/>
                    </w:rPr>
                  </w:pPr>
                  <w:r>
                    <w:rPr>
                      <w:b/>
                      <w:bCs/>
                      <w:color w:val="auto"/>
                      <w:szCs w:val="21"/>
                      <w:lang w:val="zh-CN"/>
                    </w:rPr>
                    <w:t>分区位置</w:t>
                  </w:r>
                </w:p>
              </w:tc>
              <w:tc>
                <w:tcPr>
                  <w:tcW w:w="871" w:type="pct"/>
                  <w:vAlign w:val="center"/>
                </w:tcPr>
                <w:p>
                  <w:pPr>
                    <w:wordWrap w:val="0"/>
                    <w:adjustRightInd w:val="0"/>
                    <w:snapToGrid w:val="0"/>
                    <w:jc w:val="center"/>
                    <w:rPr>
                      <w:b/>
                      <w:bCs/>
                      <w:color w:val="auto"/>
                      <w:szCs w:val="21"/>
                      <w:lang w:val="zh-CN"/>
                    </w:rPr>
                  </w:pPr>
                  <w:r>
                    <w:rPr>
                      <w:b/>
                      <w:bCs/>
                      <w:color w:val="auto"/>
                      <w:szCs w:val="21"/>
                    </w:rPr>
                    <w:t>污染物种类</w:t>
                  </w:r>
                </w:p>
              </w:tc>
              <w:tc>
                <w:tcPr>
                  <w:tcW w:w="871" w:type="pct"/>
                  <w:vAlign w:val="center"/>
                </w:tcPr>
                <w:p>
                  <w:pPr>
                    <w:wordWrap w:val="0"/>
                    <w:adjustRightInd w:val="0"/>
                    <w:snapToGrid w:val="0"/>
                    <w:jc w:val="center"/>
                    <w:rPr>
                      <w:b/>
                      <w:bCs/>
                      <w:color w:val="auto"/>
                      <w:szCs w:val="21"/>
                      <w:lang w:val="zh-CN"/>
                    </w:rPr>
                  </w:pPr>
                  <w:r>
                    <w:rPr>
                      <w:b/>
                      <w:bCs/>
                      <w:color w:val="auto"/>
                      <w:szCs w:val="21"/>
                    </w:rPr>
                    <w:t>污染途径</w:t>
                  </w:r>
                </w:p>
              </w:tc>
              <w:tc>
                <w:tcPr>
                  <w:tcW w:w="1913" w:type="pct"/>
                  <w:vAlign w:val="center"/>
                </w:tcPr>
                <w:p>
                  <w:pPr>
                    <w:wordWrap w:val="0"/>
                    <w:adjustRightInd w:val="0"/>
                    <w:snapToGrid w:val="0"/>
                    <w:jc w:val="center"/>
                    <w:rPr>
                      <w:b/>
                      <w:bCs/>
                      <w:color w:val="auto"/>
                      <w:szCs w:val="21"/>
                      <w:lang w:val="zh-CN"/>
                    </w:rPr>
                  </w:pPr>
                  <w:r>
                    <w:rPr>
                      <w:b/>
                      <w:bCs/>
                      <w:color w:val="auto"/>
                      <w:szCs w:val="21"/>
                      <w:lang w:val="zh-CN"/>
                    </w:rPr>
                    <w:t>防渗要求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677" w:hRule="atLeast"/>
                <w:jc w:val="center"/>
              </w:trPr>
              <w:tc>
                <w:tcPr>
                  <w:tcW w:w="648" w:type="pct"/>
                  <w:vMerge w:val="restart"/>
                  <w:vAlign w:val="center"/>
                </w:tcPr>
                <w:p>
                  <w:pPr>
                    <w:wordWrap w:val="0"/>
                    <w:adjustRightInd w:val="0"/>
                    <w:snapToGrid w:val="0"/>
                    <w:jc w:val="center"/>
                    <w:rPr>
                      <w:color w:val="auto"/>
                      <w:szCs w:val="21"/>
                      <w:lang w:val="zh-CN"/>
                    </w:rPr>
                  </w:pPr>
                  <w:r>
                    <w:rPr>
                      <w:color w:val="auto"/>
                      <w:szCs w:val="21"/>
                      <w:lang w:val="zh-CN"/>
                    </w:rPr>
                    <w:t>重点</w:t>
                  </w:r>
                </w:p>
                <w:p>
                  <w:pPr>
                    <w:wordWrap w:val="0"/>
                    <w:adjustRightInd w:val="0"/>
                    <w:snapToGrid w:val="0"/>
                    <w:jc w:val="center"/>
                    <w:rPr>
                      <w:color w:val="auto"/>
                      <w:szCs w:val="21"/>
                      <w:lang w:val="zh-CN"/>
                    </w:rPr>
                  </w:pPr>
                  <w:r>
                    <w:rPr>
                      <w:color w:val="auto"/>
                      <w:szCs w:val="21"/>
                      <w:lang w:val="zh-CN"/>
                    </w:rPr>
                    <w:t>防渗区</w:t>
                  </w:r>
                </w:p>
              </w:tc>
              <w:tc>
                <w:tcPr>
                  <w:tcW w:w="697" w:type="pct"/>
                  <w:vAlign w:val="center"/>
                </w:tcPr>
                <w:p>
                  <w:pPr>
                    <w:wordWrap w:val="0"/>
                    <w:adjustRightInd w:val="0"/>
                    <w:snapToGrid w:val="0"/>
                    <w:jc w:val="center"/>
                    <w:rPr>
                      <w:color w:val="auto"/>
                      <w:kern w:val="0"/>
                      <w:szCs w:val="21"/>
                      <w:lang w:val="zh-CN"/>
                    </w:rPr>
                  </w:pPr>
                  <w:r>
                    <w:rPr>
                      <w:rStyle w:val="24"/>
                      <w:color w:val="auto"/>
                      <w:kern w:val="0"/>
                      <w:szCs w:val="21"/>
                      <w:lang w:val="zh-CN"/>
                    </w:rPr>
                    <w:t>危废暂存库</w:t>
                  </w:r>
                </w:p>
              </w:tc>
              <w:tc>
                <w:tcPr>
                  <w:tcW w:w="871" w:type="pct"/>
                  <w:vAlign w:val="center"/>
                </w:tcPr>
                <w:p>
                  <w:pPr>
                    <w:wordWrap w:val="0"/>
                    <w:adjustRightInd w:val="0"/>
                    <w:snapToGrid w:val="0"/>
                    <w:jc w:val="center"/>
                    <w:rPr>
                      <w:color w:val="auto"/>
                      <w:kern w:val="0"/>
                      <w:szCs w:val="21"/>
                    </w:rPr>
                  </w:pPr>
                  <w:r>
                    <w:rPr>
                      <w:rStyle w:val="24"/>
                      <w:color w:val="auto"/>
                      <w:kern w:val="0"/>
                      <w:szCs w:val="21"/>
                      <w:lang w:val="zh-CN"/>
                    </w:rPr>
                    <w:t>矿物油、润滑油等泄漏</w:t>
                  </w:r>
                </w:p>
              </w:tc>
              <w:tc>
                <w:tcPr>
                  <w:tcW w:w="871" w:type="pct"/>
                  <w:vAlign w:val="center"/>
                </w:tcPr>
                <w:p>
                  <w:pPr>
                    <w:wordWrap w:val="0"/>
                    <w:adjustRightInd w:val="0"/>
                    <w:snapToGrid w:val="0"/>
                    <w:jc w:val="center"/>
                    <w:rPr>
                      <w:rStyle w:val="24"/>
                      <w:color w:val="auto"/>
                      <w:kern w:val="0"/>
                      <w:szCs w:val="21"/>
                    </w:rPr>
                  </w:pPr>
                  <w:r>
                    <w:rPr>
                      <w:rStyle w:val="24"/>
                      <w:color w:val="auto"/>
                      <w:kern w:val="0"/>
                      <w:szCs w:val="21"/>
                    </w:rPr>
                    <w:t>垂直入渗、</w:t>
                  </w:r>
                </w:p>
                <w:p>
                  <w:pPr>
                    <w:wordWrap w:val="0"/>
                    <w:adjustRightInd w:val="0"/>
                    <w:snapToGrid w:val="0"/>
                    <w:jc w:val="center"/>
                    <w:rPr>
                      <w:color w:val="auto"/>
                      <w:kern w:val="0"/>
                      <w:szCs w:val="21"/>
                      <w:lang w:val="zh-CN"/>
                    </w:rPr>
                  </w:pPr>
                  <w:r>
                    <w:rPr>
                      <w:rStyle w:val="24"/>
                      <w:color w:val="auto"/>
                      <w:kern w:val="0"/>
                      <w:szCs w:val="21"/>
                    </w:rPr>
                    <w:t>地面漫流</w:t>
                  </w:r>
                </w:p>
              </w:tc>
              <w:tc>
                <w:tcPr>
                  <w:tcW w:w="1913" w:type="pct"/>
                  <w:vMerge w:val="restart"/>
                  <w:vAlign w:val="center"/>
                </w:tcPr>
                <w:p>
                  <w:pPr>
                    <w:wordWrap w:val="0"/>
                    <w:adjustRightInd w:val="0"/>
                    <w:snapToGrid w:val="0"/>
                    <w:jc w:val="center"/>
                    <w:rPr>
                      <w:color w:val="auto"/>
                      <w:kern w:val="0"/>
                      <w:szCs w:val="21"/>
                      <w:lang w:val="zh-CN"/>
                    </w:rPr>
                  </w:pPr>
                  <w:r>
                    <w:rPr>
                      <w:rStyle w:val="24"/>
                      <w:color w:val="auto"/>
                      <w:kern w:val="0"/>
                      <w:szCs w:val="21"/>
                    </w:rPr>
                    <w:t>等效黏土防渗层 Mb≥6.0m，K≤1×10</w:t>
                  </w:r>
                  <w:r>
                    <w:rPr>
                      <w:rStyle w:val="24"/>
                      <w:color w:val="auto"/>
                      <w:kern w:val="0"/>
                      <w:szCs w:val="21"/>
                      <w:vertAlign w:val="superscript"/>
                    </w:rPr>
                    <w:t>-7</w:t>
                  </w:r>
                  <w:r>
                    <w:rPr>
                      <w:rStyle w:val="24"/>
                      <w:color w:val="auto"/>
                      <w:kern w:val="0"/>
                      <w:szCs w:val="21"/>
                    </w:rPr>
                    <w:t xml:space="preserve">cm/s；或参照 </w:t>
                  </w:r>
                  <w:r>
                    <w:rPr>
                      <w:rStyle w:val="24"/>
                      <w:rFonts w:hint="eastAsia"/>
                      <w:color w:val="auto"/>
                      <w:kern w:val="0"/>
                      <w:szCs w:val="21"/>
                    </w:rPr>
                    <w:t>危险废物填埋污染控制标准（</w:t>
                  </w:r>
                  <w:r>
                    <w:rPr>
                      <w:rStyle w:val="24"/>
                      <w:color w:val="auto"/>
                      <w:kern w:val="0"/>
                      <w:szCs w:val="21"/>
                    </w:rPr>
                    <w:t>GB18598</w:t>
                  </w:r>
                  <w:r>
                    <w:rPr>
                      <w:rStyle w:val="24"/>
                      <w:rFonts w:hint="eastAsia"/>
                      <w:color w:val="auto"/>
                      <w:kern w:val="0"/>
                      <w:szCs w:val="21"/>
                    </w:rPr>
                    <w:t>-2019）</w:t>
                  </w:r>
                  <w:r>
                    <w:rPr>
                      <w:rStyle w:val="24"/>
                      <w:color w:val="auto"/>
                      <w:kern w:val="0"/>
                      <w:szCs w:val="21"/>
                    </w:rPr>
                    <w:t xml:space="preserve"> 执行</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677" w:hRule="atLeast"/>
                <w:jc w:val="center"/>
              </w:trPr>
              <w:tc>
                <w:tcPr>
                  <w:tcW w:w="648" w:type="pct"/>
                  <w:vMerge w:val="continue"/>
                  <w:vAlign w:val="center"/>
                </w:tcPr>
                <w:p>
                  <w:pPr>
                    <w:wordWrap w:val="0"/>
                    <w:adjustRightInd w:val="0"/>
                    <w:snapToGrid w:val="0"/>
                    <w:jc w:val="center"/>
                    <w:rPr>
                      <w:color w:val="auto"/>
                      <w:szCs w:val="21"/>
                      <w:lang w:val="zh-CN"/>
                    </w:rPr>
                  </w:pPr>
                </w:p>
              </w:tc>
              <w:tc>
                <w:tcPr>
                  <w:tcW w:w="697" w:type="pct"/>
                  <w:vAlign w:val="center"/>
                </w:tcPr>
                <w:p>
                  <w:pPr>
                    <w:wordWrap w:val="0"/>
                    <w:adjustRightInd w:val="0"/>
                    <w:snapToGrid w:val="0"/>
                    <w:jc w:val="center"/>
                    <w:rPr>
                      <w:rStyle w:val="24"/>
                      <w:color w:val="auto"/>
                      <w:kern w:val="0"/>
                      <w:szCs w:val="21"/>
                      <w:lang w:val="zh-CN"/>
                    </w:rPr>
                  </w:pPr>
                  <w:r>
                    <w:rPr>
                      <w:rStyle w:val="24"/>
                      <w:color w:val="auto"/>
                      <w:kern w:val="0"/>
                      <w:szCs w:val="21"/>
                      <w:lang w:val="zh-CN"/>
                    </w:rPr>
                    <w:t>液态原料贮存区</w:t>
                  </w:r>
                </w:p>
              </w:tc>
              <w:tc>
                <w:tcPr>
                  <w:tcW w:w="871" w:type="pct"/>
                  <w:vAlign w:val="center"/>
                </w:tcPr>
                <w:p>
                  <w:pPr>
                    <w:wordWrap w:val="0"/>
                    <w:adjustRightInd w:val="0"/>
                    <w:snapToGrid w:val="0"/>
                    <w:jc w:val="center"/>
                    <w:rPr>
                      <w:rStyle w:val="24"/>
                      <w:color w:val="auto"/>
                      <w:kern w:val="0"/>
                      <w:szCs w:val="21"/>
                      <w:lang w:val="zh-CN"/>
                    </w:rPr>
                  </w:pPr>
                  <w:r>
                    <w:rPr>
                      <w:rStyle w:val="24"/>
                      <w:color w:val="auto"/>
                      <w:kern w:val="0"/>
                      <w:szCs w:val="21"/>
                    </w:rPr>
                    <w:t>水性漆</w:t>
                  </w:r>
                  <w:r>
                    <w:rPr>
                      <w:rStyle w:val="24"/>
                      <w:color w:val="auto"/>
                      <w:kern w:val="0"/>
                      <w:szCs w:val="21"/>
                      <w:lang w:val="zh-CN"/>
                    </w:rPr>
                    <w:t>等泄漏</w:t>
                  </w:r>
                </w:p>
              </w:tc>
              <w:tc>
                <w:tcPr>
                  <w:tcW w:w="871" w:type="pct"/>
                  <w:vAlign w:val="center"/>
                </w:tcPr>
                <w:p>
                  <w:pPr>
                    <w:wordWrap w:val="0"/>
                    <w:adjustRightInd w:val="0"/>
                    <w:snapToGrid w:val="0"/>
                    <w:jc w:val="center"/>
                    <w:rPr>
                      <w:rStyle w:val="24"/>
                      <w:color w:val="auto"/>
                      <w:kern w:val="0"/>
                      <w:szCs w:val="21"/>
                    </w:rPr>
                  </w:pPr>
                  <w:r>
                    <w:rPr>
                      <w:rStyle w:val="24"/>
                      <w:color w:val="auto"/>
                      <w:kern w:val="0"/>
                      <w:szCs w:val="21"/>
                    </w:rPr>
                    <w:t>垂直入渗、地面漫流</w:t>
                  </w:r>
                </w:p>
              </w:tc>
              <w:tc>
                <w:tcPr>
                  <w:tcW w:w="1913" w:type="pct"/>
                  <w:vMerge w:val="continue"/>
                  <w:vAlign w:val="center"/>
                </w:tcPr>
                <w:p>
                  <w:pPr>
                    <w:wordWrap w:val="0"/>
                    <w:adjustRightInd w:val="0"/>
                    <w:snapToGrid w:val="0"/>
                    <w:jc w:val="center"/>
                    <w:rPr>
                      <w:rStyle w:val="24"/>
                      <w:color w:val="auto"/>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412" w:hRule="atLeast"/>
                <w:jc w:val="center"/>
              </w:trPr>
              <w:tc>
                <w:tcPr>
                  <w:tcW w:w="648" w:type="pct"/>
                  <w:vMerge w:val="restart"/>
                  <w:vAlign w:val="center"/>
                </w:tcPr>
                <w:p>
                  <w:pPr>
                    <w:wordWrap w:val="0"/>
                    <w:adjustRightInd w:val="0"/>
                    <w:snapToGrid w:val="0"/>
                    <w:jc w:val="center"/>
                    <w:rPr>
                      <w:color w:val="auto"/>
                      <w:szCs w:val="21"/>
                      <w:lang w:val="zh-CN"/>
                    </w:rPr>
                  </w:pPr>
                  <w:r>
                    <w:rPr>
                      <w:color w:val="auto"/>
                      <w:szCs w:val="21"/>
                      <w:lang w:val="zh-CN"/>
                    </w:rPr>
                    <w:t>一般</w:t>
                  </w:r>
                </w:p>
                <w:p>
                  <w:pPr>
                    <w:wordWrap w:val="0"/>
                    <w:adjustRightInd w:val="0"/>
                    <w:snapToGrid w:val="0"/>
                    <w:jc w:val="center"/>
                    <w:rPr>
                      <w:color w:val="auto"/>
                      <w:szCs w:val="21"/>
                      <w:lang w:val="zh-CN"/>
                    </w:rPr>
                  </w:pPr>
                  <w:r>
                    <w:rPr>
                      <w:color w:val="auto"/>
                      <w:szCs w:val="21"/>
                      <w:lang w:val="zh-CN"/>
                    </w:rPr>
                    <w:t>防渗区</w:t>
                  </w:r>
                </w:p>
              </w:tc>
              <w:tc>
                <w:tcPr>
                  <w:tcW w:w="697" w:type="pct"/>
                  <w:vAlign w:val="center"/>
                </w:tcPr>
                <w:p>
                  <w:pPr>
                    <w:wordWrap w:val="0"/>
                    <w:adjustRightInd w:val="0"/>
                    <w:snapToGrid w:val="0"/>
                    <w:jc w:val="center"/>
                    <w:rPr>
                      <w:color w:val="auto"/>
                      <w:kern w:val="0"/>
                      <w:szCs w:val="21"/>
                      <w:lang w:val="zh-CN"/>
                    </w:rPr>
                  </w:pPr>
                  <w:r>
                    <w:rPr>
                      <w:rStyle w:val="24"/>
                      <w:color w:val="auto"/>
                      <w:kern w:val="0"/>
                      <w:szCs w:val="21"/>
                      <w:lang w:val="zh-CN"/>
                    </w:rPr>
                    <w:t>生产车间</w:t>
                  </w:r>
                </w:p>
              </w:tc>
              <w:tc>
                <w:tcPr>
                  <w:tcW w:w="871" w:type="pct"/>
                  <w:vAlign w:val="center"/>
                </w:tcPr>
                <w:p>
                  <w:pPr>
                    <w:wordWrap w:val="0"/>
                    <w:adjustRightInd w:val="0"/>
                    <w:snapToGrid w:val="0"/>
                    <w:jc w:val="center"/>
                    <w:rPr>
                      <w:color w:val="auto"/>
                      <w:kern w:val="0"/>
                      <w:szCs w:val="21"/>
                    </w:rPr>
                  </w:pPr>
                  <w:r>
                    <w:rPr>
                      <w:rStyle w:val="24"/>
                      <w:color w:val="auto"/>
                      <w:kern w:val="0"/>
                      <w:szCs w:val="21"/>
                      <w:lang w:val="zh-CN"/>
                    </w:rPr>
                    <w:t>水性漆、矿物油、润滑油等泄漏</w:t>
                  </w:r>
                </w:p>
              </w:tc>
              <w:tc>
                <w:tcPr>
                  <w:tcW w:w="871" w:type="pct"/>
                  <w:vAlign w:val="center"/>
                </w:tcPr>
                <w:p>
                  <w:pPr>
                    <w:wordWrap w:val="0"/>
                    <w:adjustRightInd w:val="0"/>
                    <w:snapToGrid w:val="0"/>
                    <w:jc w:val="center"/>
                    <w:rPr>
                      <w:color w:val="auto"/>
                      <w:kern w:val="0"/>
                      <w:szCs w:val="21"/>
                    </w:rPr>
                  </w:pPr>
                  <w:r>
                    <w:rPr>
                      <w:rStyle w:val="24"/>
                      <w:color w:val="auto"/>
                      <w:kern w:val="0"/>
                      <w:szCs w:val="21"/>
                    </w:rPr>
                    <w:t>垂直入渗、地面漫流</w:t>
                  </w:r>
                </w:p>
              </w:tc>
              <w:tc>
                <w:tcPr>
                  <w:tcW w:w="1913" w:type="pct"/>
                  <w:vMerge w:val="restart"/>
                  <w:vAlign w:val="center"/>
                </w:tcPr>
                <w:p>
                  <w:pPr>
                    <w:wordWrap w:val="0"/>
                    <w:adjustRightInd w:val="0"/>
                    <w:snapToGrid w:val="0"/>
                    <w:jc w:val="center"/>
                    <w:rPr>
                      <w:color w:val="auto"/>
                      <w:kern w:val="0"/>
                      <w:szCs w:val="21"/>
                      <w:lang w:val="zh-CN"/>
                    </w:rPr>
                  </w:pPr>
                  <w:r>
                    <w:rPr>
                      <w:rStyle w:val="24"/>
                      <w:color w:val="auto"/>
                      <w:kern w:val="0"/>
                      <w:szCs w:val="21"/>
                    </w:rPr>
                    <w:t>等效黏土防渗层 Mb≥1.5m，K≤1×10</w:t>
                  </w:r>
                  <w:r>
                    <w:rPr>
                      <w:rStyle w:val="24"/>
                      <w:color w:val="auto"/>
                      <w:kern w:val="0"/>
                      <w:szCs w:val="21"/>
                      <w:vertAlign w:val="superscript"/>
                    </w:rPr>
                    <w:t>-7</w:t>
                  </w:r>
                  <w:r>
                    <w:rPr>
                      <w:rStyle w:val="24"/>
                      <w:color w:val="auto"/>
                      <w:kern w:val="0"/>
                      <w:szCs w:val="21"/>
                    </w:rPr>
                    <w:t xml:space="preserve">cm/s；或参照 </w:t>
                  </w:r>
                  <w:r>
                    <w:rPr>
                      <w:rStyle w:val="24"/>
                      <w:rFonts w:hint="eastAsia"/>
                      <w:color w:val="auto"/>
                      <w:kern w:val="0"/>
                      <w:szCs w:val="21"/>
                    </w:rPr>
                    <w:t>生活垃圾填埋场污染控制标准（</w:t>
                  </w:r>
                  <w:r>
                    <w:rPr>
                      <w:rStyle w:val="24"/>
                      <w:color w:val="auto"/>
                      <w:kern w:val="0"/>
                      <w:szCs w:val="21"/>
                    </w:rPr>
                    <w:t>GB16889</w:t>
                  </w:r>
                  <w:r>
                    <w:rPr>
                      <w:rStyle w:val="24"/>
                      <w:rFonts w:hint="eastAsia"/>
                      <w:color w:val="auto"/>
                      <w:kern w:val="0"/>
                      <w:szCs w:val="21"/>
                    </w:rPr>
                    <w:t>-2008）</w:t>
                  </w:r>
                  <w:r>
                    <w:rPr>
                      <w:rStyle w:val="24"/>
                      <w:color w:val="auto"/>
                      <w:kern w:val="0"/>
                      <w:szCs w:val="21"/>
                    </w:rPr>
                    <w:t>执行</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412" w:hRule="atLeast"/>
                <w:jc w:val="center"/>
              </w:trPr>
              <w:tc>
                <w:tcPr>
                  <w:tcW w:w="648" w:type="pct"/>
                  <w:vMerge w:val="continue"/>
                  <w:vAlign w:val="center"/>
                </w:tcPr>
                <w:p>
                  <w:pPr>
                    <w:wordWrap w:val="0"/>
                    <w:adjustRightInd w:val="0"/>
                    <w:snapToGrid w:val="0"/>
                    <w:jc w:val="center"/>
                    <w:rPr>
                      <w:color w:val="auto"/>
                      <w:szCs w:val="21"/>
                      <w:lang w:val="zh-CN"/>
                    </w:rPr>
                  </w:pPr>
                </w:p>
              </w:tc>
              <w:tc>
                <w:tcPr>
                  <w:tcW w:w="697" w:type="pct"/>
                  <w:vAlign w:val="center"/>
                </w:tcPr>
                <w:p>
                  <w:pPr>
                    <w:wordWrap w:val="0"/>
                    <w:adjustRightInd w:val="0"/>
                    <w:snapToGrid w:val="0"/>
                    <w:jc w:val="center"/>
                    <w:rPr>
                      <w:color w:val="auto"/>
                      <w:szCs w:val="21"/>
                      <w:lang w:val="zh-CN"/>
                    </w:rPr>
                  </w:pPr>
                  <w:r>
                    <w:rPr>
                      <w:color w:val="auto"/>
                      <w:szCs w:val="21"/>
                      <w:lang w:val="zh-CN"/>
                    </w:rPr>
                    <w:t>一般固废暂存库、化粪池</w:t>
                  </w:r>
                  <w:r>
                    <w:rPr>
                      <w:color w:val="auto"/>
                      <w:szCs w:val="21"/>
                    </w:rPr>
                    <w:t>等</w:t>
                  </w:r>
                </w:p>
              </w:tc>
              <w:tc>
                <w:tcPr>
                  <w:tcW w:w="871" w:type="pct"/>
                  <w:vAlign w:val="center"/>
                </w:tcPr>
                <w:p>
                  <w:pPr>
                    <w:wordWrap w:val="0"/>
                    <w:adjustRightInd w:val="0"/>
                    <w:snapToGrid w:val="0"/>
                    <w:jc w:val="center"/>
                    <w:rPr>
                      <w:rStyle w:val="24"/>
                      <w:color w:val="auto"/>
                      <w:kern w:val="0"/>
                      <w:szCs w:val="21"/>
                    </w:rPr>
                  </w:pPr>
                  <w:r>
                    <w:rPr>
                      <w:rStyle w:val="24"/>
                      <w:color w:val="auto"/>
                      <w:kern w:val="0"/>
                      <w:szCs w:val="21"/>
                    </w:rPr>
                    <w:t>/</w:t>
                  </w:r>
                </w:p>
              </w:tc>
              <w:tc>
                <w:tcPr>
                  <w:tcW w:w="871" w:type="pct"/>
                  <w:vAlign w:val="center"/>
                </w:tcPr>
                <w:p>
                  <w:pPr>
                    <w:wordWrap w:val="0"/>
                    <w:adjustRightInd w:val="0"/>
                    <w:snapToGrid w:val="0"/>
                    <w:jc w:val="center"/>
                    <w:rPr>
                      <w:rStyle w:val="24"/>
                      <w:color w:val="auto"/>
                      <w:kern w:val="0"/>
                      <w:szCs w:val="21"/>
                    </w:rPr>
                  </w:pPr>
                  <w:r>
                    <w:rPr>
                      <w:rStyle w:val="24"/>
                      <w:color w:val="auto"/>
                      <w:kern w:val="0"/>
                      <w:szCs w:val="21"/>
                    </w:rPr>
                    <w:t>垂直入渗、地面漫流</w:t>
                  </w:r>
                </w:p>
              </w:tc>
              <w:tc>
                <w:tcPr>
                  <w:tcW w:w="1913" w:type="pct"/>
                  <w:vMerge w:val="continue"/>
                  <w:vAlign w:val="center"/>
                </w:tcPr>
                <w:p>
                  <w:pPr>
                    <w:wordWrap w:val="0"/>
                    <w:adjustRightInd w:val="0"/>
                    <w:snapToGrid w:val="0"/>
                    <w:jc w:val="center"/>
                    <w:rPr>
                      <w:rStyle w:val="24"/>
                      <w:color w:val="auto"/>
                      <w:kern w:val="0"/>
                      <w:szCs w:val="21"/>
                      <w:lang w:val="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291" w:hRule="atLeast"/>
                <w:jc w:val="center"/>
              </w:trPr>
              <w:tc>
                <w:tcPr>
                  <w:tcW w:w="648" w:type="pct"/>
                  <w:vAlign w:val="center"/>
                </w:tcPr>
                <w:p>
                  <w:pPr>
                    <w:wordWrap w:val="0"/>
                    <w:adjustRightInd w:val="0"/>
                    <w:snapToGrid w:val="0"/>
                    <w:jc w:val="center"/>
                    <w:rPr>
                      <w:color w:val="auto"/>
                      <w:szCs w:val="21"/>
                      <w:lang w:val="zh-CN"/>
                    </w:rPr>
                  </w:pPr>
                  <w:r>
                    <w:rPr>
                      <w:color w:val="auto"/>
                      <w:szCs w:val="21"/>
                      <w:lang w:val="zh-CN"/>
                    </w:rPr>
                    <w:t>简单</w:t>
                  </w:r>
                </w:p>
                <w:p>
                  <w:pPr>
                    <w:wordWrap w:val="0"/>
                    <w:adjustRightInd w:val="0"/>
                    <w:snapToGrid w:val="0"/>
                    <w:jc w:val="center"/>
                    <w:rPr>
                      <w:color w:val="auto"/>
                      <w:szCs w:val="21"/>
                      <w:lang w:val="zh-CN"/>
                    </w:rPr>
                  </w:pPr>
                  <w:r>
                    <w:rPr>
                      <w:color w:val="auto"/>
                      <w:szCs w:val="21"/>
                      <w:lang w:val="zh-CN"/>
                    </w:rPr>
                    <w:t>防渗区</w:t>
                  </w:r>
                </w:p>
              </w:tc>
              <w:tc>
                <w:tcPr>
                  <w:tcW w:w="697" w:type="pct"/>
                  <w:vAlign w:val="center"/>
                </w:tcPr>
                <w:p>
                  <w:pPr>
                    <w:wordWrap w:val="0"/>
                    <w:adjustRightInd w:val="0"/>
                    <w:snapToGrid w:val="0"/>
                    <w:jc w:val="center"/>
                    <w:rPr>
                      <w:color w:val="auto"/>
                      <w:szCs w:val="21"/>
                      <w:lang w:val="zh-CN"/>
                    </w:rPr>
                  </w:pPr>
                  <w:r>
                    <w:rPr>
                      <w:color w:val="auto"/>
                      <w:szCs w:val="21"/>
                      <w:lang w:val="zh-CN"/>
                    </w:rPr>
                    <w:t>办公区</w:t>
                  </w:r>
                </w:p>
              </w:tc>
              <w:tc>
                <w:tcPr>
                  <w:tcW w:w="871" w:type="pct"/>
                  <w:vAlign w:val="center"/>
                </w:tcPr>
                <w:p>
                  <w:pPr>
                    <w:wordWrap w:val="0"/>
                    <w:adjustRightInd w:val="0"/>
                    <w:snapToGrid w:val="0"/>
                    <w:jc w:val="center"/>
                    <w:rPr>
                      <w:color w:val="auto"/>
                      <w:szCs w:val="21"/>
                    </w:rPr>
                  </w:pPr>
                  <w:r>
                    <w:rPr>
                      <w:color w:val="auto"/>
                      <w:szCs w:val="21"/>
                    </w:rPr>
                    <w:t>/</w:t>
                  </w:r>
                </w:p>
              </w:tc>
              <w:tc>
                <w:tcPr>
                  <w:tcW w:w="871" w:type="pct"/>
                  <w:vAlign w:val="center"/>
                </w:tcPr>
                <w:p>
                  <w:pPr>
                    <w:wordWrap w:val="0"/>
                    <w:adjustRightInd w:val="0"/>
                    <w:snapToGrid w:val="0"/>
                    <w:jc w:val="center"/>
                    <w:rPr>
                      <w:color w:val="auto"/>
                      <w:szCs w:val="21"/>
                    </w:rPr>
                  </w:pPr>
                  <w:r>
                    <w:rPr>
                      <w:color w:val="auto"/>
                      <w:szCs w:val="21"/>
                    </w:rPr>
                    <w:t>/</w:t>
                  </w:r>
                </w:p>
              </w:tc>
              <w:tc>
                <w:tcPr>
                  <w:tcW w:w="1913" w:type="pct"/>
                  <w:vAlign w:val="center"/>
                </w:tcPr>
                <w:p>
                  <w:pPr>
                    <w:wordWrap w:val="0"/>
                    <w:adjustRightInd w:val="0"/>
                    <w:snapToGrid w:val="0"/>
                    <w:jc w:val="center"/>
                    <w:rPr>
                      <w:color w:val="auto"/>
                      <w:szCs w:val="21"/>
                      <w:lang w:val="zh-CN"/>
                    </w:rPr>
                  </w:pPr>
                  <w:r>
                    <w:rPr>
                      <w:color w:val="auto"/>
                      <w:szCs w:val="21"/>
                      <w:lang w:val="zh-CN"/>
                    </w:rPr>
                    <w:t>一般地面硬化</w:t>
                  </w:r>
                </w:p>
              </w:tc>
            </w:tr>
          </w:tbl>
          <w:p>
            <w:pPr>
              <w:wordWrap w:val="0"/>
              <w:adjustRightInd w:val="0"/>
              <w:snapToGrid w:val="0"/>
              <w:spacing w:line="360" w:lineRule="auto"/>
              <w:ind w:firstLine="480" w:firstLineChars="200"/>
              <w:rPr>
                <w:color w:val="auto"/>
              </w:rPr>
            </w:pPr>
            <w:r>
              <w:rPr>
                <w:color w:val="auto"/>
                <w:sz w:val="24"/>
              </w:rPr>
              <w:t>采取以上污染防治措施后，建设项目对周围地下水和土壤环境影响可得到有效控制。</w:t>
            </w:r>
          </w:p>
          <w:p>
            <w:pPr>
              <w:wordWrap w:val="0"/>
              <w:adjustRightInd w:val="0"/>
              <w:snapToGrid w:val="0"/>
              <w:spacing w:line="360" w:lineRule="auto"/>
              <w:ind w:firstLine="482" w:firstLineChars="200"/>
              <w:rPr>
                <w:color w:val="auto"/>
                <w:sz w:val="24"/>
              </w:rPr>
            </w:pPr>
            <w:r>
              <w:rPr>
                <w:b/>
                <w:bCs/>
                <w:color w:val="auto"/>
                <w:sz w:val="24"/>
              </w:rPr>
              <w:t>5.3跟踪监测</w:t>
            </w:r>
          </w:p>
          <w:bookmarkEnd w:id="42"/>
          <w:p>
            <w:pPr>
              <w:wordWrap w:val="0"/>
              <w:spacing w:line="360" w:lineRule="auto"/>
              <w:ind w:firstLine="480" w:firstLineChars="200"/>
              <w:contextualSpacing/>
              <w:rPr>
                <w:color w:val="auto"/>
                <w:sz w:val="24"/>
              </w:rPr>
            </w:pPr>
            <w:r>
              <w:rPr>
                <w:color w:val="auto"/>
                <w:sz w:val="24"/>
              </w:rPr>
              <w:t>企业水性漆、矿物油、润滑油等采用密闭包装桶，废油桶、废漆桶密闭贮存于危险废物暂存场所，企业危险废物暂存场所进行防渗防漏设计防止洒落地面的污染物渗入地下，并把滞留在地面的污染物收集起来，难以污染地下水及土壤，因此企业不需要进行地下水、土壤跟踪监测。</w:t>
            </w:r>
          </w:p>
          <w:p>
            <w:pPr>
              <w:wordWrap w:val="0"/>
              <w:spacing w:line="360" w:lineRule="auto"/>
              <w:ind w:firstLine="482" w:firstLineChars="200"/>
              <w:contextualSpacing/>
              <w:rPr>
                <w:b/>
                <w:bCs/>
                <w:color w:val="auto"/>
                <w:sz w:val="24"/>
              </w:rPr>
            </w:pPr>
            <w:r>
              <w:rPr>
                <w:b/>
                <w:bCs/>
                <w:color w:val="auto"/>
                <w:sz w:val="24"/>
              </w:rPr>
              <w:t>6、生态环境</w:t>
            </w:r>
          </w:p>
          <w:p>
            <w:pPr>
              <w:wordWrap w:val="0"/>
              <w:spacing w:line="360" w:lineRule="auto"/>
              <w:ind w:firstLine="480" w:firstLineChars="200"/>
              <w:rPr>
                <w:b/>
                <w:bCs/>
                <w:color w:val="auto"/>
                <w:sz w:val="24"/>
              </w:rPr>
            </w:pPr>
            <w:r>
              <w:rPr>
                <w:color w:val="auto"/>
                <w:sz w:val="24"/>
              </w:rPr>
              <w:t>本项目不涉及产业园区外新增用地且用地范围内不涉及生态环境保护目标，对生态环境无影响</w:t>
            </w:r>
            <w:r>
              <w:rPr>
                <w:color w:val="auto"/>
                <w:kern w:val="0"/>
                <w:sz w:val="24"/>
                <w:lang w:val="zh-CN"/>
              </w:rPr>
              <w:t>。</w:t>
            </w:r>
          </w:p>
          <w:p>
            <w:pPr>
              <w:wordWrap w:val="0"/>
              <w:spacing w:line="360" w:lineRule="auto"/>
              <w:ind w:firstLine="482" w:firstLineChars="200"/>
              <w:rPr>
                <w:b/>
                <w:bCs/>
                <w:color w:val="auto"/>
                <w:sz w:val="24"/>
              </w:rPr>
            </w:pPr>
            <w:r>
              <w:rPr>
                <w:b/>
                <w:bCs/>
                <w:color w:val="auto"/>
                <w:sz w:val="24"/>
              </w:rPr>
              <w:t>7、环境风险分析</w:t>
            </w:r>
          </w:p>
          <w:p>
            <w:pPr>
              <w:widowControl/>
              <w:ind w:firstLine="482" w:firstLineChars="200"/>
              <w:jc w:val="left"/>
              <w:rPr>
                <w:color w:val="auto"/>
              </w:rPr>
            </w:pPr>
            <w:r>
              <w:rPr>
                <w:b/>
                <w:bCs/>
                <w:color w:val="auto"/>
                <w:kern w:val="0"/>
                <w:sz w:val="24"/>
                <w:lang w:bidi="ar"/>
              </w:rPr>
              <w:t>7.1风险源调查</w:t>
            </w:r>
          </w:p>
          <w:p>
            <w:pPr>
              <w:wordWrap w:val="0"/>
              <w:adjustRightInd w:val="0"/>
              <w:snapToGrid w:val="0"/>
              <w:spacing w:line="360" w:lineRule="auto"/>
              <w:ind w:firstLine="480" w:firstLineChars="200"/>
              <w:rPr>
                <w:color w:val="auto"/>
                <w:sz w:val="24"/>
                <w:szCs w:val="22"/>
              </w:rPr>
            </w:pPr>
            <w:r>
              <w:rPr>
                <w:color w:val="auto"/>
                <w:kern w:val="0"/>
                <w:sz w:val="24"/>
                <w:lang w:bidi="ar"/>
              </w:rPr>
              <w:t>①危险物质数量及分布情况：</w:t>
            </w:r>
            <w:r>
              <w:rPr>
                <w:color w:val="auto"/>
                <w:sz w:val="24"/>
                <w:szCs w:val="22"/>
              </w:rPr>
              <w:t>根据《建设项目环境风险评价 技术导则》（HJ169-2018）附录B作为识别标准，对照发现全厂风险物质为水性漆、</w:t>
            </w:r>
            <w:r>
              <w:rPr>
                <w:rFonts w:hint="eastAsia"/>
                <w:color w:val="auto"/>
                <w:sz w:val="24"/>
                <w:szCs w:val="22"/>
                <w:lang w:eastAsia="zh-CN"/>
              </w:rPr>
              <w:t>润滑油</w:t>
            </w:r>
            <w:r>
              <w:rPr>
                <w:color w:val="auto"/>
                <w:sz w:val="24"/>
              </w:rPr>
              <w:t>及危险废物。</w:t>
            </w:r>
          </w:p>
          <w:p>
            <w:pPr>
              <w:widowControl/>
              <w:ind w:firstLine="480" w:firstLineChars="200"/>
              <w:jc w:val="left"/>
              <w:rPr>
                <w:color w:val="auto"/>
              </w:rPr>
            </w:pPr>
            <w:r>
              <w:rPr>
                <w:color w:val="auto"/>
                <w:kern w:val="0"/>
                <w:sz w:val="24"/>
                <w:lang w:bidi="ar"/>
              </w:rPr>
              <w:t>建设项目危险物质数量、分布情况及其</w:t>
            </w:r>
            <w:r>
              <w:rPr>
                <w:color w:val="auto"/>
                <w:sz w:val="24"/>
                <w:szCs w:val="22"/>
              </w:rPr>
              <w:t>Q</w:t>
            </w:r>
            <w:r>
              <w:rPr>
                <w:color w:val="auto"/>
                <w:kern w:val="0"/>
                <w:sz w:val="24"/>
                <w:lang w:bidi="ar"/>
              </w:rPr>
              <w:t>值计算见下表。</w:t>
            </w:r>
          </w:p>
          <w:p>
            <w:pPr>
              <w:wordWrap w:val="0"/>
              <w:adjustRightInd w:val="0"/>
              <w:snapToGrid w:val="0"/>
              <w:spacing w:line="360" w:lineRule="auto"/>
              <w:jc w:val="center"/>
              <w:rPr>
                <w:b/>
                <w:bCs/>
                <w:color w:val="auto"/>
                <w:szCs w:val="20"/>
              </w:rPr>
            </w:pPr>
          </w:p>
          <w:p>
            <w:pPr>
              <w:wordWrap w:val="0"/>
              <w:adjustRightInd w:val="0"/>
              <w:snapToGrid w:val="0"/>
              <w:spacing w:line="360" w:lineRule="auto"/>
              <w:jc w:val="center"/>
              <w:rPr>
                <w:b/>
                <w:bCs/>
                <w:color w:val="auto"/>
                <w:szCs w:val="20"/>
              </w:rPr>
            </w:pPr>
          </w:p>
          <w:p>
            <w:pPr>
              <w:wordWrap w:val="0"/>
              <w:adjustRightInd w:val="0"/>
              <w:snapToGrid w:val="0"/>
              <w:spacing w:line="360" w:lineRule="auto"/>
              <w:jc w:val="center"/>
              <w:rPr>
                <w:b/>
                <w:bCs/>
                <w:color w:val="auto"/>
                <w:szCs w:val="20"/>
              </w:rPr>
            </w:pPr>
          </w:p>
          <w:p>
            <w:pPr>
              <w:wordWrap w:val="0"/>
              <w:adjustRightInd w:val="0"/>
              <w:snapToGrid w:val="0"/>
              <w:spacing w:line="360" w:lineRule="auto"/>
              <w:jc w:val="center"/>
              <w:rPr>
                <w:b/>
                <w:bCs/>
                <w:color w:val="auto"/>
                <w:szCs w:val="20"/>
              </w:rPr>
            </w:pPr>
          </w:p>
          <w:p>
            <w:pPr>
              <w:wordWrap w:val="0"/>
              <w:adjustRightInd w:val="0"/>
              <w:snapToGrid w:val="0"/>
              <w:spacing w:line="360" w:lineRule="auto"/>
              <w:jc w:val="center"/>
              <w:rPr>
                <w:b/>
                <w:bCs/>
                <w:color w:val="auto"/>
                <w:szCs w:val="20"/>
              </w:rPr>
            </w:pPr>
          </w:p>
          <w:p>
            <w:pPr>
              <w:wordWrap w:val="0"/>
              <w:adjustRightInd w:val="0"/>
              <w:snapToGrid w:val="0"/>
              <w:spacing w:line="360" w:lineRule="auto"/>
              <w:jc w:val="center"/>
              <w:rPr>
                <w:b/>
                <w:bCs/>
                <w:color w:val="auto"/>
                <w:szCs w:val="20"/>
              </w:rPr>
            </w:pPr>
          </w:p>
          <w:p>
            <w:pPr>
              <w:wordWrap w:val="0"/>
              <w:adjustRightInd w:val="0"/>
              <w:snapToGrid w:val="0"/>
              <w:spacing w:line="360" w:lineRule="auto"/>
              <w:jc w:val="center"/>
              <w:rPr>
                <w:b/>
                <w:bCs/>
                <w:color w:val="auto"/>
                <w:szCs w:val="20"/>
              </w:rPr>
            </w:pPr>
          </w:p>
          <w:p>
            <w:pPr>
              <w:wordWrap w:val="0"/>
              <w:adjustRightInd w:val="0"/>
              <w:snapToGrid w:val="0"/>
              <w:spacing w:line="360" w:lineRule="auto"/>
              <w:jc w:val="center"/>
              <w:rPr>
                <w:b/>
                <w:bCs/>
                <w:color w:val="auto"/>
                <w:szCs w:val="20"/>
              </w:rPr>
            </w:pPr>
            <w:r>
              <w:rPr>
                <w:b/>
                <w:bCs/>
                <w:color w:val="auto"/>
                <w:szCs w:val="20"/>
              </w:rPr>
              <w:t>表4.2-2</w:t>
            </w:r>
            <w:r>
              <w:rPr>
                <w:rFonts w:hint="eastAsia"/>
                <w:b/>
                <w:bCs/>
                <w:color w:val="auto"/>
                <w:szCs w:val="20"/>
                <w:lang w:val="en-US" w:eastAsia="zh-CN"/>
              </w:rPr>
              <w:t>5</w:t>
            </w:r>
            <w:r>
              <w:rPr>
                <w:b/>
                <w:bCs/>
                <w:color w:val="auto"/>
                <w:szCs w:val="20"/>
              </w:rPr>
              <w:t xml:space="preserve">  本项目涉及环境风险物质识别表</w:t>
            </w:r>
          </w:p>
          <w:tbl>
            <w:tblPr>
              <w:tblStyle w:val="20"/>
              <w:tblW w:w="4969" w:type="pct"/>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02"/>
              <w:gridCol w:w="1369"/>
              <w:gridCol w:w="1719"/>
              <w:gridCol w:w="760"/>
              <w:gridCol w:w="949"/>
              <w:gridCol w:w="1375"/>
              <w:gridCol w:w="1591"/>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59" w:type="pct"/>
                  <w:tcBorders>
                    <w:bottom w:val="single" w:color="000000" w:sz="4" w:space="0"/>
                    <w:right w:val="single" w:color="000000" w:sz="4" w:space="0"/>
                  </w:tcBorders>
                  <w:vAlign w:val="center"/>
                </w:tcPr>
                <w:p>
                  <w:pPr>
                    <w:widowControl/>
                    <w:wordWrap w:val="0"/>
                    <w:jc w:val="center"/>
                    <w:textAlignment w:val="center"/>
                    <w:rPr>
                      <w:b/>
                      <w:bCs/>
                      <w:color w:val="auto"/>
                      <w:kern w:val="0"/>
                      <w:szCs w:val="21"/>
                      <w:lang w:bidi="ar"/>
                    </w:rPr>
                  </w:pPr>
                  <w:r>
                    <w:rPr>
                      <w:b/>
                      <w:bCs/>
                      <w:color w:val="auto"/>
                      <w:kern w:val="0"/>
                      <w:szCs w:val="21"/>
                      <w:lang w:bidi="ar"/>
                    </w:rPr>
                    <w:t>序号</w:t>
                  </w:r>
                </w:p>
              </w:tc>
              <w:tc>
                <w:tcPr>
                  <w:tcW w:w="818" w:type="pct"/>
                  <w:tcBorders>
                    <w:bottom w:val="single" w:color="000000" w:sz="4" w:space="0"/>
                    <w:right w:val="single" w:color="000000" w:sz="4" w:space="0"/>
                  </w:tcBorders>
                  <w:vAlign w:val="center"/>
                </w:tcPr>
                <w:p>
                  <w:pPr>
                    <w:widowControl/>
                    <w:wordWrap w:val="0"/>
                    <w:jc w:val="center"/>
                    <w:textAlignment w:val="center"/>
                    <w:rPr>
                      <w:b/>
                      <w:bCs/>
                      <w:color w:val="auto"/>
                      <w:szCs w:val="21"/>
                    </w:rPr>
                  </w:pPr>
                  <w:r>
                    <w:rPr>
                      <w:b/>
                      <w:bCs/>
                      <w:color w:val="auto"/>
                      <w:kern w:val="0"/>
                      <w:szCs w:val="21"/>
                      <w:lang w:bidi="ar"/>
                    </w:rPr>
                    <w:t>名称</w:t>
                  </w:r>
                </w:p>
              </w:tc>
              <w:tc>
                <w:tcPr>
                  <w:tcW w:w="1027" w:type="pct"/>
                  <w:tcBorders>
                    <w:left w:val="single" w:color="000000" w:sz="4" w:space="0"/>
                    <w:bottom w:val="single" w:color="auto" w:sz="4" w:space="0"/>
                    <w:right w:val="single" w:color="000000" w:sz="4" w:space="0"/>
                  </w:tcBorders>
                  <w:vAlign w:val="center"/>
                </w:tcPr>
                <w:p>
                  <w:pPr>
                    <w:widowControl/>
                    <w:wordWrap w:val="0"/>
                    <w:jc w:val="center"/>
                    <w:textAlignment w:val="center"/>
                    <w:rPr>
                      <w:b/>
                      <w:bCs/>
                      <w:color w:val="auto"/>
                      <w:szCs w:val="21"/>
                    </w:rPr>
                  </w:pPr>
                  <w:r>
                    <w:rPr>
                      <w:b/>
                      <w:bCs/>
                      <w:color w:val="auto"/>
                      <w:szCs w:val="21"/>
                    </w:rPr>
                    <w:t>污染物</w:t>
                  </w:r>
                </w:p>
              </w:tc>
              <w:tc>
                <w:tcPr>
                  <w:tcW w:w="454" w:type="pct"/>
                  <w:tcBorders>
                    <w:left w:val="single" w:color="000000" w:sz="4" w:space="0"/>
                    <w:bottom w:val="single" w:color="000000" w:sz="4" w:space="0"/>
                    <w:right w:val="single" w:color="000000" w:sz="4" w:space="0"/>
                  </w:tcBorders>
                  <w:vAlign w:val="center"/>
                </w:tcPr>
                <w:p>
                  <w:pPr>
                    <w:widowControl/>
                    <w:wordWrap w:val="0"/>
                    <w:jc w:val="center"/>
                    <w:textAlignment w:val="center"/>
                    <w:rPr>
                      <w:b/>
                      <w:bCs/>
                      <w:color w:val="auto"/>
                      <w:kern w:val="0"/>
                      <w:szCs w:val="21"/>
                      <w:lang w:bidi="ar"/>
                    </w:rPr>
                  </w:pPr>
                  <w:r>
                    <w:rPr>
                      <w:b/>
                      <w:bCs/>
                      <w:color w:val="auto"/>
                      <w:szCs w:val="21"/>
                      <w:lang w:bidi="en-US"/>
                    </w:rPr>
                    <w:t>分布</w:t>
                  </w:r>
                </w:p>
              </w:tc>
              <w:tc>
                <w:tcPr>
                  <w:tcW w:w="567" w:type="pct"/>
                  <w:tcBorders>
                    <w:left w:val="single" w:color="000000" w:sz="4" w:space="0"/>
                    <w:bottom w:val="single" w:color="000000" w:sz="4" w:space="0"/>
                    <w:right w:val="single" w:color="000000" w:sz="4" w:space="0"/>
                  </w:tcBorders>
                  <w:vAlign w:val="center"/>
                </w:tcPr>
                <w:p>
                  <w:pPr>
                    <w:pStyle w:val="46"/>
                    <w:wordWrap w:val="0"/>
                    <w:jc w:val="center"/>
                    <w:rPr>
                      <w:rFonts w:ascii="Times New Roman" w:hAnsi="Times New Roman" w:eastAsia="宋体" w:cs="Times New Roman"/>
                      <w:color w:val="auto"/>
                      <w:sz w:val="21"/>
                      <w:szCs w:val="21"/>
                    </w:rPr>
                  </w:pPr>
                  <w:r>
                    <w:rPr>
                      <w:rFonts w:ascii="Times New Roman" w:hAnsi="Times New Roman" w:eastAsia="宋体" w:cs="Times New Roman"/>
                      <w:b/>
                      <w:bCs/>
                      <w:color w:val="auto"/>
                      <w:sz w:val="21"/>
                      <w:szCs w:val="21"/>
                    </w:rPr>
                    <w:t>最大存在总量</w:t>
                  </w:r>
                  <w:r>
                    <w:rPr>
                      <w:rFonts w:ascii="Times New Roman" w:hAnsi="Times New Roman" w:eastAsia="宋体" w:cs="Times New Roman"/>
                      <w:b/>
                      <w:bCs/>
                      <w:color w:val="auto"/>
                      <w:sz w:val="21"/>
                      <w:szCs w:val="21"/>
                      <w:lang w:val="en-US" w:eastAsia="zh-CN" w:bidi="en-US"/>
                    </w:rPr>
                    <w:t>qn/t</w:t>
                  </w:r>
                </w:p>
              </w:tc>
              <w:tc>
                <w:tcPr>
                  <w:tcW w:w="821" w:type="pct"/>
                  <w:tcBorders>
                    <w:left w:val="single" w:color="000000" w:sz="4" w:space="0"/>
                    <w:bottom w:val="single" w:color="000000" w:sz="4" w:space="0"/>
                    <w:right w:val="single" w:color="000000" w:sz="4" w:space="0"/>
                  </w:tcBorders>
                  <w:vAlign w:val="center"/>
                </w:tcPr>
                <w:p>
                  <w:pPr>
                    <w:pStyle w:val="46"/>
                    <w:wordWrap w:val="0"/>
                    <w:jc w:val="center"/>
                    <w:rPr>
                      <w:rFonts w:ascii="Times New Roman" w:hAnsi="Times New Roman" w:eastAsia="宋体" w:cs="Times New Roman"/>
                      <w:color w:val="auto"/>
                      <w:sz w:val="21"/>
                      <w:szCs w:val="21"/>
                      <w:lang w:val="en-US" w:eastAsia="zh-CN"/>
                    </w:rPr>
                  </w:pPr>
                  <w:r>
                    <w:rPr>
                      <w:rFonts w:ascii="Times New Roman" w:hAnsi="Times New Roman" w:eastAsia="宋体" w:cs="Times New Roman"/>
                      <w:b/>
                      <w:bCs/>
                      <w:color w:val="auto"/>
                      <w:sz w:val="21"/>
                      <w:szCs w:val="21"/>
                    </w:rPr>
                    <w:t>临界量</w:t>
                  </w:r>
                  <w:r>
                    <w:rPr>
                      <w:rFonts w:ascii="Times New Roman" w:hAnsi="Times New Roman" w:eastAsia="宋体" w:cs="Times New Roman"/>
                      <w:b/>
                      <w:bCs/>
                      <w:color w:val="auto"/>
                      <w:sz w:val="21"/>
                      <w:szCs w:val="21"/>
                      <w:lang w:val="en-US" w:eastAsia="zh-CN" w:bidi="en-US"/>
                    </w:rPr>
                    <w:t>Qn/t</w:t>
                  </w:r>
                  <w:r>
                    <w:rPr>
                      <w:rFonts w:ascii="Times New Roman" w:hAnsi="Times New Roman" w:eastAsia="宋体" w:cs="Times New Roman"/>
                      <w:color w:val="auto"/>
                      <w:sz w:val="21"/>
                      <w:szCs w:val="21"/>
                      <w:lang w:val="en-US" w:eastAsia="zh-CN"/>
                    </w:rPr>
                    <w:t>*</w:t>
                  </w:r>
                </w:p>
              </w:tc>
              <w:tc>
                <w:tcPr>
                  <w:tcW w:w="950" w:type="pct"/>
                  <w:tcBorders>
                    <w:left w:val="single" w:color="000000" w:sz="4" w:space="0"/>
                    <w:bottom w:val="single" w:color="000000" w:sz="4" w:space="0"/>
                  </w:tcBorders>
                  <w:vAlign w:val="center"/>
                </w:tcPr>
                <w:p>
                  <w:pPr>
                    <w:pStyle w:val="46"/>
                    <w:wordWrap w:val="0"/>
                    <w:jc w:val="center"/>
                    <w:rPr>
                      <w:rFonts w:ascii="Times New Roman" w:hAnsi="Times New Roman" w:eastAsia="宋体" w:cs="Times New Roman"/>
                      <w:b/>
                      <w:bCs/>
                      <w:color w:val="auto"/>
                      <w:sz w:val="21"/>
                      <w:szCs w:val="21"/>
                    </w:rPr>
                  </w:pPr>
                  <w:r>
                    <w:rPr>
                      <w:rFonts w:ascii="Times New Roman" w:hAnsi="Times New Roman" w:eastAsia="宋体" w:cs="Times New Roman"/>
                      <w:b/>
                      <w:bCs/>
                      <w:color w:val="auto"/>
                      <w:sz w:val="21"/>
                      <w:szCs w:val="21"/>
                    </w:rPr>
                    <w:t>该种危险物质</w:t>
                  </w:r>
                </w:p>
                <w:p>
                  <w:pPr>
                    <w:pStyle w:val="46"/>
                    <w:wordWrap w:val="0"/>
                    <w:jc w:val="center"/>
                    <w:rPr>
                      <w:rFonts w:ascii="Times New Roman" w:hAnsi="Times New Roman" w:eastAsia="宋体" w:cs="Times New Roman"/>
                      <w:color w:val="auto"/>
                      <w:sz w:val="21"/>
                      <w:szCs w:val="21"/>
                    </w:rPr>
                  </w:pPr>
                  <w:r>
                    <w:rPr>
                      <w:rFonts w:ascii="Times New Roman" w:hAnsi="Times New Roman" w:eastAsia="宋体" w:cs="Times New Roman"/>
                      <w:b/>
                      <w:bCs/>
                      <w:color w:val="auto"/>
                      <w:sz w:val="21"/>
                      <w:szCs w:val="21"/>
                      <w:lang w:val="en-US" w:eastAsia="zh-CN" w:bidi="en-US"/>
                    </w:rPr>
                    <w:t>Q</w:t>
                  </w:r>
                  <w:r>
                    <w:rPr>
                      <w:rFonts w:ascii="Times New Roman" w:hAnsi="Times New Roman" w:eastAsia="宋体" w:cs="Times New Roman"/>
                      <w:b/>
                      <w:bCs/>
                      <w:color w:val="auto"/>
                      <w:sz w:val="21"/>
                      <w:szCs w:val="21"/>
                    </w:rPr>
                    <w:t>值</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7" w:hRule="atLeast"/>
                <w:jc w:val="center"/>
              </w:trPr>
              <w:tc>
                <w:tcPr>
                  <w:tcW w:w="359" w:type="pct"/>
                  <w:tcBorders>
                    <w:top w:val="single" w:color="000000" w:sz="4" w:space="0"/>
                    <w:bottom w:val="single" w:color="000000" w:sz="4" w:space="0"/>
                    <w:right w:val="single" w:color="000000" w:sz="4" w:space="0"/>
                  </w:tcBorders>
                  <w:vAlign w:val="center"/>
                </w:tcPr>
                <w:p>
                  <w:pPr>
                    <w:widowControl/>
                    <w:kinsoku w:val="0"/>
                    <w:wordWrap w:val="0"/>
                    <w:autoSpaceDE w:val="0"/>
                    <w:autoSpaceDN w:val="0"/>
                    <w:adjustRightInd w:val="0"/>
                    <w:snapToGrid w:val="0"/>
                    <w:jc w:val="center"/>
                    <w:textAlignment w:val="baseline"/>
                    <w:rPr>
                      <w:color w:val="auto"/>
                      <w:szCs w:val="21"/>
                    </w:rPr>
                  </w:pPr>
                  <w:r>
                    <w:rPr>
                      <w:color w:val="auto"/>
                      <w:szCs w:val="21"/>
                    </w:rPr>
                    <w:t>1</w:t>
                  </w:r>
                </w:p>
              </w:tc>
              <w:tc>
                <w:tcPr>
                  <w:tcW w:w="818" w:type="pct"/>
                  <w:tcBorders>
                    <w:top w:val="single" w:color="000000" w:sz="4" w:space="0"/>
                    <w:bottom w:val="single" w:color="000000" w:sz="4" w:space="0"/>
                    <w:right w:val="single" w:color="auto" w:sz="4" w:space="0"/>
                  </w:tcBorders>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水性漆</w:t>
                  </w:r>
                </w:p>
              </w:tc>
              <w:tc>
                <w:tcPr>
                  <w:tcW w:w="1027" w:type="pct"/>
                  <w:tcBorders>
                    <w:top w:val="single" w:color="auto" w:sz="4" w:space="0"/>
                    <w:left w:val="single" w:color="auto" w:sz="4" w:space="0"/>
                    <w:bottom w:val="single" w:color="auto" w:sz="4" w:space="0"/>
                    <w:right w:val="single" w:color="auto" w:sz="4" w:space="0"/>
                  </w:tcBorders>
                  <w:vAlign w:val="center"/>
                </w:tcPr>
                <w:p>
                  <w:pPr>
                    <w:widowControl/>
                    <w:jc w:val="center"/>
                    <w:rPr>
                      <w:color w:val="auto"/>
                      <w:szCs w:val="21"/>
                    </w:rPr>
                  </w:pPr>
                  <w:r>
                    <w:rPr>
                      <w:color w:val="auto"/>
                      <w:szCs w:val="21"/>
                    </w:rPr>
                    <w:t>有机物</w:t>
                  </w:r>
                </w:p>
              </w:tc>
              <w:tc>
                <w:tcPr>
                  <w:tcW w:w="454" w:type="pct"/>
                  <w:vMerge w:val="restart"/>
                  <w:tcBorders>
                    <w:top w:val="single" w:color="000000" w:sz="4" w:space="0"/>
                    <w:left w:val="single" w:color="auto" w:sz="4" w:space="0"/>
                    <w:bottom w:val="single" w:color="000000" w:sz="4" w:space="0"/>
                    <w:right w:val="single" w:color="auto" w:sz="4" w:space="0"/>
                  </w:tcBorders>
                  <w:vAlign w:val="center"/>
                </w:tcPr>
                <w:p>
                  <w:pPr>
                    <w:widowControl/>
                    <w:jc w:val="center"/>
                    <w:rPr>
                      <w:color w:val="auto"/>
                      <w:kern w:val="0"/>
                      <w:szCs w:val="21"/>
                      <w:lang w:bidi="ar"/>
                    </w:rPr>
                  </w:pPr>
                  <w:r>
                    <w:rPr>
                      <w:color w:val="auto"/>
                      <w:kern w:val="0"/>
                      <w:szCs w:val="21"/>
                      <w:lang w:bidi="ar"/>
                    </w:rPr>
                    <w:t>原料仓库</w:t>
                  </w:r>
                </w:p>
              </w:tc>
              <w:tc>
                <w:tcPr>
                  <w:tcW w:w="567" w:type="pct"/>
                  <w:tcBorders>
                    <w:top w:val="single" w:color="000000" w:sz="4" w:space="0"/>
                    <w:left w:val="single" w:color="auto" w:sz="4" w:space="0"/>
                    <w:bottom w:val="single" w:color="000000" w:sz="4" w:space="0"/>
                    <w:right w:val="single" w:color="000000" w:sz="4" w:space="0"/>
                  </w:tcBorders>
                  <w:vAlign w:val="center"/>
                </w:tcPr>
                <w:p>
                  <w:pPr>
                    <w:pStyle w:val="13"/>
                    <w:tabs>
                      <w:tab w:val="left" w:pos="2830"/>
                    </w:tabs>
                    <w:jc w:val="center"/>
                    <w:rPr>
                      <w:rFonts w:ascii="Times New Roman" w:hAnsi="Times New Roman"/>
                      <w:color w:val="auto"/>
                      <w:sz w:val="21"/>
                      <w:szCs w:val="21"/>
                      <w:lang w:bidi="ar"/>
                    </w:rPr>
                  </w:pPr>
                  <w:r>
                    <w:rPr>
                      <w:rFonts w:ascii="Times New Roman" w:hAnsi="Times New Roman"/>
                      <w:color w:val="auto"/>
                      <w:sz w:val="21"/>
                      <w:szCs w:val="21"/>
                    </w:rPr>
                    <w:t>1</w:t>
                  </w:r>
                  <w:r>
                    <w:rPr>
                      <w:rFonts w:hint="eastAsia" w:ascii="Times New Roman" w:hAnsi="Times New Roman"/>
                      <w:color w:val="auto"/>
                      <w:sz w:val="21"/>
                      <w:szCs w:val="21"/>
                    </w:rPr>
                    <w:t>0</w:t>
                  </w:r>
                </w:p>
              </w:tc>
              <w:tc>
                <w:tcPr>
                  <w:tcW w:w="821" w:type="pct"/>
                  <w:tcBorders>
                    <w:top w:val="single" w:color="000000" w:sz="4" w:space="0"/>
                    <w:left w:val="single" w:color="000000" w:sz="4" w:space="0"/>
                    <w:bottom w:val="single" w:color="000000" w:sz="4" w:space="0"/>
                    <w:right w:val="single" w:color="000000" w:sz="4" w:space="0"/>
                  </w:tcBorders>
                  <w:vAlign w:val="center"/>
                </w:tcPr>
                <w:p>
                  <w:pPr>
                    <w:pStyle w:val="13"/>
                    <w:tabs>
                      <w:tab w:val="left" w:pos="2830"/>
                    </w:tabs>
                    <w:jc w:val="center"/>
                    <w:rPr>
                      <w:rFonts w:ascii="Times New Roman" w:hAnsi="Times New Roman"/>
                      <w:color w:val="auto"/>
                      <w:sz w:val="21"/>
                      <w:szCs w:val="21"/>
                      <w:lang w:bidi="ar"/>
                    </w:rPr>
                  </w:pPr>
                  <w:r>
                    <w:rPr>
                      <w:rFonts w:ascii="Times New Roman" w:hAnsi="Times New Roman"/>
                      <w:color w:val="auto"/>
                      <w:sz w:val="21"/>
                      <w:szCs w:val="21"/>
                    </w:rPr>
                    <w:t>50</w:t>
                  </w:r>
                </w:p>
              </w:tc>
              <w:tc>
                <w:tcPr>
                  <w:tcW w:w="950" w:type="pct"/>
                  <w:tcBorders>
                    <w:top w:val="single" w:color="000000" w:sz="4" w:space="0"/>
                    <w:left w:val="single" w:color="000000" w:sz="4" w:space="0"/>
                    <w:bottom w:val="single" w:color="000000" w:sz="4" w:space="0"/>
                  </w:tcBorders>
                  <w:vAlign w:val="center"/>
                </w:tcPr>
                <w:p>
                  <w:pPr>
                    <w:widowControl/>
                    <w:jc w:val="center"/>
                    <w:textAlignment w:val="center"/>
                    <w:rPr>
                      <w:color w:val="auto"/>
                      <w:kern w:val="0"/>
                      <w:szCs w:val="21"/>
                      <w:lang w:bidi="ar"/>
                    </w:rPr>
                  </w:pPr>
                  <w:r>
                    <w:rPr>
                      <w:color w:val="auto"/>
                      <w:kern w:val="0"/>
                      <w:szCs w:val="21"/>
                      <w:lang w:bidi="ar"/>
                    </w:rPr>
                    <w:t>0.2</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59" w:type="pct"/>
                  <w:tcBorders>
                    <w:top w:val="single" w:color="000000" w:sz="4" w:space="0"/>
                    <w:bottom w:val="single" w:color="000000" w:sz="4" w:space="0"/>
                    <w:right w:val="single" w:color="000000" w:sz="4" w:space="0"/>
                  </w:tcBorders>
                  <w:vAlign w:val="center"/>
                </w:tcPr>
                <w:p>
                  <w:pPr>
                    <w:widowControl/>
                    <w:kinsoku w:val="0"/>
                    <w:wordWrap w:val="0"/>
                    <w:autoSpaceDE w:val="0"/>
                    <w:autoSpaceDN w:val="0"/>
                    <w:adjustRightInd w:val="0"/>
                    <w:snapToGrid w:val="0"/>
                    <w:jc w:val="center"/>
                    <w:textAlignment w:val="baseline"/>
                    <w:rPr>
                      <w:rFonts w:hint="eastAsia" w:eastAsia="宋体"/>
                      <w:color w:val="auto"/>
                      <w:szCs w:val="21"/>
                      <w:lang w:val="en-US" w:eastAsia="zh-CN"/>
                    </w:rPr>
                  </w:pPr>
                  <w:r>
                    <w:rPr>
                      <w:rFonts w:hint="eastAsia"/>
                      <w:color w:val="auto"/>
                      <w:szCs w:val="21"/>
                      <w:lang w:val="en-US" w:eastAsia="zh-CN"/>
                    </w:rPr>
                    <w:t>2</w:t>
                  </w:r>
                </w:p>
              </w:tc>
              <w:tc>
                <w:tcPr>
                  <w:tcW w:w="818" w:type="pct"/>
                  <w:tcBorders>
                    <w:top w:val="single" w:color="000000" w:sz="4" w:space="0"/>
                    <w:bottom w:val="single" w:color="000000" w:sz="4" w:space="0"/>
                    <w:right w:val="single" w:color="000000" w:sz="4" w:space="0"/>
                  </w:tcBorders>
                  <w:vAlign w:val="center"/>
                </w:tcPr>
                <w:p>
                  <w:pPr>
                    <w:pStyle w:val="13"/>
                    <w:tabs>
                      <w:tab w:val="left" w:pos="2830"/>
                    </w:tabs>
                    <w:jc w:val="center"/>
                    <w:rPr>
                      <w:rFonts w:ascii="Times New Roman" w:hAnsi="Times New Roman"/>
                      <w:color w:val="auto"/>
                      <w:sz w:val="21"/>
                      <w:szCs w:val="21"/>
                      <w:lang w:bidi="ar"/>
                    </w:rPr>
                  </w:pPr>
                  <w:r>
                    <w:rPr>
                      <w:rFonts w:ascii="Times New Roman" w:hAnsi="Times New Roman"/>
                      <w:color w:val="auto"/>
                      <w:sz w:val="21"/>
                      <w:szCs w:val="21"/>
                    </w:rPr>
                    <w:t>润滑油</w:t>
                  </w:r>
                </w:p>
              </w:tc>
              <w:tc>
                <w:tcPr>
                  <w:tcW w:w="1027" w:type="pct"/>
                  <w:tcBorders>
                    <w:top w:val="single" w:color="auto" w:sz="4" w:space="0"/>
                    <w:left w:val="single" w:color="000000" w:sz="4" w:space="0"/>
                    <w:bottom w:val="single" w:color="000000" w:sz="4" w:space="0"/>
                    <w:right w:val="single" w:color="000000" w:sz="4" w:space="0"/>
                  </w:tcBorders>
                  <w:vAlign w:val="center"/>
                </w:tcPr>
                <w:p>
                  <w:pPr>
                    <w:widowControl/>
                    <w:kinsoku w:val="0"/>
                    <w:wordWrap w:val="0"/>
                    <w:autoSpaceDE w:val="0"/>
                    <w:autoSpaceDN w:val="0"/>
                    <w:adjustRightInd w:val="0"/>
                    <w:snapToGrid w:val="0"/>
                    <w:jc w:val="center"/>
                    <w:textAlignment w:val="baseline"/>
                    <w:rPr>
                      <w:color w:val="auto"/>
                      <w:szCs w:val="21"/>
                    </w:rPr>
                  </w:pPr>
                  <w:r>
                    <w:rPr>
                      <w:color w:val="auto"/>
                      <w:szCs w:val="21"/>
                    </w:rPr>
                    <w:t>矿物油</w:t>
                  </w:r>
                </w:p>
              </w:tc>
              <w:tc>
                <w:tcPr>
                  <w:tcW w:w="454" w:type="pct"/>
                  <w:vMerge w:val="continue"/>
                  <w:tcBorders>
                    <w:top w:val="single" w:color="000000" w:sz="4" w:space="0"/>
                    <w:left w:val="single" w:color="auto" w:sz="4" w:space="0"/>
                    <w:bottom w:val="single" w:color="000000" w:sz="4" w:space="0"/>
                    <w:right w:val="single" w:color="auto" w:sz="4" w:space="0"/>
                  </w:tcBorders>
                  <w:vAlign w:val="center"/>
                </w:tcPr>
                <w:p>
                  <w:pPr>
                    <w:widowControl/>
                    <w:wordWrap w:val="0"/>
                    <w:jc w:val="center"/>
                    <w:textAlignment w:val="center"/>
                    <w:rPr>
                      <w:color w:val="auto"/>
                      <w:szCs w:val="21"/>
                    </w:rPr>
                  </w:pPr>
                </w:p>
              </w:tc>
              <w:tc>
                <w:tcPr>
                  <w:tcW w:w="567" w:type="pct"/>
                  <w:tcBorders>
                    <w:top w:val="single" w:color="000000" w:sz="4" w:space="0"/>
                    <w:left w:val="single" w:color="auto" w:sz="4" w:space="0"/>
                    <w:bottom w:val="single" w:color="000000" w:sz="4" w:space="0"/>
                    <w:right w:val="single" w:color="000000" w:sz="4" w:space="0"/>
                  </w:tcBorders>
                  <w:vAlign w:val="center"/>
                </w:tcPr>
                <w:p>
                  <w:pPr>
                    <w:pStyle w:val="13"/>
                    <w:tabs>
                      <w:tab w:val="left" w:pos="2830"/>
                    </w:tabs>
                    <w:jc w:val="center"/>
                    <w:rPr>
                      <w:rFonts w:ascii="Times New Roman" w:hAnsi="Times New Roman"/>
                      <w:color w:val="auto"/>
                      <w:sz w:val="21"/>
                      <w:szCs w:val="21"/>
                      <w:lang w:bidi="ar"/>
                    </w:rPr>
                  </w:pPr>
                  <w:r>
                    <w:rPr>
                      <w:rFonts w:ascii="Times New Roman" w:hAnsi="Times New Roman"/>
                      <w:color w:val="auto"/>
                      <w:sz w:val="21"/>
                      <w:szCs w:val="21"/>
                    </w:rPr>
                    <w:t>0.001</w:t>
                  </w:r>
                </w:p>
              </w:tc>
              <w:tc>
                <w:tcPr>
                  <w:tcW w:w="821" w:type="pct"/>
                  <w:tcBorders>
                    <w:top w:val="single" w:color="000000" w:sz="4" w:space="0"/>
                    <w:left w:val="single" w:color="000000" w:sz="4" w:space="0"/>
                    <w:bottom w:val="single" w:color="000000" w:sz="4" w:space="0"/>
                    <w:right w:val="single" w:color="000000" w:sz="4" w:space="0"/>
                  </w:tcBorders>
                  <w:vAlign w:val="center"/>
                </w:tcPr>
                <w:p>
                  <w:pPr>
                    <w:pStyle w:val="13"/>
                    <w:tabs>
                      <w:tab w:val="left" w:pos="2830"/>
                    </w:tabs>
                    <w:jc w:val="center"/>
                    <w:rPr>
                      <w:rFonts w:ascii="Times New Roman" w:hAnsi="Times New Roman"/>
                      <w:color w:val="auto"/>
                      <w:sz w:val="21"/>
                      <w:szCs w:val="21"/>
                      <w:lang w:bidi="ar"/>
                    </w:rPr>
                  </w:pPr>
                  <w:r>
                    <w:rPr>
                      <w:rFonts w:ascii="Times New Roman" w:hAnsi="Times New Roman"/>
                      <w:color w:val="auto"/>
                      <w:sz w:val="21"/>
                      <w:szCs w:val="21"/>
                    </w:rPr>
                    <w:t>2500</w:t>
                  </w:r>
                </w:p>
              </w:tc>
              <w:tc>
                <w:tcPr>
                  <w:tcW w:w="950" w:type="pct"/>
                  <w:tcBorders>
                    <w:top w:val="single" w:color="000000" w:sz="4" w:space="0"/>
                    <w:left w:val="single" w:color="000000" w:sz="4" w:space="0"/>
                    <w:bottom w:val="single" w:color="000000" w:sz="4" w:space="0"/>
                  </w:tcBorders>
                  <w:vAlign w:val="center"/>
                </w:tcPr>
                <w:p>
                  <w:pPr>
                    <w:widowControl/>
                    <w:jc w:val="center"/>
                    <w:textAlignment w:val="center"/>
                    <w:rPr>
                      <w:color w:val="auto"/>
                      <w:kern w:val="0"/>
                      <w:szCs w:val="21"/>
                      <w:lang w:bidi="ar"/>
                    </w:rPr>
                  </w:pPr>
                  <w:r>
                    <w:rPr>
                      <w:color w:val="auto"/>
                      <w:kern w:val="0"/>
                      <w:szCs w:val="21"/>
                      <w:lang w:bidi="ar"/>
                    </w:rPr>
                    <w:t>0.0000004</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59" w:type="pct"/>
                  <w:tcBorders>
                    <w:top w:val="single" w:color="000000" w:sz="4" w:space="0"/>
                    <w:bottom w:val="single" w:color="000000" w:sz="4" w:space="0"/>
                    <w:right w:val="single" w:color="000000" w:sz="4" w:space="0"/>
                  </w:tcBorders>
                  <w:vAlign w:val="center"/>
                </w:tcPr>
                <w:p>
                  <w:pPr>
                    <w:widowControl/>
                    <w:kinsoku w:val="0"/>
                    <w:wordWrap w:val="0"/>
                    <w:autoSpaceDE w:val="0"/>
                    <w:autoSpaceDN w:val="0"/>
                    <w:adjustRightInd w:val="0"/>
                    <w:snapToGrid w:val="0"/>
                    <w:jc w:val="center"/>
                    <w:textAlignment w:val="baseline"/>
                    <w:rPr>
                      <w:rFonts w:ascii="Times New Roman" w:hAnsi="Times New Roman" w:eastAsia="宋体" w:cs="Times New Roman"/>
                      <w:color w:val="auto"/>
                      <w:kern w:val="2"/>
                      <w:sz w:val="21"/>
                      <w:szCs w:val="21"/>
                      <w:lang w:val="en-US" w:eastAsia="zh-CN" w:bidi="ar-SA"/>
                    </w:rPr>
                  </w:pPr>
                  <w:r>
                    <w:rPr>
                      <w:color w:val="auto"/>
                      <w:szCs w:val="21"/>
                    </w:rPr>
                    <w:t>3</w:t>
                  </w:r>
                </w:p>
              </w:tc>
              <w:tc>
                <w:tcPr>
                  <w:tcW w:w="818" w:type="pct"/>
                  <w:tcBorders>
                    <w:top w:val="single" w:color="000000" w:sz="4" w:space="0"/>
                    <w:bottom w:val="single" w:color="000000" w:sz="4" w:space="0"/>
                    <w:right w:val="single" w:color="000000" w:sz="4" w:space="0"/>
                  </w:tcBorders>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废漆渣</w:t>
                  </w:r>
                </w:p>
              </w:tc>
              <w:tc>
                <w:tcPr>
                  <w:tcW w:w="1027" w:type="pct"/>
                  <w:tcBorders>
                    <w:top w:val="single" w:color="000000" w:sz="4" w:space="0"/>
                    <w:left w:val="single" w:color="000000" w:sz="4" w:space="0"/>
                    <w:bottom w:val="single" w:color="000000" w:sz="4" w:space="0"/>
                    <w:right w:val="single" w:color="000000" w:sz="4" w:space="0"/>
                  </w:tcBorders>
                  <w:vAlign w:val="center"/>
                </w:tcPr>
                <w:p>
                  <w:pPr>
                    <w:widowControl/>
                    <w:kinsoku w:val="0"/>
                    <w:wordWrap w:val="0"/>
                    <w:autoSpaceDE w:val="0"/>
                    <w:autoSpaceDN w:val="0"/>
                    <w:adjustRightInd w:val="0"/>
                    <w:snapToGrid w:val="0"/>
                    <w:jc w:val="center"/>
                    <w:textAlignment w:val="baseline"/>
                    <w:rPr>
                      <w:color w:val="auto"/>
                      <w:szCs w:val="21"/>
                    </w:rPr>
                  </w:pPr>
                  <w:r>
                    <w:rPr>
                      <w:color w:val="auto"/>
                      <w:szCs w:val="21"/>
                    </w:rPr>
                    <w:t>有机物</w:t>
                  </w:r>
                </w:p>
              </w:tc>
              <w:tc>
                <w:tcPr>
                  <w:tcW w:w="454" w:type="pct"/>
                  <w:vMerge w:val="restart"/>
                  <w:tcBorders>
                    <w:top w:val="single" w:color="000000" w:sz="4" w:space="0"/>
                    <w:left w:val="single" w:color="000000" w:sz="4" w:space="0"/>
                    <w:right w:val="single" w:color="auto" w:sz="4" w:space="0"/>
                  </w:tcBorders>
                  <w:vAlign w:val="center"/>
                </w:tcPr>
                <w:p>
                  <w:pPr>
                    <w:widowControl/>
                    <w:wordWrap w:val="0"/>
                    <w:jc w:val="center"/>
                    <w:textAlignment w:val="center"/>
                    <w:rPr>
                      <w:color w:val="auto"/>
                      <w:szCs w:val="21"/>
                    </w:rPr>
                  </w:pPr>
                  <w:r>
                    <w:rPr>
                      <w:color w:val="auto"/>
                      <w:szCs w:val="21"/>
                    </w:rPr>
                    <w:t>危险废物暂场所</w:t>
                  </w:r>
                </w:p>
              </w:tc>
              <w:tc>
                <w:tcPr>
                  <w:tcW w:w="567" w:type="pct"/>
                  <w:tcBorders>
                    <w:top w:val="single" w:color="000000" w:sz="4" w:space="0"/>
                    <w:left w:val="single" w:color="auto" w:sz="4" w:space="0"/>
                    <w:bottom w:val="single" w:color="000000" w:sz="4" w:space="0"/>
                    <w:right w:val="single" w:color="000000" w:sz="4" w:space="0"/>
                  </w:tcBorders>
                  <w:vAlign w:val="center"/>
                </w:tcPr>
                <w:p>
                  <w:pPr>
                    <w:pStyle w:val="13"/>
                    <w:tabs>
                      <w:tab w:val="left" w:pos="2830"/>
                    </w:tabs>
                    <w:jc w:val="center"/>
                    <w:rPr>
                      <w:rFonts w:hint="default" w:ascii="Times New Roman" w:hAnsi="Times New Roman" w:eastAsia="宋体"/>
                      <w:color w:val="auto"/>
                      <w:sz w:val="21"/>
                      <w:szCs w:val="21"/>
                      <w:lang w:val="en-US" w:eastAsia="zh-CN" w:bidi="ar"/>
                    </w:rPr>
                  </w:pPr>
                  <w:r>
                    <w:rPr>
                      <w:rFonts w:hint="eastAsia" w:ascii="Times New Roman" w:hAnsi="Times New Roman"/>
                      <w:color w:val="auto"/>
                      <w:sz w:val="21"/>
                      <w:szCs w:val="21"/>
                      <w:lang w:val="en-US" w:eastAsia="zh-CN"/>
                    </w:rPr>
                    <w:t>0.5</w:t>
                  </w:r>
                </w:p>
              </w:tc>
              <w:tc>
                <w:tcPr>
                  <w:tcW w:w="821" w:type="pct"/>
                  <w:tcBorders>
                    <w:top w:val="single" w:color="000000" w:sz="4" w:space="0"/>
                    <w:left w:val="single" w:color="000000" w:sz="4" w:space="0"/>
                    <w:bottom w:val="single" w:color="000000" w:sz="4" w:space="0"/>
                    <w:right w:val="single" w:color="000000" w:sz="4" w:space="0"/>
                  </w:tcBorders>
                  <w:vAlign w:val="center"/>
                </w:tcPr>
                <w:p>
                  <w:pPr>
                    <w:pStyle w:val="13"/>
                    <w:tabs>
                      <w:tab w:val="left" w:pos="2830"/>
                    </w:tabs>
                    <w:jc w:val="center"/>
                    <w:rPr>
                      <w:rFonts w:ascii="Times New Roman" w:hAnsi="Times New Roman"/>
                      <w:color w:val="auto"/>
                      <w:sz w:val="21"/>
                      <w:szCs w:val="21"/>
                      <w:lang w:bidi="ar"/>
                    </w:rPr>
                  </w:pPr>
                  <w:r>
                    <w:rPr>
                      <w:rFonts w:ascii="Times New Roman" w:hAnsi="Times New Roman"/>
                      <w:color w:val="auto"/>
                      <w:sz w:val="21"/>
                      <w:szCs w:val="21"/>
                    </w:rPr>
                    <w:t>50</w:t>
                  </w:r>
                </w:p>
              </w:tc>
              <w:tc>
                <w:tcPr>
                  <w:tcW w:w="950" w:type="pct"/>
                  <w:tcBorders>
                    <w:top w:val="single" w:color="000000" w:sz="4" w:space="0"/>
                    <w:left w:val="single" w:color="000000" w:sz="4" w:space="0"/>
                    <w:bottom w:val="single" w:color="000000" w:sz="4" w:space="0"/>
                  </w:tcBorders>
                  <w:vAlign w:val="center"/>
                </w:tcPr>
                <w:p>
                  <w:pPr>
                    <w:widowControl/>
                    <w:jc w:val="center"/>
                    <w:textAlignment w:val="center"/>
                    <w:rPr>
                      <w:rFonts w:hint="default" w:eastAsia="宋体"/>
                      <w:color w:val="auto"/>
                      <w:kern w:val="0"/>
                      <w:szCs w:val="21"/>
                      <w:lang w:val="en-US" w:eastAsia="zh-CN" w:bidi="ar"/>
                    </w:rPr>
                  </w:pPr>
                  <w:r>
                    <w:rPr>
                      <w:rFonts w:hint="eastAsia"/>
                      <w:color w:val="auto"/>
                      <w:kern w:val="0"/>
                      <w:szCs w:val="21"/>
                      <w:lang w:val="en-US" w:eastAsia="zh-CN" w:bidi="ar"/>
                    </w:rPr>
                    <w:t>0.04</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59" w:type="pct"/>
                  <w:tcBorders>
                    <w:top w:val="single" w:color="000000" w:sz="4" w:space="0"/>
                    <w:bottom w:val="single" w:color="000000" w:sz="4" w:space="0"/>
                    <w:right w:val="single" w:color="000000" w:sz="4" w:space="0"/>
                  </w:tcBorders>
                  <w:vAlign w:val="center"/>
                </w:tcPr>
                <w:p>
                  <w:pPr>
                    <w:widowControl/>
                    <w:kinsoku w:val="0"/>
                    <w:wordWrap w:val="0"/>
                    <w:autoSpaceDE w:val="0"/>
                    <w:autoSpaceDN w:val="0"/>
                    <w:adjustRightInd w:val="0"/>
                    <w:snapToGrid w:val="0"/>
                    <w:jc w:val="center"/>
                    <w:textAlignment w:val="baseline"/>
                    <w:rPr>
                      <w:rFonts w:ascii="Times New Roman" w:hAnsi="Times New Roman" w:eastAsia="宋体" w:cs="Times New Roman"/>
                      <w:color w:val="auto"/>
                      <w:kern w:val="2"/>
                      <w:sz w:val="21"/>
                      <w:szCs w:val="21"/>
                      <w:lang w:val="en-US" w:eastAsia="zh-CN" w:bidi="ar-SA"/>
                    </w:rPr>
                  </w:pPr>
                  <w:r>
                    <w:rPr>
                      <w:color w:val="auto"/>
                      <w:szCs w:val="21"/>
                    </w:rPr>
                    <w:t>4</w:t>
                  </w:r>
                </w:p>
              </w:tc>
              <w:tc>
                <w:tcPr>
                  <w:tcW w:w="818" w:type="pct"/>
                  <w:tcBorders>
                    <w:top w:val="single" w:color="000000" w:sz="4" w:space="0"/>
                    <w:bottom w:val="single" w:color="000000" w:sz="4" w:space="0"/>
                    <w:right w:val="single" w:color="000000" w:sz="4" w:space="0"/>
                  </w:tcBorders>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废漆桶</w:t>
                  </w:r>
                </w:p>
              </w:tc>
              <w:tc>
                <w:tcPr>
                  <w:tcW w:w="1027" w:type="pct"/>
                  <w:tcBorders>
                    <w:top w:val="single" w:color="000000" w:sz="4" w:space="0"/>
                    <w:left w:val="single" w:color="000000" w:sz="4" w:space="0"/>
                    <w:right w:val="single" w:color="000000" w:sz="4" w:space="0"/>
                  </w:tcBorders>
                  <w:vAlign w:val="center"/>
                </w:tcPr>
                <w:p>
                  <w:pPr>
                    <w:widowControl/>
                    <w:kinsoku w:val="0"/>
                    <w:wordWrap w:val="0"/>
                    <w:autoSpaceDE w:val="0"/>
                    <w:autoSpaceDN w:val="0"/>
                    <w:adjustRightInd w:val="0"/>
                    <w:snapToGrid w:val="0"/>
                    <w:jc w:val="center"/>
                    <w:textAlignment w:val="baseline"/>
                    <w:rPr>
                      <w:color w:val="auto"/>
                      <w:szCs w:val="21"/>
                    </w:rPr>
                  </w:pPr>
                  <w:r>
                    <w:rPr>
                      <w:color w:val="auto"/>
                      <w:szCs w:val="21"/>
                    </w:rPr>
                    <w:t>有机物</w:t>
                  </w:r>
                </w:p>
              </w:tc>
              <w:tc>
                <w:tcPr>
                  <w:tcW w:w="454" w:type="pct"/>
                  <w:vMerge w:val="continue"/>
                  <w:tcBorders>
                    <w:left w:val="single" w:color="000000" w:sz="4" w:space="0"/>
                    <w:right w:val="single" w:color="auto" w:sz="4" w:space="0"/>
                  </w:tcBorders>
                  <w:vAlign w:val="center"/>
                </w:tcPr>
                <w:p>
                  <w:pPr>
                    <w:widowControl/>
                    <w:wordWrap w:val="0"/>
                    <w:jc w:val="center"/>
                    <w:textAlignment w:val="center"/>
                    <w:rPr>
                      <w:color w:val="auto"/>
                      <w:szCs w:val="21"/>
                    </w:rPr>
                  </w:pPr>
                </w:p>
              </w:tc>
              <w:tc>
                <w:tcPr>
                  <w:tcW w:w="567" w:type="pct"/>
                  <w:tcBorders>
                    <w:top w:val="single" w:color="000000" w:sz="4" w:space="0"/>
                    <w:left w:val="single" w:color="auto" w:sz="4" w:space="0"/>
                    <w:bottom w:val="single" w:color="000000" w:sz="4" w:space="0"/>
                    <w:right w:val="single" w:color="000000" w:sz="4" w:space="0"/>
                  </w:tcBorders>
                  <w:vAlign w:val="center"/>
                </w:tcPr>
                <w:p>
                  <w:pPr>
                    <w:pStyle w:val="13"/>
                    <w:tabs>
                      <w:tab w:val="left" w:pos="2830"/>
                    </w:tabs>
                    <w:jc w:val="center"/>
                    <w:rPr>
                      <w:rFonts w:ascii="Times New Roman" w:hAnsi="Times New Roman"/>
                      <w:color w:val="auto"/>
                      <w:sz w:val="21"/>
                      <w:szCs w:val="21"/>
                      <w:lang w:bidi="ar"/>
                    </w:rPr>
                  </w:pPr>
                  <w:r>
                    <w:rPr>
                      <w:rFonts w:ascii="Times New Roman" w:hAnsi="Times New Roman"/>
                      <w:color w:val="auto"/>
                      <w:sz w:val="21"/>
                      <w:szCs w:val="21"/>
                    </w:rPr>
                    <w:t>0.2</w:t>
                  </w:r>
                </w:p>
              </w:tc>
              <w:tc>
                <w:tcPr>
                  <w:tcW w:w="821" w:type="pct"/>
                  <w:tcBorders>
                    <w:top w:val="single" w:color="000000" w:sz="4" w:space="0"/>
                    <w:left w:val="single" w:color="000000" w:sz="4" w:space="0"/>
                    <w:bottom w:val="single" w:color="000000" w:sz="4" w:space="0"/>
                    <w:right w:val="single" w:color="000000" w:sz="4" w:space="0"/>
                  </w:tcBorders>
                  <w:vAlign w:val="center"/>
                </w:tcPr>
                <w:p>
                  <w:pPr>
                    <w:pStyle w:val="13"/>
                    <w:tabs>
                      <w:tab w:val="left" w:pos="2830"/>
                    </w:tabs>
                    <w:jc w:val="center"/>
                    <w:rPr>
                      <w:rFonts w:ascii="Times New Roman" w:hAnsi="Times New Roman"/>
                      <w:color w:val="auto"/>
                      <w:sz w:val="21"/>
                      <w:szCs w:val="21"/>
                      <w:lang w:bidi="ar"/>
                    </w:rPr>
                  </w:pPr>
                  <w:r>
                    <w:rPr>
                      <w:rFonts w:ascii="Times New Roman" w:hAnsi="Times New Roman"/>
                      <w:color w:val="auto"/>
                      <w:sz w:val="21"/>
                      <w:szCs w:val="21"/>
                    </w:rPr>
                    <w:t>50</w:t>
                  </w:r>
                </w:p>
              </w:tc>
              <w:tc>
                <w:tcPr>
                  <w:tcW w:w="950" w:type="pct"/>
                  <w:tcBorders>
                    <w:top w:val="single" w:color="000000" w:sz="4" w:space="0"/>
                    <w:left w:val="single" w:color="000000" w:sz="4" w:space="0"/>
                    <w:bottom w:val="single" w:color="000000" w:sz="4" w:space="0"/>
                  </w:tcBorders>
                  <w:vAlign w:val="center"/>
                </w:tcPr>
                <w:p>
                  <w:pPr>
                    <w:widowControl/>
                    <w:jc w:val="center"/>
                    <w:textAlignment w:val="center"/>
                    <w:rPr>
                      <w:color w:val="auto"/>
                      <w:kern w:val="0"/>
                      <w:szCs w:val="21"/>
                      <w:lang w:bidi="ar"/>
                    </w:rPr>
                  </w:pPr>
                  <w:r>
                    <w:rPr>
                      <w:color w:val="auto"/>
                      <w:kern w:val="0"/>
                      <w:szCs w:val="21"/>
                      <w:lang w:bidi="ar"/>
                    </w:rPr>
                    <w:t>0.004</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59" w:type="pct"/>
                  <w:tcBorders>
                    <w:top w:val="single" w:color="000000" w:sz="4" w:space="0"/>
                    <w:bottom w:val="single" w:color="000000" w:sz="4" w:space="0"/>
                    <w:right w:val="single" w:color="000000" w:sz="4" w:space="0"/>
                  </w:tcBorders>
                  <w:vAlign w:val="center"/>
                </w:tcPr>
                <w:p>
                  <w:pPr>
                    <w:widowControl/>
                    <w:kinsoku w:val="0"/>
                    <w:wordWrap w:val="0"/>
                    <w:autoSpaceDE w:val="0"/>
                    <w:autoSpaceDN w:val="0"/>
                    <w:adjustRightInd w:val="0"/>
                    <w:snapToGrid w:val="0"/>
                    <w:jc w:val="center"/>
                    <w:textAlignment w:val="baseline"/>
                    <w:rPr>
                      <w:rFonts w:ascii="Times New Roman" w:hAnsi="Times New Roman" w:eastAsia="宋体" w:cs="Times New Roman"/>
                      <w:color w:val="auto"/>
                      <w:kern w:val="2"/>
                      <w:sz w:val="21"/>
                      <w:szCs w:val="21"/>
                      <w:lang w:val="en-US" w:eastAsia="zh-CN" w:bidi="ar-SA"/>
                    </w:rPr>
                  </w:pPr>
                  <w:r>
                    <w:rPr>
                      <w:color w:val="auto"/>
                      <w:szCs w:val="21"/>
                    </w:rPr>
                    <w:t>5</w:t>
                  </w:r>
                </w:p>
              </w:tc>
              <w:tc>
                <w:tcPr>
                  <w:tcW w:w="818" w:type="pct"/>
                  <w:tcBorders>
                    <w:top w:val="single" w:color="000000" w:sz="4" w:space="0"/>
                    <w:bottom w:val="single" w:color="000000" w:sz="4" w:space="0"/>
                    <w:right w:val="single" w:color="000000" w:sz="4" w:space="0"/>
                  </w:tcBorders>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废油桶</w:t>
                  </w:r>
                </w:p>
              </w:tc>
              <w:tc>
                <w:tcPr>
                  <w:tcW w:w="1027" w:type="pct"/>
                  <w:tcBorders>
                    <w:top w:val="single" w:color="000000" w:sz="4" w:space="0"/>
                    <w:left w:val="single" w:color="000000" w:sz="4" w:space="0"/>
                    <w:right w:val="single" w:color="000000" w:sz="4" w:space="0"/>
                  </w:tcBorders>
                  <w:vAlign w:val="center"/>
                </w:tcPr>
                <w:p>
                  <w:pPr>
                    <w:widowControl/>
                    <w:kinsoku w:val="0"/>
                    <w:wordWrap w:val="0"/>
                    <w:autoSpaceDE w:val="0"/>
                    <w:autoSpaceDN w:val="0"/>
                    <w:adjustRightInd w:val="0"/>
                    <w:snapToGrid w:val="0"/>
                    <w:jc w:val="center"/>
                    <w:textAlignment w:val="baseline"/>
                    <w:rPr>
                      <w:color w:val="auto"/>
                      <w:szCs w:val="21"/>
                    </w:rPr>
                  </w:pPr>
                  <w:r>
                    <w:rPr>
                      <w:color w:val="auto"/>
                      <w:szCs w:val="21"/>
                    </w:rPr>
                    <w:t>矿物油</w:t>
                  </w:r>
                </w:p>
              </w:tc>
              <w:tc>
                <w:tcPr>
                  <w:tcW w:w="454" w:type="pct"/>
                  <w:vMerge w:val="continue"/>
                  <w:tcBorders>
                    <w:left w:val="single" w:color="000000" w:sz="4" w:space="0"/>
                    <w:right w:val="single" w:color="auto" w:sz="4" w:space="0"/>
                  </w:tcBorders>
                  <w:vAlign w:val="center"/>
                </w:tcPr>
                <w:p>
                  <w:pPr>
                    <w:widowControl/>
                    <w:wordWrap w:val="0"/>
                    <w:jc w:val="center"/>
                    <w:textAlignment w:val="center"/>
                    <w:rPr>
                      <w:color w:val="auto"/>
                      <w:szCs w:val="21"/>
                    </w:rPr>
                  </w:pPr>
                </w:p>
              </w:tc>
              <w:tc>
                <w:tcPr>
                  <w:tcW w:w="567" w:type="pct"/>
                  <w:tcBorders>
                    <w:top w:val="single" w:color="000000" w:sz="4" w:space="0"/>
                    <w:left w:val="single" w:color="auto" w:sz="4" w:space="0"/>
                    <w:bottom w:val="single" w:color="000000" w:sz="4" w:space="0"/>
                    <w:right w:val="single" w:color="000000" w:sz="4" w:space="0"/>
                  </w:tcBorders>
                  <w:vAlign w:val="center"/>
                </w:tcPr>
                <w:p>
                  <w:pPr>
                    <w:pStyle w:val="13"/>
                    <w:tabs>
                      <w:tab w:val="left" w:pos="2830"/>
                    </w:tabs>
                    <w:jc w:val="center"/>
                    <w:rPr>
                      <w:rFonts w:ascii="Times New Roman" w:hAnsi="Times New Roman"/>
                      <w:color w:val="auto"/>
                      <w:sz w:val="21"/>
                      <w:szCs w:val="21"/>
                      <w:lang w:bidi="ar"/>
                    </w:rPr>
                  </w:pPr>
                  <w:r>
                    <w:rPr>
                      <w:rFonts w:ascii="Times New Roman" w:hAnsi="Times New Roman"/>
                      <w:color w:val="auto"/>
                      <w:sz w:val="21"/>
                      <w:szCs w:val="21"/>
                    </w:rPr>
                    <w:t>0.2</w:t>
                  </w:r>
                </w:p>
              </w:tc>
              <w:tc>
                <w:tcPr>
                  <w:tcW w:w="821" w:type="pct"/>
                  <w:tcBorders>
                    <w:top w:val="single" w:color="000000" w:sz="4" w:space="0"/>
                    <w:left w:val="single" w:color="000000" w:sz="4" w:space="0"/>
                    <w:bottom w:val="single" w:color="000000" w:sz="4" w:space="0"/>
                    <w:right w:val="single" w:color="000000" w:sz="4" w:space="0"/>
                  </w:tcBorders>
                  <w:vAlign w:val="center"/>
                </w:tcPr>
                <w:p>
                  <w:pPr>
                    <w:pStyle w:val="13"/>
                    <w:tabs>
                      <w:tab w:val="left" w:pos="2830"/>
                    </w:tabs>
                    <w:jc w:val="center"/>
                    <w:rPr>
                      <w:rFonts w:ascii="Times New Roman" w:hAnsi="Times New Roman"/>
                      <w:color w:val="auto"/>
                      <w:sz w:val="21"/>
                      <w:szCs w:val="21"/>
                      <w:lang w:bidi="ar"/>
                    </w:rPr>
                  </w:pPr>
                  <w:r>
                    <w:rPr>
                      <w:rFonts w:ascii="Times New Roman" w:hAnsi="Times New Roman"/>
                      <w:color w:val="auto"/>
                      <w:sz w:val="21"/>
                      <w:szCs w:val="21"/>
                    </w:rPr>
                    <w:t>50</w:t>
                  </w:r>
                </w:p>
              </w:tc>
              <w:tc>
                <w:tcPr>
                  <w:tcW w:w="950" w:type="pct"/>
                  <w:tcBorders>
                    <w:top w:val="single" w:color="000000" w:sz="4" w:space="0"/>
                    <w:left w:val="single" w:color="000000" w:sz="4" w:space="0"/>
                    <w:bottom w:val="single" w:color="000000" w:sz="4" w:space="0"/>
                  </w:tcBorders>
                  <w:vAlign w:val="center"/>
                </w:tcPr>
                <w:p>
                  <w:pPr>
                    <w:widowControl/>
                    <w:jc w:val="center"/>
                    <w:textAlignment w:val="center"/>
                    <w:rPr>
                      <w:color w:val="auto"/>
                      <w:kern w:val="0"/>
                      <w:szCs w:val="21"/>
                      <w:lang w:bidi="ar"/>
                    </w:rPr>
                  </w:pPr>
                  <w:r>
                    <w:rPr>
                      <w:color w:val="auto"/>
                      <w:kern w:val="0"/>
                      <w:szCs w:val="21"/>
                      <w:lang w:bidi="ar"/>
                    </w:rPr>
                    <w:t>0.004</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59" w:type="pct"/>
                  <w:tcBorders>
                    <w:top w:val="single" w:color="000000" w:sz="4" w:space="0"/>
                    <w:bottom w:val="single" w:color="000000" w:sz="4" w:space="0"/>
                    <w:right w:val="single" w:color="000000" w:sz="4" w:space="0"/>
                  </w:tcBorders>
                  <w:vAlign w:val="center"/>
                </w:tcPr>
                <w:p>
                  <w:pPr>
                    <w:widowControl/>
                    <w:kinsoku w:val="0"/>
                    <w:wordWrap w:val="0"/>
                    <w:autoSpaceDE w:val="0"/>
                    <w:autoSpaceDN w:val="0"/>
                    <w:adjustRightInd w:val="0"/>
                    <w:snapToGrid w:val="0"/>
                    <w:jc w:val="center"/>
                    <w:textAlignment w:val="baseline"/>
                    <w:rPr>
                      <w:rFonts w:ascii="Times New Roman" w:hAnsi="Times New Roman" w:eastAsia="宋体" w:cs="Times New Roman"/>
                      <w:color w:val="auto"/>
                      <w:kern w:val="2"/>
                      <w:sz w:val="21"/>
                      <w:szCs w:val="21"/>
                      <w:lang w:val="en-US" w:eastAsia="zh-CN" w:bidi="ar-SA"/>
                    </w:rPr>
                  </w:pPr>
                  <w:r>
                    <w:rPr>
                      <w:color w:val="auto"/>
                      <w:szCs w:val="21"/>
                    </w:rPr>
                    <w:t>6</w:t>
                  </w:r>
                </w:p>
              </w:tc>
              <w:tc>
                <w:tcPr>
                  <w:tcW w:w="818" w:type="pct"/>
                  <w:tcBorders>
                    <w:top w:val="single" w:color="000000" w:sz="4" w:space="0"/>
                    <w:bottom w:val="single" w:color="000000" w:sz="4" w:space="0"/>
                    <w:right w:val="single" w:color="000000" w:sz="4" w:space="0"/>
                  </w:tcBorders>
                  <w:vAlign w:val="center"/>
                </w:tcPr>
                <w:p>
                  <w:pPr>
                    <w:pStyle w:val="13"/>
                    <w:tabs>
                      <w:tab w:val="left" w:pos="2830"/>
                    </w:tabs>
                    <w:jc w:val="center"/>
                    <w:rPr>
                      <w:rFonts w:ascii="Times New Roman" w:hAnsi="Times New Roman"/>
                      <w:color w:val="auto"/>
                      <w:sz w:val="21"/>
                      <w:szCs w:val="21"/>
                      <w:lang w:bidi="ar"/>
                    </w:rPr>
                  </w:pPr>
                  <w:r>
                    <w:rPr>
                      <w:rFonts w:ascii="Times New Roman" w:hAnsi="Times New Roman"/>
                      <w:color w:val="auto"/>
                      <w:sz w:val="21"/>
                      <w:szCs w:val="21"/>
                    </w:rPr>
                    <w:t>废活性炭</w:t>
                  </w:r>
                </w:p>
              </w:tc>
              <w:tc>
                <w:tcPr>
                  <w:tcW w:w="1027" w:type="pct"/>
                  <w:tcBorders>
                    <w:top w:val="single" w:color="000000" w:sz="4" w:space="0"/>
                    <w:left w:val="single" w:color="000000" w:sz="4" w:space="0"/>
                    <w:right w:val="single" w:color="000000" w:sz="4" w:space="0"/>
                  </w:tcBorders>
                  <w:vAlign w:val="center"/>
                </w:tcPr>
                <w:p>
                  <w:pPr>
                    <w:widowControl/>
                    <w:kinsoku w:val="0"/>
                    <w:wordWrap w:val="0"/>
                    <w:autoSpaceDE w:val="0"/>
                    <w:autoSpaceDN w:val="0"/>
                    <w:adjustRightInd w:val="0"/>
                    <w:snapToGrid w:val="0"/>
                    <w:jc w:val="center"/>
                    <w:textAlignment w:val="baseline"/>
                    <w:rPr>
                      <w:color w:val="auto"/>
                      <w:szCs w:val="21"/>
                    </w:rPr>
                  </w:pPr>
                  <w:r>
                    <w:rPr>
                      <w:color w:val="auto"/>
                      <w:szCs w:val="21"/>
                    </w:rPr>
                    <w:t>有机废气</w:t>
                  </w:r>
                </w:p>
              </w:tc>
              <w:tc>
                <w:tcPr>
                  <w:tcW w:w="454" w:type="pct"/>
                  <w:vMerge w:val="continue"/>
                  <w:tcBorders>
                    <w:left w:val="single" w:color="000000" w:sz="4" w:space="0"/>
                    <w:right w:val="single" w:color="auto" w:sz="4" w:space="0"/>
                  </w:tcBorders>
                  <w:vAlign w:val="center"/>
                </w:tcPr>
                <w:p>
                  <w:pPr>
                    <w:widowControl/>
                    <w:wordWrap w:val="0"/>
                    <w:jc w:val="center"/>
                    <w:textAlignment w:val="center"/>
                    <w:rPr>
                      <w:color w:val="auto"/>
                      <w:szCs w:val="21"/>
                    </w:rPr>
                  </w:pPr>
                </w:p>
              </w:tc>
              <w:tc>
                <w:tcPr>
                  <w:tcW w:w="567" w:type="pct"/>
                  <w:tcBorders>
                    <w:top w:val="single" w:color="000000" w:sz="4" w:space="0"/>
                    <w:left w:val="single" w:color="auto" w:sz="4" w:space="0"/>
                    <w:bottom w:val="single" w:color="000000" w:sz="4" w:space="0"/>
                    <w:right w:val="single" w:color="000000" w:sz="4" w:space="0"/>
                  </w:tcBorders>
                  <w:vAlign w:val="center"/>
                </w:tcPr>
                <w:p>
                  <w:pPr>
                    <w:pStyle w:val="13"/>
                    <w:tabs>
                      <w:tab w:val="left" w:pos="2830"/>
                    </w:tabs>
                    <w:jc w:val="center"/>
                    <w:rPr>
                      <w:rFonts w:hint="eastAsia" w:ascii="Times New Roman" w:hAnsi="Times New Roman" w:eastAsia="宋体"/>
                      <w:color w:val="auto"/>
                      <w:sz w:val="21"/>
                      <w:szCs w:val="21"/>
                      <w:lang w:eastAsia="zh-CN" w:bidi="ar"/>
                    </w:rPr>
                  </w:pPr>
                  <w:r>
                    <w:rPr>
                      <w:rFonts w:hint="eastAsia" w:ascii="Times New Roman" w:hAnsi="Times New Roman"/>
                      <w:color w:val="auto"/>
                      <w:sz w:val="21"/>
                      <w:szCs w:val="21"/>
                      <w:lang w:val="en-US" w:eastAsia="zh-CN" w:bidi="ar"/>
                    </w:rPr>
                    <w:t>2</w:t>
                  </w:r>
                </w:p>
              </w:tc>
              <w:tc>
                <w:tcPr>
                  <w:tcW w:w="821" w:type="pct"/>
                  <w:tcBorders>
                    <w:top w:val="single" w:color="000000" w:sz="4" w:space="0"/>
                    <w:left w:val="single" w:color="000000" w:sz="4" w:space="0"/>
                    <w:bottom w:val="single" w:color="000000" w:sz="4" w:space="0"/>
                    <w:right w:val="single" w:color="000000" w:sz="4" w:space="0"/>
                  </w:tcBorders>
                  <w:vAlign w:val="center"/>
                </w:tcPr>
                <w:p>
                  <w:pPr>
                    <w:pStyle w:val="13"/>
                    <w:tabs>
                      <w:tab w:val="left" w:pos="2830"/>
                    </w:tabs>
                    <w:jc w:val="center"/>
                    <w:rPr>
                      <w:rFonts w:ascii="Times New Roman" w:hAnsi="Times New Roman"/>
                      <w:color w:val="auto"/>
                      <w:sz w:val="21"/>
                      <w:szCs w:val="21"/>
                      <w:lang w:bidi="ar"/>
                    </w:rPr>
                  </w:pPr>
                  <w:r>
                    <w:rPr>
                      <w:rFonts w:ascii="Times New Roman" w:hAnsi="Times New Roman"/>
                      <w:color w:val="auto"/>
                      <w:sz w:val="21"/>
                      <w:szCs w:val="21"/>
                    </w:rPr>
                    <w:t>50</w:t>
                  </w:r>
                </w:p>
              </w:tc>
              <w:tc>
                <w:tcPr>
                  <w:tcW w:w="950" w:type="pct"/>
                  <w:tcBorders>
                    <w:top w:val="single" w:color="000000" w:sz="4" w:space="0"/>
                    <w:left w:val="single" w:color="000000" w:sz="4" w:space="0"/>
                    <w:bottom w:val="single" w:color="000000" w:sz="4" w:space="0"/>
                  </w:tcBorders>
                  <w:vAlign w:val="center"/>
                </w:tcPr>
                <w:p>
                  <w:pPr>
                    <w:widowControl/>
                    <w:jc w:val="center"/>
                    <w:textAlignment w:val="center"/>
                    <w:rPr>
                      <w:rFonts w:hint="default" w:eastAsia="宋体"/>
                      <w:color w:val="auto"/>
                      <w:kern w:val="0"/>
                      <w:szCs w:val="21"/>
                      <w:lang w:val="en-US" w:eastAsia="zh-CN" w:bidi="ar"/>
                    </w:rPr>
                  </w:pPr>
                  <w:r>
                    <w:rPr>
                      <w:rFonts w:hint="eastAsia"/>
                      <w:color w:val="auto"/>
                      <w:kern w:val="0"/>
                      <w:szCs w:val="21"/>
                      <w:lang w:val="en-US" w:eastAsia="zh-CN" w:bidi="ar"/>
                    </w:rPr>
                    <w:t>0.04</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59" w:type="pct"/>
                  <w:tcBorders>
                    <w:top w:val="single" w:color="000000" w:sz="4" w:space="0"/>
                    <w:bottom w:val="single" w:color="000000" w:sz="4" w:space="0"/>
                    <w:right w:val="single" w:color="000000" w:sz="4" w:space="0"/>
                  </w:tcBorders>
                  <w:vAlign w:val="center"/>
                </w:tcPr>
                <w:p>
                  <w:pPr>
                    <w:widowControl/>
                    <w:kinsoku w:val="0"/>
                    <w:wordWrap w:val="0"/>
                    <w:autoSpaceDE w:val="0"/>
                    <w:autoSpaceDN w:val="0"/>
                    <w:adjustRightInd w:val="0"/>
                    <w:snapToGrid w:val="0"/>
                    <w:jc w:val="center"/>
                    <w:textAlignment w:val="baseline"/>
                    <w:rPr>
                      <w:rFonts w:ascii="Times New Roman" w:hAnsi="Times New Roman" w:eastAsia="宋体" w:cs="Times New Roman"/>
                      <w:color w:val="auto"/>
                      <w:kern w:val="2"/>
                      <w:sz w:val="21"/>
                      <w:szCs w:val="21"/>
                      <w:lang w:val="en-US" w:eastAsia="zh-CN" w:bidi="ar-SA"/>
                    </w:rPr>
                  </w:pPr>
                  <w:r>
                    <w:rPr>
                      <w:color w:val="auto"/>
                      <w:szCs w:val="21"/>
                    </w:rPr>
                    <w:t>7</w:t>
                  </w:r>
                </w:p>
              </w:tc>
              <w:tc>
                <w:tcPr>
                  <w:tcW w:w="818" w:type="pct"/>
                  <w:tcBorders>
                    <w:top w:val="single" w:color="000000" w:sz="4" w:space="0"/>
                    <w:bottom w:val="single" w:color="000000" w:sz="4" w:space="0"/>
                    <w:right w:val="single" w:color="000000" w:sz="4" w:space="0"/>
                  </w:tcBorders>
                  <w:vAlign w:val="center"/>
                </w:tcPr>
                <w:p>
                  <w:pPr>
                    <w:pStyle w:val="13"/>
                    <w:tabs>
                      <w:tab w:val="left" w:pos="2830"/>
                    </w:tabs>
                    <w:jc w:val="center"/>
                    <w:rPr>
                      <w:rFonts w:ascii="Times New Roman" w:hAnsi="Times New Roman"/>
                      <w:color w:val="auto"/>
                      <w:sz w:val="21"/>
                      <w:szCs w:val="21"/>
                      <w:lang w:bidi="ar"/>
                    </w:rPr>
                  </w:pPr>
                  <w:r>
                    <w:rPr>
                      <w:rFonts w:ascii="Times New Roman" w:hAnsi="Times New Roman"/>
                      <w:color w:val="auto"/>
                      <w:sz w:val="21"/>
                      <w:szCs w:val="21"/>
                    </w:rPr>
                    <w:t>废润滑油</w:t>
                  </w:r>
                </w:p>
              </w:tc>
              <w:tc>
                <w:tcPr>
                  <w:tcW w:w="1027" w:type="pct"/>
                  <w:tcBorders>
                    <w:top w:val="single" w:color="000000" w:sz="4" w:space="0"/>
                    <w:left w:val="single" w:color="000000" w:sz="4" w:space="0"/>
                    <w:right w:val="single" w:color="000000" w:sz="4" w:space="0"/>
                  </w:tcBorders>
                  <w:vAlign w:val="center"/>
                </w:tcPr>
                <w:p>
                  <w:pPr>
                    <w:widowControl/>
                    <w:kinsoku w:val="0"/>
                    <w:wordWrap w:val="0"/>
                    <w:autoSpaceDE w:val="0"/>
                    <w:autoSpaceDN w:val="0"/>
                    <w:adjustRightInd w:val="0"/>
                    <w:snapToGrid w:val="0"/>
                    <w:jc w:val="center"/>
                    <w:textAlignment w:val="baseline"/>
                    <w:rPr>
                      <w:color w:val="auto"/>
                      <w:szCs w:val="21"/>
                    </w:rPr>
                  </w:pPr>
                  <w:r>
                    <w:rPr>
                      <w:color w:val="auto"/>
                      <w:szCs w:val="21"/>
                    </w:rPr>
                    <w:t>矿物油</w:t>
                  </w:r>
                </w:p>
              </w:tc>
              <w:tc>
                <w:tcPr>
                  <w:tcW w:w="454" w:type="pct"/>
                  <w:vMerge w:val="continue"/>
                  <w:tcBorders>
                    <w:left w:val="single" w:color="000000" w:sz="4" w:space="0"/>
                    <w:right w:val="single" w:color="auto" w:sz="4" w:space="0"/>
                  </w:tcBorders>
                  <w:vAlign w:val="center"/>
                </w:tcPr>
                <w:p>
                  <w:pPr>
                    <w:widowControl/>
                    <w:wordWrap w:val="0"/>
                    <w:jc w:val="center"/>
                    <w:textAlignment w:val="center"/>
                    <w:rPr>
                      <w:color w:val="auto"/>
                      <w:szCs w:val="21"/>
                    </w:rPr>
                  </w:pPr>
                </w:p>
              </w:tc>
              <w:tc>
                <w:tcPr>
                  <w:tcW w:w="567" w:type="pct"/>
                  <w:tcBorders>
                    <w:top w:val="single" w:color="000000" w:sz="4" w:space="0"/>
                    <w:left w:val="single" w:color="auto" w:sz="4" w:space="0"/>
                    <w:bottom w:val="single" w:color="000000" w:sz="4" w:space="0"/>
                    <w:right w:val="single" w:color="000000" w:sz="4" w:space="0"/>
                  </w:tcBorders>
                  <w:vAlign w:val="center"/>
                </w:tcPr>
                <w:p>
                  <w:pPr>
                    <w:pStyle w:val="13"/>
                    <w:tabs>
                      <w:tab w:val="left" w:pos="2830"/>
                    </w:tabs>
                    <w:jc w:val="center"/>
                    <w:rPr>
                      <w:rFonts w:ascii="Times New Roman" w:hAnsi="Times New Roman"/>
                      <w:color w:val="auto"/>
                      <w:sz w:val="21"/>
                      <w:szCs w:val="21"/>
                      <w:lang w:bidi="ar"/>
                    </w:rPr>
                  </w:pPr>
                  <w:r>
                    <w:rPr>
                      <w:rFonts w:ascii="Times New Roman" w:hAnsi="Times New Roman"/>
                      <w:color w:val="auto"/>
                      <w:sz w:val="21"/>
                      <w:szCs w:val="21"/>
                    </w:rPr>
                    <w:t>0.005</w:t>
                  </w:r>
                </w:p>
              </w:tc>
              <w:tc>
                <w:tcPr>
                  <w:tcW w:w="821" w:type="pct"/>
                  <w:tcBorders>
                    <w:top w:val="single" w:color="000000" w:sz="4" w:space="0"/>
                    <w:left w:val="single" w:color="000000" w:sz="4" w:space="0"/>
                    <w:bottom w:val="single" w:color="000000" w:sz="4" w:space="0"/>
                    <w:right w:val="single" w:color="000000" w:sz="4" w:space="0"/>
                  </w:tcBorders>
                  <w:vAlign w:val="center"/>
                </w:tcPr>
                <w:p>
                  <w:pPr>
                    <w:pStyle w:val="13"/>
                    <w:tabs>
                      <w:tab w:val="left" w:pos="2830"/>
                    </w:tabs>
                    <w:jc w:val="center"/>
                    <w:rPr>
                      <w:rFonts w:ascii="Times New Roman" w:hAnsi="Times New Roman"/>
                      <w:color w:val="auto"/>
                      <w:sz w:val="21"/>
                      <w:szCs w:val="21"/>
                      <w:lang w:bidi="ar"/>
                    </w:rPr>
                  </w:pPr>
                  <w:r>
                    <w:rPr>
                      <w:rFonts w:ascii="Times New Roman" w:hAnsi="Times New Roman"/>
                      <w:color w:val="auto"/>
                      <w:sz w:val="21"/>
                      <w:szCs w:val="21"/>
                    </w:rPr>
                    <w:t>50</w:t>
                  </w:r>
                </w:p>
              </w:tc>
              <w:tc>
                <w:tcPr>
                  <w:tcW w:w="950" w:type="pct"/>
                  <w:tcBorders>
                    <w:top w:val="single" w:color="000000" w:sz="4" w:space="0"/>
                    <w:left w:val="single" w:color="000000" w:sz="4" w:space="0"/>
                    <w:bottom w:val="single" w:color="000000" w:sz="4" w:space="0"/>
                  </w:tcBorders>
                  <w:vAlign w:val="center"/>
                </w:tcPr>
                <w:p>
                  <w:pPr>
                    <w:widowControl/>
                    <w:wordWrap w:val="0"/>
                    <w:jc w:val="center"/>
                    <w:textAlignment w:val="center"/>
                    <w:rPr>
                      <w:color w:val="auto"/>
                      <w:kern w:val="0"/>
                      <w:szCs w:val="21"/>
                      <w:lang w:bidi="ar"/>
                    </w:rPr>
                  </w:pPr>
                  <w:r>
                    <w:rPr>
                      <w:color w:val="auto"/>
                      <w:kern w:val="0"/>
                      <w:szCs w:val="21"/>
                      <w:lang w:bidi="ar"/>
                    </w:rPr>
                    <w:t>0.0001</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59" w:type="pct"/>
                  <w:tcBorders>
                    <w:top w:val="single" w:color="000000" w:sz="4" w:space="0"/>
                    <w:bottom w:val="single" w:color="000000" w:sz="4" w:space="0"/>
                    <w:right w:val="single" w:color="000000" w:sz="4" w:space="0"/>
                  </w:tcBorders>
                  <w:vAlign w:val="center"/>
                </w:tcPr>
                <w:p>
                  <w:pPr>
                    <w:widowControl/>
                    <w:kinsoku w:val="0"/>
                    <w:wordWrap w:val="0"/>
                    <w:autoSpaceDE w:val="0"/>
                    <w:autoSpaceDN w:val="0"/>
                    <w:adjustRightInd w:val="0"/>
                    <w:snapToGrid w:val="0"/>
                    <w:jc w:val="center"/>
                    <w:textAlignment w:val="baseline"/>
                    <w:rPr>
                      <w:rFonts w:ascii="Times New Roman" w:hAnsi="Times New Roman" w:eastAsia="宋体" w:cs="Times New Roman"/>
                      <w:color w:val="auto"/>
                      <w:kern w:val="2"/>
                      <w:sz w:val="21"/>
                      <w:szCs w:val="21"/>
                      <w:lang w:val="en-US" w:eastAsia="zh-CN" w:bidi="ar-SA"/>
                    </w:rPr>
                  </w:pPr>
                  <w:r>
                    <w:rPr>
                      <w:color w:val="auto"/>
                      <w:szCs w:val="21"/>
                    </w:rPr>
                    <w:t>8</w:t>
                  </w:r>
                </w:p>
              </w:tc>
              <w:tc>
                <w:tcPr>
                  <w:tcW w:w="818" w:type="pct"/>
                  <w:tcBorders>
                    <w:top w:val="single" w:color="000000" w:sz="4" w:space="0"/>
                    <w:bottom w:val="single" w:color="000000" w:sz="4" w:space="0"/>
                    <w:right w:val="single" w:color="000000" w:sz="4" w:space="0"/>
                  </w:tcBorders>
                  <w:vAlign w:val="center"/>
                </w:tcPr>
                <w:p>
                  <w:pPr>
                    <w:pStyle w:val="13"/>
                    <w:tabs>
                      <w:tab w:val="left" w:pos="2830"/>
                    </w:tabs>
                    <w:jc w:val="center"/>
                    <w:rPr>
                      <w:rFonts w:ascii="Times New Roman" w:hAnsi="Times New Roman"/>
                      <w:color w:val="auto"/>
                      <w:sz w:val="21"/>
                      <w:szCs w:val="21"/>
                      <w:lang w:bidi="ar"/>
                    </w:rPr>
                  </w:pPr>
                  <w:r>
                    <w:rPr>
                      <w:rFonts w:ascii="Times New Roman" w:hAnsi="Times New Roman"/>
                      <w:color w:val="auto"/>
                      <w:sz w:val="21"/>
                      <w:szCs w:val="21"/>
                    </w:rPr>
                    <w:t>废过滤棉</w:t>
                  </w:r>
                </w:p>
              </w:tc>
              <w:tc>
                <w:tcPr>
                  <w:tcW w:w="1027" w:type="pct"/>
                  <w:tcBorders>
                    <w:top w:val="single" w:color="000000" w:sz="4" w:space="0"/>
                    <w:left w:val="single" w:color="000000" w:sz="4" w:space="0"/>
                    <w:right w:val="single" w:color="000000" w:sz="4" w:space="0"/>
                  </w:tcBorders>
                  <w:vAlign w:val="center"/>
                </w:tcPr>
                <w:p>
                  <w:pPr>
                    <w:widowControl/>
                    <w:kinsoku w:val="0"/>
                    <w:wordWrap w:val="0"/>
                    <w:autoSpaceDE w:val="0"/>
                    <w:autoSpaceDN w:val="0"/>
                    <w:adjustRightInd w:val="0"/>
                    <w:snapToGrid w:val="0"/>
                    <w:jc w:val="center"/>
                    <w:textAlignment w:val="baseline"/>
                    <w:rPr>
                      <w:color w:val="auto"/>
                      <w:szCs w:val="21"/>
                    </w:rPr>
                  </w:pPr>
                  <w:r>
                    <w:rPr>
                      <w:color w:val="auto"/>
                      <w:szCs w:val="21"/>
                    </w:rPr>
                    <w:t>过滤棉</w:t>
                  </w:r>
                </w:p>
              </w:tc>
              <w:tc>
                <w:tcPr>
                  <w:tcW w:w="454" w:type="pct"/>
                  <w:vMerge w:val="continue"/>
                  <w:tcBorders>
                    <w:left w:val="single" w:color="000000" w:sz="4" w:space="0"/>
                    <w:right w:val="single" w:color="auto" w:sz="4" w:space="0"/>
                  </w:tcBorders>
                  <w:vAlign w:val="center"/>
                </w:tcPr>
                <w:p>
                  <w:pPr>
                    <w:widowControl/>
                    <w:wordWrap w:val="0"/>
                    <w:jc w:val="center"/>
                    <w:textAlignment w:val="center"/>
                    <w:rPr>
                      <w:color w:val="auto"/>
                      <w:szCs w:val="21"/>
                    </w:rPr>
                  </w:pPr>
                </w:p>
              </w:tc>
              <w:tc>
                <w:tcPr>
                  <w:tcW w:w="567" w:type="pct"/>
                  <w:tcBorders>
                    <w:top w:val="single" w:color="000000" w:sz="4" w:space="0"/>
                    <w:left w:val="single" w:color="auto" w:sz="4" w:space="0"/>
                    <w:bottom w:val="single" w:color="000000" w:sz="4" w:space="0"/>
                    <w:right w:val="single" w:color="000000" w:sz="4" w:space="0"/>
                  </w:tcBorders>
                  <w:vAlign w:val="center"/>
                </w:tcPr>
                <w:p>
                  <w:pPr>
                    <w:pStyle w:val="13"/>
                    <w:tabs>
                      <w:tab w:val="left" w:pos="2830"/>
                    </w:tabs>
                    <w:jc w:val="center"/>
                    <w:rPr>
                      <w:rFonts w:hint="eastAsia" w:ascii="Times New Roman" w:hAnsi="Times New Roman" w:eastAsia="宋体"/>
                      <w:color w:val="auto"/>
                      <w:sz w:val="21"/>
                      <w:szCs w:val="21"/>
                      <w:lang w:eastAsia="zh-CN" w:bidi="ar"/>
                    </w:rPr>
                  </w:pPr>
                  <w:r>
                    <w:rPr>
                      <w:rFonts w:hint="eastAsia" w:ascii="Times New Roman" w:hAnsi="Times New Roman"/>
                      <w:color w:val="auto"/>
                      <w:sz w:val="21"/>
                      <w:szCs w:val="21"/>
                      <w:lang w:val="en-US" w:eastAsia="zh-CN"/>
                    </w:rPr>
                    <w:t>2</w:t>
                  </w:r>
                </w:p>
              </w:tc>
              <w:tc>
                <w:tcPr>
                  <w:tcW w:w="821" w:type="pct"/>
                  <w:tcBorders>
                    <w:top w:val="single" w:color="000000" w:sz="4" w:space="0"/>
                    <w:left w:val="single" w:color="000000" w:sz="4" w:space="0"/>
                    <w:bottom w:val="single" w:color="000000" w:sz="4" w:space="0"/>
                    <w:right w:val="single" w:color="000000" w:sz="4" w:space="0"/>
                  </w:tcBorders>
                  <w:vAlign w:val="center"/>
                </w:tcPr>
                <w:p>
                  <w:pPr>
                    <w:pStyle w:val="13"/>
                    <w:tabs>
                      <w:tab w:val="left" w:pos="2830"/>
                    </w:tabs>
                    <w:jc w:val="center"/>
                    <w:rPr>
                      <w:rFonts w:ascii="Times New Roman" w:hAnsi="Times New Roman"/>
                      <w:color w:val="auto"/>
                      <w:sz w:val="21"/>
                      <w:szCs w:val="21"/>
                      <w:lang w:bidi="ar"/>
                    </w:rPr>
                  </w:pPr>
                  <w:r>
                    <w:rPr>
                      <w:rFonts w:ascii="Times New Roman" w:hAnsi="Times New Roman"/>
                      <w:color w:val="auto"/>
                      <w:sz w:val="21"/>
                      <w:szCs w:val="21"/>
                    </w:rPr>
                    <w:t>50</w:t>
                  </w:r>
                </w:p>
              </w:tc>
              <w:tc>
                <w:tcPr>
                  <w:tcW w:w="950" w:type="pct"/>
                  <w:tcBorders>
                    <w:top w:val="single" w:color="000000" w:sz="4" w:space="0"/>
                    <w:left w:val="single" w:color="000000" w:sz="4" w:space="0"/>
                    <w:bottom w:val="single" w:color="000000" w:sz="4" w:space="0"/>
                  </w:tcBorders>
                  <w:vAlign w:val="center"/>
                </w:tcPr>
                <w:p>
                  <w:pPr>
                    <w:widowControl/>
                    <w:wordWrap w:val="0"/>
                    <w:jc w:val="center"/>
                    <w:textAlignment w:val="center"/>
                    <w:rPr>
                      <w:rFonts w:hint="default" w:eastAsia="宋体"/>
                      <w:color w:val="auto"/>
                      <w:kern w:val="0"/>
                      <w:szCs w:val="21"/>
                      <w:lang w:val="en-US" w:eastAsia="zh-CN" w:bidi="ar"/>
                    </w:rPr>
                  </w:pPr>
                  <w:r>
                    <w:rPr>
                      <w:rFonts w:hint="eastAsia"/>
                      <w:color w:val="auto"/>
                      <w:kern w:val="0"/>
                      <w:szCs w:val="21"/>
                      <w:lang w:val="en-US" w:eastAsia="zh-CN" w:bidi="ar"/>
                    </w:rPr>
                    <w:t>0.04</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359" w:type="pct"/>
                  <w:tcBorders>
                    <w:top w:val="single" w:color="000000" w:sz="4" w:space="0"/>
                    <w:bottom w:val="single" w:color="000000" w:sz="4" w:space="0"/>
                    <w:right w:val="single" w:color="000000" w:sz="4" w:space="0"/>
                  </w:tcBorders>
                  <w:vAlign w:val="center"/>
                </w:tcPr>
                <w:p>
                  <w:pPr>
                    <w:widowControl/>
                    <w:kinsoku w:val="0"/>
                    <w:wordWrap w:val="0"/>
                    <w:autoSpaceDE w:val="0"/>
                    <w:autoSpaceDN w:val="0"/>
                    <w:adjustRightInd w:val="0"/>
                    <w:snapToGrid w:val="0"/>
                    <w:jc w:val="center"/>
                    <w:textAlignment w:val="baseline"/>
                    <w:rPr>
                      <w:rFonts w:hint="default" w:ascii="Times New Roman" w:hAnsi="Times New Roman" w:eastAsia="宋体" w:cs="Times New Roman"/>
                      <w:color w:val="auto"/>
                      <w:kern w:val="2"/>
                      <w:sz w:val="21"/>
                      <w:szCs w:val="21"/>
                      <w:lang w:val="en-US" w:eastAsia="zh-CN" w:bidi="ar-SA"/>
                    </w:rPr>
                  </w:pPr>
                  <w:r>
                    <w:rPr>
                      <w:color w:val="auto"/>
                      <w:szCs w:val="21"/>
                    </w:rPr>
                    <w:t>9</w:t>
                  </w:r>
                </w:p>
              </w:tc>
              <w:tc>
                <w:tcPr>
                  <w:tcW w:w="818" w:type="pct"/>
                  <w:tcBorders>
                    <w:top w:val="single" w:color="000000" w:sz="4" w:space="0"/>
                    <w:bottom w:val="single" w:color="000000" w:sz="4" w:space="0"/>
                    <w:right w:val="single" w:color="000000" w:sz="4" w:space="0"/>
                  </w:tcBorders>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eastAsia="宋体" w:cs="Times New Roman"/>
                      <w:color w:val="auto"/>
                      <w:kern w:val="0"/>
                      <w:sz w:val="21"/>
                      <w:szCs w:val="21"/>
                      <w:lang w:bidi="en-US"/>
                    </w:rPr>
                    <w:t>废喷枪枪头</w:t>
                  </w:r>
                </w:p>
              </w:tc>
              <w:tc>
                <w:tcPr>
                  <w:tcW w:w="1027" w:type="pct"/>
                  <w:tcBorders>
                    <w:top w:val="single" w:color="000000" w:sz="4" w:space="0"/>
                    <w:left w:val="single" w:color="000000" w:sz="4" w:space="0"/>
                    <w:right w:val="single" w:color="000000" w:sz="4" w:space="0"/>
                  </w:tcBorders>
                  <w:vAlign w:val="center"/>
                </w:tcPr>
                <w:p>
                  <w:pPr>
                    <w:widowControl/>
                    <w:kinsoku w:val="0"/>
                    <w:wordWrap w:val="0"/>
                    <w:autoSpaceDE w:val="0"/>
                    <w:autoSpaceDN w:val="0"/>
                    <w:adjustRightInd w:val="0"/>
                    <w:snapToGrid w:val="0"/>
                    <w:jc w:val="center"/>
                    <w:textAlignment w:val="baseline"/>
                    <w:rPr>
                      <w:rFonts w:hint="eastAsia" w:eastAsia="宋体"/>
                      <w:color w:val="auto"/>
                      <w:szCs w:val="21"/>
                      <w:lang w:eastAsia="zh-CN"/>
                    </w:rPr>
                  </w:pPr>
                  <w:r>
                    <w:rPr>
                      <w:rFonts w:hint="eastAsia"/>
                      <w:color w:val="auto"/>
                      <w:szCs w:val="21"/>
                      <w:lang w:eastAsia="zh-CN"/>
                    </w:rPr>
                    <w:t>漆</w:t>
                  </w:r>
                </w:p>
              </w:tc>
              <w:tc>
                <w:tcPr>
                  <w:tcW w:w="454" w:type="pct"/>
                  <w:vMerge w:val="continue"/>
                  <w:tcBorders>
                    <w:left w:val="single" w:color="000000" w:sz="4" w:space="0"/>
                    <w:bottom w:val="single" w:color="000000" w:sz="4" w:space="0"/>
                    <w:right w:val="single" w:color="auto" w:sz="4" w:space="0"/>
                  </w:tcBorders>
                  <w:vAlign w:val="center"/>
                </w:tcPr>
                <w:p>
                  <w:pPr>
                    <w:widowControl/>
                    <w:wordWrap w:val="0"/>
                    <w:jc w:val="center"/>
                    <w:textAlignment w:val="center"/>
                    <w:rPr>
                      <w:color w:val="auto"/>
                      <w:szCs w:val="21"/>
                    </w:rPr>
                  </w:pPr>
                </w:p>
              </w:tc>
              <w:tc>
                <w:tcPr>
                  <w:tcW w:w="567" w:type="pct"/>
                  <w:tcBorders>
                    <w:top w:val="single" w:color="000000" w:sz="4" w:space="0"/>
                    <w:left w:val="single" w:color="auto" w:sz="4" w:space="0"/>
                    <w:bottom w:val="single" w:color="000000" w:sz="4" w:space="0"/>
                    <w:right w:val="single" w:color="000000" w:sz="4" w:space="0"/>
                  </w:tcBorders>
                  <w:vAlign w:val="center"/>
                </w:tcPr>
                <w:p>
                  <w:pPr>
                    <w:pStyle w:val="13"/>
                    <w:tabs>
                      <w:tab w:val="left" w:pos="2830"/>
                    </w:tabs>
                    <w:jc w:val="center"/>
                    <w:rPr>
                      <w:rFonts w:hint="default" w:ascii="Times New Roman" w:hAnsi="Times New Roman"/>
                      <w:color w:val="auto"/>
                      <w:sz w:val="21"/>
                      <w:szCs w:val="21"/>
                      <w:lang w:val="en-US" w:eastAsia="zh-CN"/>
                    </w:rPr>
                  </w:pPr>
                  <w:r>
                    <w:rPr>
                      <w:rFonts w:hint="eastAsia" w:ascii="Times New Roman" w:hAnsi="Times New Roman"/>
                      <w:color w:val="auto"/>
                      <w:sz w:val="21"/>
                      <w:szCs w:val="21"/>
                      <w:lang w:val="en-US" w:eastAsia="zh-CN"/>
                    </w:rPr>
                    <w:t>0.0002</w:t>
                  </w:r>
                </w:p>
              </w:tc>
              <w:tc>
                <w:tcPr>
                  <w:tcW w:w="821" w:type="pct"/>
                  <w:tcBorders>
                    <w:top w:val="single" w:color="000000" w:sz="4" w:space="0"/>
                    <w:left w:val="single" w:color="000000" w:sz="4" w:space="0"/>
                    <w:bottom w:val="single" w:color="000000" w:sz="4" w:space="0"/>
                    <w:right w:val="single" w:color="000000" w:sz="4" w:space="0"/>
                  </w:tcBorders>
                  <w:vAlign w:val="center"/>
                </w:tcPr>
                <w:p>
                  <w:pPr>
                    <w:pStyle w:val="13"/>
                    <w:tabs>
                      <w:tab w:val="left" w:pos="2830"/>
                    </w:tabs>
                    <w:jc w:val="center"/>
                    <w:rPr>
                      <w:rFonts w:ascii="Times New Roman" w:hAnsi="Times New Roman"/>
                      <w:color w:val="auto"/>
                      <w:sz w:val="21"/>
                      <w:szCs w:val="21"/>
                    </w:rPr>
                  </w:pPr>
                  <w:r>
                    <w:rPr>
                      <w:rFonts w:ascii="Times New Roman" w:hAnsi="Times New Roman"/>
                      <w:color w:val="auto"/>
                      <w:sz w:val="21"/>
                      <w:szCs w:val="21"/>
                    </w:rPr>
                    <w:t>50</w:t>
                  </w:r>
                </w:p>
              </w:tc>
              <w:tc>
                <w:tcPr>
                  <w:tcW w:w="950" w:type="pct"/>
                  <w:tcBorders>
                    <w:top w:val="single" w:color="000000" w:sz="4" w:space="0"/>
                    <w:left w:val="single" w:color="000000" w:sz="4" w:space="0"/>
                    <w:bottom w:val="single" w:color="000000" w:sz="4" w:space="0"/>
                  </w:tcBorders>
                  <w:vAlign w:val="center"/>
                </w:tcPr>
                <w:p>
                  <w:pPr>
                    <w:widowControl/>
                    <w:wordWrap w:val="0"/>
                    <w:jc w:val="center"/>
                    <w:textAlignment w:val="center"/>
                    <w:rPr>
                      <w:rFonts w:hint="default"/>
                      <w:color w:val="auto"/>
                      <w:kern w:val="0"/>
                      <w:szCs w:val="21"/>
                      <w:lang w:val="en-US" w:eastAsia="zh-CN" w:bidi="ar"/>
                    </w:rPr>
                  </w:pPr>
                  <w:r>
                    <w:rPr>
                      <w:rFonts w:hint="eastAsia"/>
                      <w:color w:val="auto"/>
                      <w:kern w:val="0"/>
                      <w:szCs w:val="21"/>
                      <w:lang w:val="en-US" w:eastAsia="zh-CN" w:bidi="ar"/>
                    </w:rPr>
                    <w:t>0.000004</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 w:hRule="atLeast"/>
                <w:jc w:val="center"/>
              </w:trPr>
              <w:tc>
                <w:tcPr>
                  <w:tcW w:w="4049" w:type="pct"/>
                  <w:gridSpan w:val="6"/>
                  <w:tcBorders>
                    <w:top w:val="single" w:color="000000" w:sz="4" w:space="0"/>
                    <w:bottom w:val="single" w:color="000000" w:sz="4" w:space="0"/>
                    <w:right w:val="single" w:color="000000" w:sz="4" w:space="0"/>
                  </w:tcBorders>
                  <w:vAlign w:val="center"/>
                </w:tcPr>
                <w:p>
                  <w:pPr>
                    <w:widowControl/>
                    <w:wordWrap w:val="0"/>
                    <w:jc w:val="center"/>
                    <w:textAlignment w:val="center"/>
                    <w:rPr>
                      <w:b/>
                      <w:bCs/>
                      <w:color w:val="auto"/>
                      <w:kern w:val="0"/>
                      <w:szCs w:val="21"/>
                      <w:lang w:bidi="ar"/>
                    </w:rPr>
                  </w:pPr>
                  <w:r>
                    <w:rPr>
                      <w:b/>
                      <w:bCs/>
                      <w:color w:val="auto"/>
                      <w:kern w:val="0"/>
                      <w:szCs w:val="21"/>
                      <w:lang w:bidi="ar"/>
                    </w:rPr>
                    <w:t>合计</w:t>
                  </w:r>
                </w:p>
              </w:tc>
              <w:tc>
                <w:tcPr>
                  <w:tcW w:w="950" w:type="pct"/>
                  <w:tcBorders>
                    <w:top w:val="single" w:color="000000" w:sz="4" w:space="0"/>
                    <w:left w:val="single" w:color="000000" w:sz="4" w:space="0"/>
                    <w:bottom w:val="single" w:color="000000" w:sz="4" w:space="0"/>
                  </w:tcBorders>
                  <w:vAlign w:val="center"/>
                </w:tcPr>
                <w:p>
                  <w:pPr>
                    <w:widowControl/>
                    <w:wordWrap w:val="0"/>
                    <w:jc w:val="center"/>
                    <w:textAlignment w:val="center"/>
                    <w:rPr>
                      <w:rFonts w:hint="default" w:eastAsia="宋体"/>
                      <w:color w:val="auto"/>
                      <w:kern w:val="0"/>
                      <w:szCs w:val="21"/>
                      <w:lang w:val="en-US" w:eastAsia="zh-CN" w:bidi="ar"/>
                    </w:rPr>
                  </w:pPr>
                  <w:r>
                    <w:rPr>
                      <w:color w:val="auto"/>
                      <w:kern w:val="0"/>
                      <w:szCs w:val="21"/>
                      <w:lang w:bidi="ar"/>
                    </w:rPr>
                    <w:t>0.</w:t>
                  </w:r>
                  <w:r>
                    <w:rPr>
                      <w:rFonts w:hint="eastAsia"/>
                      <w:color w:val="auto"/>
                      <w:kern w:val="0"/>
                      <w:szCs w:val="21"/>
                      <w:lang w:val="en-US" w:eastAsia="zh-CN" w:bidi="ar"/>
                    </w:rPr>
                    <w:t>3281044</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5000" w:type="pct"/>
                  <w:gridSpan w:val="7"/>
                  <w:tcBorders>
                    <w:top w:val="single" w:color="000000" w:sz="4" w:space="0"/>
                  </w:tcBorders>
                  <w:vAlign w:val="center"/>
                </w:tcPr>
                <w:p>
                  <w:pPr>
                    <w:widowControl/>
                    <w:jc w:val="left"/>
                    <w:rPr>
                      <w:b/>
                      <w:bCs/>
                      <w:color w:val="auto"/>
                      <w:kern w:val="0"/>
                      <w:szCs w:val="21"/>
                      <w:lang w:bidi="ar"/>
                    </w:rPr>
                  </w:pPr>
                  <w:r>
                    <w:rPr>
                      <w:b/>
                      <w:bCs/>
                      <w:color w:val="auto"/>
                      <w:kern w:val="0"/>
                      <w:szCs w:val="21"/>
                      <w:lang w:bidi="ar"/>
                    </w:rPr>
                    <w:t>*</w:t>
                  </w:r>
                  <w:r>
                    <w:rPr>
                      <w:color w:val="auto"/>
                      <w:kern w:val="0"/>
                      <w:szCs w:val="21"/>
                      <w:lang w:bidi="ar"/>
                    </w:rPr>
                    <w:t>注：各类危险废物参照《建设项目环境风险评价技术导则》（HJ169-2018）附表B.1油类物质界量取2500t及附表B.2其它危险废物临界量推荐值中健康危险急性毒性物质（类别2，类别3)，临界量取50t。</w:t>
                  </w:r>
                </w:p>
              </w:tc>
            </w:tr>
          </w:tbl>
          <w:p>
            <w:pPr>
              <w:widowControl/>
              <w:autoSpaceDE w:val="0"/>
              <w:autoSpaceDN w:val="0"/>
              <w:adjustRightInd w:val="0"/>
              <w:snapToGrid w:val="0"/>
              <w:spacing w:before="120" w:beforeLines="50" w:line="360" w:lineRule="auto"/>
              <w:ind w:firstLine="480" w:firstLineChars="200"/>
              <w:rPr>
                <w:color w:val="auto"/>
                <w:kern w:val="0"/>
                <w:sz w:val="24"/>
                <w:lang w:bidi="ar"/>
              </w:rPr>
            </w:pPr>
            <w:r>
              <w:rPr>
                <w:color w:val="auto"/>
                <w:kern w:val="0"/>
                <w:sz w:val="24"/>
              </w:rPr>
              <w:t>根据《建设项目环境风险评价技术导则》（HJ169-2018）附录C，上表中物质的Q（0.</w:t>
            </w:r>
            <w:r>
              <w:rPr>
                <w:rFonts w:hint="eastAsia"/>
                <w:color w:val="auto"/>
                <w:kern w:val="0"/>
                <w:sz w:val="24"/>
                <w:lang w:val="en-US" w:eastAsia="zh-CN"/>
              </w:rPr>
              <w:t>3281044</w:t>
            </w:r>
            <w:r>
              <w:rPr>
                <w:color w:val="auto"/>
                <w:kern w:val="0"/>
                <w:sz w:val="24"/>
              </w:rPr>
              <w:t>）＜1，建设项目环境风险潜势为Ⅰ。</w:t>
            </w:r>
          </w:p>
          <w:p>
            <w:pPr>
              <w:wordWrap w:val="0"/>
              <w:adjustRightInd w:val="0"/>
              <w:snapToGrid w:val="0"/>
              <w:spacing w:line="360" w:lineRule="auto"/>
              <w:ind w:firstLine="480" w:firstLineChars="200"/>
              <w:rPr>
                <w:color w:val="auto"/>
                <w:kern w:val="0"/>
                <w:sz w:val="24"/>
                <w:lang w:bidi="ar"/>
              </w:rPr>
            </w:pPr>
            <w:r>
              <w:rPr>
                <w:color w:val="auto"/>
                <w:kern w:val="0"/>
                <w:sz w:val="24"/>
                <w:lang w:bidi="ar"/>
              </w:rPr>
              <w:t xml:space="preserve">②生产工艺特点 </w:t>
            </w:r>
          </w:p>
          <w:p>
            <w:pPr>
              <w:wordWrap w:val="0"/>
              <w:adjustRightInd w:val="0"/>
              <w:snapToGrid w:val="0"/>
              <w:spacing w:line="360" w:lineRule="auto"/>
              <w:ind w:firstLine="480" w:firstLineChars="200"/>
              <w:rPr>
                <w:color w:val="auto"/>
                <w:kern w:val="0"/>
                <w:sz w:val="24"/>
                <w:lang w:bidi="ar"/>
              </w:rPr>
            </w:pPr>
            <w:r>
              <w:rPr>
                <w:color w:val="auto"/>
                <w:kern w:val="0"/>
                <w:sz w:val="24"/>
                <w:lang w:bidi="ar"/>
              </w:rPr>
              <w:t>建设项目不涉及风险导则附录C表C.1中的危险工艺。</w:t>
            </w:r>
          </w:p>
          <w:p>
            <w:pPr>
              <w:wordWrap w:val="0"/>
              <w:adjustRightInd w:val="0"/>
              <w:snapToGrid w:val="0"/>
              <w:spacing w:line="360" w:lineRule="auto"/>
              <w:ind w:firstLine="480" w:firstLineChars="200"/>
              <w:rPr>
                <w:color w:val="auto"/>
                <w:kern w:val="0"/>
                <w:sz w:val="24"/>
                <w:lang w:bidi="ar"/>
              </w:rPr>
            </w:pPr>
            <w:r>
              <w:rPr>
                <w:color w:val="auto"/>
                <w:kern w:val="0"/>
                <w:sz w:val="24"/>
                <w:lang w:bidi="ar"/>
              </w:rPr>
              <w:t>③风险潜势初判</w:t>
            </w:r>
          </w:p>
          <w:p>
            <w:pPr>
              <w:wordWrap w:val="0"/>
              <w:adjustRightInd w:val="0"/>
              <w:snapToGrid w:val="0"/>
              <w:spacing w:line="360" w:lineRule="auto"/>
              <w:ind w:firstLine="480" w:firstLineChars="200"/>
              <w:rPr>
                <w:color w:val="auto"/>
              </w:rPr>
            </w:pPr>
            <w:r>
              <w:rPr>
                <w:color w:val="auto"/>
                <w:sz w:val="24"/>
                <w:szCs w:val="22"/>
              </w:rPr>
              <w:t>根据《建设项目环境风险评价技术导则》（HJ169-2018）附录C，当存在多种危险物质时，则按式（C.1）计算物质总量与其临界量比值（Q）。</w:t>
            </w:r>
          </w:p>
          <w:p>
            <w:pPr>
              <w:wordWrap w:val="0"/>
              <w:spacing w:line="360" w:lineRule="auto"/>
              <w:jc w:val="center"/>
              <w:rPr>
                <w:color w:val="auto"/>
                <w:sz w:val="30"/>
                <w:szCs w:val="30"/>
              </w:rPr>
            </w:pPr>
            <w:r>
              <w:rPr>
                <w:color w:val="auto"/>
                <w:sz w:val="24"/>
              </w:rPr>
              <w:drawing>
                <wp:inline distT="0" distB="0" distL="114300" distR="114300">
                  <wp:extent cx="1941195" cy="489585"/>
                  <wp:effectExtent l="0" t="0" r="1905" b="5715"/>
                  <wp:docPr id="18" name="图片 15" descr="5207d00184e9c82edfbe06e41aaeb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5" descr="5207d00184e9c82edfbe06e41aaebbb"/>
                          <pic:cNvPicPr>
                            <a:picLocks noChangeAspect="1"/>
                          </pic:cNvPicPr>
                        </pic:nvPicPr>
                        <pic:blipFill>
                          <a:blip r:embed="rId24"/>
                          <a:stretch>
                            <a:fillRect/>
                          </a:stretch>
                        </pic:blipFill>
                        <pic:spPr>
                          <a:xfrm>
                            <a:off x="0" y="0"/>
                            <a:ext cx="1941195" cy="489585"/>
                          </a:xfrm>
                          <a:prstGeom prst="rect">
                            <a:avLst/>
                          </a:prstGeom>
                          <a:noFill/>
                          <a:ln>
                            <a:noFill/>
                          </a:ln>
                        </pic:spPr>
                      </pic:pic>
                    </a:graphicData>
                  </a:graphic>
                </wp:inline>
              </w:drawing>
            </w:r>
          </w:p>
          <w:p>
            <w:pPr>
              <w:wordWrap w:val="0"/>
              <w:adjustRightInd w:val="0"/>
              <w:snapToGrid w:val="0"/>
              <w:spacing w:line="360" w:lineRule="auto"/>
              <w:ind w:firstLine="480" w:firstLineChars="200"/>
              <w:rPr>
                <w:color w:val="auto"/>
                <w:sz w:val="24"/>
                <w:szCs w:val="22"/>
              </w:rPr>
            </w:pPr>
            <w:r>
              <w:rPr>
                <w:color w:val="auto"/>
                <w:sz w:val="24"/>
                <w:szCs w:val="22"/>
              </w:rPr>
              <w:t>式中：</w:t>
            </w:r>
          </w:p>
          <w:p>
            <w:pPr>
              <w:wordWrap w:val="0"/>
              <w:adjustRightInd w:val="0"/>
              <w:snapToGrid w:val="0"/>
              <w:spacing w:line="360" w:lineRule="auto"/>
              <w:ind w:firstLine="480" w:firstLineChars="200"/>
              <w:rPr>
                <w:color w:val="auto"/>
                <w:sz w:val="24"/>
                <w:szCs w:val="22"/>
              </w:rPr>
            </w:pPr>
            <w:r>
              <w:rPr>
                <w:color w:val="auto"/>
                <w:sz w:val="24"/>
                <w:szCs w:val="22"/>
              </w:rPr>
              <w:t>q</w:t>
            </w:r>
            <w:r>
              <w:rPr>
                <w:color w:val="auto"/>
                <w:sz w:val="24"/>
                <w:szCs w:val="22"/>
                <w:vertAlign w:val="subscript"/>
              </w:rPr>
              <w:t>1</w:t>
            </w:r>
            <w:r>
              <w:rPr>
                <w:color w:val="auto"/>
                <w:sz w:val="24"/>
                <w:szCs w:val="22"/>
              </w:rPr>
              <w:t>，q</w:t>
            </w:r>
            <w:r>
              <w:rPr>
                <w:color w:val="auto"/>
                <w:sz w:val="24"/>
                <w:szCs w:val="22"/>
                <w:vertAlign w:val="subscript"/>
              </w:rPr>
              <w:t>2</w:t>
            </w:r>
            <w:r>
              <w:rPr>
                <w:color w:val="auto"/>
                <w:sz w:val="24"/>
                <w:szCs w:val="22"/>
              </w:rPr>
              <w:t>，…，q</w:t>
            </w:r>
            <w:r>
              <w:rPr>
                <w:color w:val="auto"/>
                <w:sz w:val="24"/>
                <w:szCs w:val="22"/>
                <w:vertAlign w:val="subscript"/>
              </w:rPr>
              <w:t>n</w:t>
            </w:r>
            <w:r>
              <w:rPr>
                <w:color w:val="auto"/>
                <w:sz w:val="24"/>
                <w:szCs w:val="22"/>
              </w:rPr>
              <w:t>—每种危险物质的最大存在总量，t；</w:t>
            </w:r>
          </w:p>
          <w:p>
            <w:pPr>
              <w:wordWrap w:val="0"/>
              <w:adjustRightInd w:val="0"/>
              <w:snapToGrid w:val="0"/>
              <w:spacing w:line="360" w:lineRule="auto"/>
              <w:ind w:firstLine="480" w:firstLineChars="200"/>
              <w:rPr>
                <w:color w:val="auto"/>
                <w:sz w:val="24"/>
                <w:szCs w:val="22"/>
              </w:rPr>
            </w:pPr>
            <w:r>
              <w:rPr>
                <w:color w:val="auto"/>
                <w:sz w:val="24"/>
                <w:szCs w:val="22"/>
              </w:rPr>
              <w:t>Q</w:t>
            </w:r>
            <w:r>
              <w:rPr>
                <w:color w:val="auto"/>
                <w:sz w:val="24"/>
                <w:szCs w:val="22"/>
                <w:vertAlign w:val="subscript"/>
              </w:rPr>
              <w:t>1</w:t>
            </w:r>
            <w:r>
              <w:rPr>
                <w:color w:val="auto"/>
                <w:sz w:val="24"/>
                <w:szCs w:val="22"/>
              </w:rPr>
              <w:t>，Q</w:t>
            </w:r>
            <w:r>
              <w:rPr>
                <w:color w:val="auto"/>
                <w:sz w:val="24"/>
                <w:szCs w:val="22"/>
                <w:vertAlign w:val="subscript"/>
              </w:rPr>
              <w:t>2</w:t>
            </w:r>
            <w:r>
              <w:rPr>
                <w:color w:val="auto"/>
                <w:sz w:val="24"/>
                <w:szCs w:val="22"/>
              </w:rPr>
              <w:t>，…，Q</w:t>
            </w:r>
            <w:r>
              <w:rPr>
                <w:color w:val="auto"/>
                <w:sz w:val="24"/>
                <w:szCs w:val="22"/>
                <w:vertAlign w:val="subscript"/>
              </w:rPr>
              <w:t>n</w:t>
            </w:r>
            <w:r>
              <w:rPr>
                <w:color w:val="auto"/>
                <w:sz w:val="24"/>
                <w:szCs w:val="22"/>
              </w:rPr>
              <w:t>—每种危险物质的临界量，t。</w:t>
            </w:r>
          </w:p>
          <w:p>
            <w:pPr>
              <w:wordWrap w:val="0"/>
              <w:adjustRightInd w:val="0"/>
              <w:snapToGrid w:val="0"/>
              <w:spacing w:line="360" w:lineRule="auto"/>
              <w:ind w:firstLine="480" w:firstLineChars="200"/>
              <w:rPr>
                <w:color w:val="auto"/>
                <w:sz w:val="24"/>
                <w:szCs w:val="22"/>
              </w:rPr>
            </w:pPr>
            <w:r>
              <w:rPr>
                <w:color w:val="auto"/>
                <w:sz w:val="24"/>
                <w:szCs w:val="22"/>
              </w:rPr>
              <w:t>上式计算结果可知：本项目危险物质数量与临界量比值Q＜1，该项目环境风险潜势为I。</w:t>
            </w:r>
          </w:p>
          <w:p>
            <w:pPr>
              <w:wordWrap w:val="0"/>
              <w:spacing w:line="360" w:lineRule="auto"/>
              <w:ind w:firstLine="482" w:firstLineChars="200"/>
              <w:textAlignment w:val="baseline"/>
              <w:outlineLvl w:val="1"/>
              <w:rPr>
                <w:b/>
                <w:color w:val="auto"/>
                <w:sz w:val="24"/>
              </w:rPr>
            </w:pPr>
            <w:r>
              <w:rPr>
                <w:b/>
                <w:color w:val="auto"/>
                <w:sz w:val="24"/>
              </w:rPr>
              <w:t>7.2环境风险识别</w:t>
            </w:r>
          </w:p>
          <w:p>
            <w:pPr>
              <w:widowControl/>
              <w:spacing w:line="360" w:lineRule="auto"/>
              <w:ind w:firstLine="480" w:firstLineChars="200"/>
              <w:jc w:val="left"/>
              <w:rPr>
                <w:color w:val="auto"/>
              </w:rPr>
            </w:pPr>
            <w:r>
              <w:rPr>
                <w:color w:val="auto"/>
                <w:kern w:val="0"/>
                <w:sz w:val="24"/>
                <w:lang w:bidi="ar"/>
              </w:rPr>
              <w:t>根据风险调查结果，企业环境风险识别如下：</w:t>
            </w:r>
          </w:p>
          <w:p>
            <w:pPr>
              <w:wordWrap w:val="0"/>
              <w:adjustRightInd w:val="0"/>
              <w:snapToGrid w:val="0"/>
              <w:spacing w:line="360" w:lineRule="auto"/>
              <w:jc w:val="center"/>
              <w:rPr>
                <w:b/>
                <w:bCs/>
                <w:color w:val="auto"/>
                <w:szCs w:val="16"/>
              </w:rPr>
            </w:pPr>
          </w:p>
          <w:p>
            <w:pPr>
              <w:wordWrap w:val="0"/>
              <w:adjustRightInd w:val="0"/>
              <w:snapToGrid w:val="0"/>
              <w:spacing w:line="360" w:lineRule="auto"/>
              <w:jc w:val="center"/>
              <w:rPr>
                <w:b/>
                <w:bCs/>
                <w:color w:val="auto"/>
                <w:szCs w:val="16"/>
              </w:rPr>
            </w:pPr>
          </w:p>
          <w:p>
            <w:pPr>
              <w:wordWrap w:val="0"/>
              <w:adjustRightInd w:val="0"/>
              <w:snapToGrid w:val="0"/>
              <w:spacing w:line="360" w:lineRule="auto"/>
              <w:jc w:val="center"/>
              <w:rPr>
                <w:b/>
                <w:bCs/>
                <w:color w:val="auto"/>
                <w:szCs w:val="16"/>
              </w:rPr>
            </w:pPr>
          </w:p>
          <w:p>
            <w:pPr>
              <w:wordWrap w:val="0"/>
              <w:adjustRightInd w:val="0"/>
              <w:snapToGrid w:val="0"/>
              <w:spacing w:line="360" w:lineRule="auto"/>
              <w:jc w:val="center"/>
              <w:rPr>
                <w:b/>
                <w:bCs/>
                <w:color w:val="auto"/>
                <w:szCs w:val="16"/>
              </w:rPr>
            </w:pPr>
          </w:p>
          <w:p>
            <w:pPr>
              <w:wordWrap w:val="0"/>
              <w:adjustRightInd w:val="0"/>
              <w:snapToGrid w:val="0"/>
              <w:spacing w:line="360" w:lineRule="auto"/>
              <w:jc w:val="center"/>
              <w:rPr>
                <w:b/>
                <w:bCs/>
                <w:color w:val="auto"/>
                <w:szCs w:val="16"/>
              </w:rPr>
            </w:pPr>
            <w:r>
              <w:rPr>
                <w:b/>
                <w:bCs/>
                <w:color w:val="auto"/>
                <w:szCs w:val="16"/>
              </w:rPr>
              <w:t>表4.2</w:t>
            </w:r>
            <w:r>
              <w:rPr>
                <w:rFonts w:hint="eastAsia"/>
                <w:b/>
                <w:bCs/>
                <w:color w:val="auto"/>
                <w:szCs w:val="16"/>
                <w:lang w:val="en-US" w:eastAsia="zh-CN"/>
              </w:rPr>
              <w:t>-26</w:t>
            </w:r>
            <w:r>
              <w:rPr>
                <w:b/>
                <w:bCs/>
                <w:color w:val="auto"/>
                <w:szCs w:val="16"/>
              </w:rPr>
              <w:t xml:space="preserve"> 建设项目环境风险识别表</w:t>
            </w:r>
          </w:p>
          <w:tbl>
            <w:tblPr>
              <w:tblStyle w:val="20"/>
              <w:tblW w:w="4971"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500"/>
              <w:gridCol w:w="1246"/>
              <w:gridCol w:w="1580"/>
              <w:gridCol w:w="1449"/>
              <w:gridCol w:w="1546"/>
              <w:gridCol w:w="204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21" w:hRule="atLeast"/>
              </w:trPr>
              <w:tc>
                <w:tcPr>
                  <w:tcW w:w="299" w:type="pct"/>
                  <w:vAlign w:val="center"/>
                </w:tcPr>
                <w:p>
                  <w:pPr>
                    <w:wordWrap w:val="0"/>
                    <w:overflowPunct w:val="0"/>
                    <w:adjustRightInd w:val="0"/>
                    <w:snapToGrid w:val="0"/>
                    <w:jc w:val="center"/>
                    <w:textAlignment w:val="baseline"/>
                    <w:rPr>
                      <w:b/>
                      <w:bCs/>
                      <w:snapToGrid w:val="0"/>
                      <w:color w:val="auto"/>
                      <w:kern w:val="0"/>
                      <w:szCs w:val="21"/>
                      <w:lang w:val="zh-CN"/>
                    </w:rPr>
                  </w:pPr>
                  <w:r>
                    <w:rPr>
                      <w:b/>
                      <w:bCs/>
                      <w:snapToGrid w:val="0"/>
                      <w:color w:val="auto"/>
                      <w:kern w:val="0"/>
                      <w:szCs w:val="21"/>
                      <w:lang w:val="zh-CN"/>
                    </w:rPr>
                    <w:t>序号</w:t>
                  </w:r>
                </w:p>
              </w:tc>
              <w:tc>
                <w:tcPr>
                  <w:tcW w:w="744" w:type="pct"/>
                  <w:vAlign w:val="center"/>
                </w:tcPr>
                <w:p>
                  <w:pPr>
                    <w:wordWrap w:val="0"/>
                    <w:overflowPunct w:val="0"/>
                    <w:adjustRightInd w:val="0"/>
                    <w:snapToGrid w:val="0"/>
                    <w:jc w:val="center"/>
                    <w:textAlignment w:val="baseline"/>
                    <w:rPr>
                      <w:b/>
                      <w:bCs/>
                      <w:snapToGrid w:val="0"/>
                      <w:color w:val="auto"/>
                      <w:kern w:val="0"/>
                      <w:szCs w:val="21"/>
                      <w:lang w:val="zh-CN"/>
                    </w:rPr>
                  </w:pPr>
                  <w:r>
                    <w:rPr>
                      <w:b/>
                      <w:bCs/>
                      <w:snapToGrid w:val="0"/>
                      <w:color w:val="auto"/>
                      <w:kern w:val="0"/>
                      <w:szCs w:val="21"/>
                      <w:lang w:val="zh-CN"/>
                    </w:rPr>
                    <w:t>风险源</w:t>
                  </w:r>
                </w:p>
              </w:tc>
              <w:tc>
                <w:tcPr>
                  <w:tcW w:w="943" w:type="pct"/>
                  <w:vAlign w:val="center"/>
                </w:tcPr>
                <w:p>
                  <w:pPr>
                    <w:wordWrap w:val="0"/>
                    <w:overflowPunct w:val="0"/>
                    <w:adjustRightInd w:val="0"/>
                    <w:snapToGrid w:val="0"/>
                    <w:jc w:val="center"/>
                    <w:textAlignment w:val="baseline"/>
                    <w:rPr>
                      <w:b/>
                      <w:bCs/>
                      <w:snapToGrid w:val="0"/>
                      <w:color w:val="auto"/>
                      <w:kern w:val="0"/>
                      <w:szCs w:val="21"/>
                      <w:lang w:val="zh-CN"/>
                    </w:rPr>
                  </w:pPr>
                  <w:r>
                    <w:rPr>
                      <w:b/>
                      <w:bCs/>
                      <w:snapToGrid w:val="0"/>
                      <w:color w:val="auto"/>
                      <w:kern w:val="0"/>
                      <w:szCs w:val="21"/>
                      <w:lang w:val="zh-CN"/>
                    </w:rPr>
                    <w:t>主要危险物质</w:t>
                  </w:r>
                </w:p>
              </w:tc>
              <w:tc>
                <w:tcPr>
                  <w:tcW w:w="865" w:type="pct"/>
                  <w:vAlign w:val="center"/>
                </w:tcPr>
                <w:p>
                  <w:pPr>
                    <w:wordWrap w:val="0"/>
                    <w:overflowPunct w:val="0"/>
                    <w:adjustRightInd w:val="0"/>
                    <w:snapToGrid w:val="0"/>
                    <w:jc w:val="center"/>
                    <w:textAlignment w:val="baseline"/>
                    <w:rPr>
                      <w:b/>
                      <w:bCs/>
                      <w:snapToGrid w:val="0"/>
                      <w:color w:val="auto"/>
                      <w:kern w:val="0"/>
                      <w:szCs w:val="21"/>
                      <w:lang w:val="zh-CN"/>
                    </w:rPr>
                  </w:pPr>
                  <w:r>
                    <w:rPr>
                      <w:b/>
                      <w:bCs/>
                      <w:snapToGrid w:val="0"/>
                      <w:color w:val="auto"/>
                      <w:kern w:val="0"/>
                      <w:szCs w:val="21"/>
                      <w:lang w:val="zh-CN"/>
                    </w:rPr>
                    <w:t>环境风险类型</w:t>
                  </w:r>
                </w:p>
              </w:tc>
              <w:tc>
                <w:tcPr>
                  <w:tcW w:w="923" w:type="pct"/>
                  <w:vAlign w:val="center"/>
                </w:tcPr>
                <w:p>
                  <w:pPr>
                    <w:wordWrap w:val="0"/>
                    <w:overflowPunct w:val="0"/>
                    <w:adjustRightInd w:val="0"/>
                    <w:snapToGrid w:val="0"/>
                    <w:jc w:val="center"/>
                    <w:textAlignment w:val="baseline"/>
                    <w:rPr>
                      <w:b/>
                      <w:bCs/>
                      <w:snapToGrid w:val="0"/>
                      <w:color w:val="auto"/>
                      <w:kern w:val="0"/>
                      <w:szCs w:val="21"/>
                      <w:lang w:val="zh-CN"/>
                    </w:rPr>
                  </w:pPr>
                  <w:r>
                    <w:rPr>
                      <w:b/>
                      <w:bCs/>
                      <w:snapToGrid w:val="0"/>
                      <w:color w:val="auto"/>
                      <w:kern w:val="0"/>
                      <w:szCs w:val="21"/>
                      <w:lang w:val="zh-CN"/>
                    </w:rPr>
                    <w:t>环境影响途径</w:t>
                  </w:r>
                </w:p>
              </w:tc>
              <w:tc>
                <w:tcPr>
                  <w:tcW w:w="1222" w:type="pct"/>
                  <w:vAlign w:val="center"/>
                </w:tcPr>
                <w:p>
                  <w:pPr>
                    <w:wordWrap w:val="0"/>
                    <w:overflowPunct w:val="0"/>
                    <w:adjustRightInd w:val="0"/>
                    <w:snapToGrid w:val="0"/>
                    <w:jc w:val="center"/>
                    <w:textAlignment w:val="baseline"/>
                    <w:rPr>
                      <w:b/>
                      <w:bCs/>
                      <w:snapToGrid w:val="0"/>
                      <w:color w:val="auto"/>
                      <w:kern w:val="0"/>
                      <w:szCs w:val="21"/>
                      <w:lang w:val="zh-CN"/>
                    </w:rPr>
                  </w:pPr>
                  <w:r>
                    <w:rPr>
                      <w:b/>
                      <w:bCs/>
                      <w:snapToGrid w:val="0"/>
                      <w:color w:val="auto"/>
                      <w:kern w:val="0"/>
                      <w:szCs w:val="21"/>
                      <w:lang w:val="zh-CN"/>
                    </w:rPr>
                    <w:t>可能受影响的环境敏感目标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19" w:hRule="atLeast"/>
              </w:trPr>
              <w:tc>
                <w:tcPr>
                  <w:tcW w:w="500" w:type="dxa"/>
                  <w:vAlign w:val="center"/>
                </w:tcPr>
                <w:p>
                  <w:pPr>
                    <w:pStyle w:val="13"/>
                    <w:tabs>
                      <w:tab w:val="left" w:pos="2830"/>
                    </w:tabs>
                    <w:jc w:val="center"/>
                    <w:rPr>
                      <w:rFonts w:ascii="Times New Roman" w:hAnsi="Times New Roman"/>
                      <w:snapToGrid w:val="0"/>
                      <w:color w:val="auto"/>
                      <w:sz w:val="21"/>
                      <w:szCs w:val="21"/>
                      <w:lang w:val="zh-CN"/>
                    </w:rPr>
                  </w:pPr>
                  <w:r>
                    <w:rPr>
                      <w:rFonts w:ascii="Times New Roman" w:hAnsi="Times New Roman"/>
                      <w:color w:val="auto"/>
                      <w:sz w:val="21"/>
                      <w:szCs w:val="21"/>
                    </w:rPr>
                    <w:t>1</w:t>
                  </w:r>
                </w:p>
              </w:tc>
              <w:tc>
                <w:tcPr>
                  <w:tcW w:w="1246" w:type="dxa"/>
                  <w:vAlign w:val="center"/>
                </w:tcPr>
                <w:p>
                  <w:pPr>
                    <w:pStyle w:val="13"/>
                    <w:tabs>
                      <w:tab w:val="left" w:pos="2830"/>
                    </w:tabs>
                    <w:jc w:val="center"/>
                    <w:rPr>
                      <w:rFonts w:ascii="Times New Roman" w:hAnsi="Times New Roman"/>
                      <w:snapToGrid w:val="0"/>
                      <w:color w:val="auto"/>
                      <w:sz w:val="21"/>
                      <w:szCs w:val="21"/>
                      <w:lang w:val="zh-CN"/>
                    </w:rPr>
                  </w:pPr>
                  <w:r>
                    <w:rPr>
                      <w:rFonts w:ascii="Times New Roman" w:hAnsi="Times New Roman"/>
                      <w:color w:val="auto"/>
                      <w:sz w:val="21"/>
                      <w:szCs w:val="21"/>
                    </w:rPr>
                    <w:t>原料仓库</w:t>
                  </w:r>
                </w:p>
              </w:tc>
              <w:tc>
                <w:tcPr>
                  <w:tcW w:w="1580" w:type="dxa"/>
                  <w:vAlign w:val="center"/>
                </w:tcPr>
                <w:p>
                  <w:pPr>
                    <w:pStyle w:val="13"/>
                    <w:tabs>
                      <w:tab w:val="left" w:pos="2830"/>
                    </w:tabs>
                    <w:jc w:val="center"/>
                    <w:rPr>
                      <w:rFonts w:ascii="Times New Roman" w:hAnsi="Times New Roman"/>
                      <w:snapToGrid w:val="0"/>
                      <w:color w:val="auto"/>
                      <w:sz w:val="21"/>
                      <w:szCs w:val="21"/>
                      <w:lang w:val="zh-CN"/>
                    </w:rPr>
                  </w:pPr>
                  <w:r>
                    <w:rPr>
                      <w:rFonts w:ascii="Times New Roman" w:hAnsi="Times New Roman"/>
                      <w:color w:val="auto"/>
                      <w:sz w:val="21"/>
                      <w:szCs w:val="21"/>
                    </w:rPr>
                    <w:t>润滑油等</w:t>
                  </w:r>
                </w:p>
              </w:tc>
              <w:tc>
                <w:tcPr>
                  <w:tcW w:w="1449" w:type="dxa"/>
                  <w:vAlign w:val="center"/>
                </w:tcPr>
                <w:p>
                  <w:pPr>
                    <w:pStyle w:val="13"/>
                    <w:tabs>
                      <w:tab w:val="left" w:pos="2830"/>
                    </w:tabs>
                    <w:jc w:val="center"/>
                    <w:rPr>
                      <w:rFonts w:ascii="Times New Roman" w:hAnsi="Times New Roman"/>
                      <w:snapToGrid w:val="0"/>
                      <w:color w:val="auto"/>
                      <w:sz w:val="21"/>
                      <w:szCs w:val="21"/>
                      <w:lang w:val="zh-CN"/>
                    </w:rPr>
                  </w:pPr>
                  <w:r>
                    <w:rPr>
                      <w:rFonts w:ascii="Times New Roman" w:hAnsi="Times New Roman"/>
                      <w:color w:val="auto"/>
                      <w:sz w:val="21"/>
                      <w:szCs w:val="21"/>
                    </w:rPr>
                    <w:t>泄漏、火灾</w:t>
                  </w:r>
                </w:p>
              </w:tc>
              <w:tc>
                <w:tcPr>
                  <w:tcW w:w="1546" w:type="dxa"/>
                  <w:vAlign w:val="center"/>
                </w:tcPr>
                <w:p>
                  <w:pPr>
                    <w:pStyle w:val="13"/>
                    <w:tabs>
                      <w:tab w:val="left" w:pos="2830"/>
                    </w:tabs>
                    <w:jc w:val="center"/>
                    <w:rPr>
                      <w:rFonts w:ascii="Times New Roman" w:hAnsi="Times New Roman"/>
                      <w:snapToGrid w:val="0"/>
                      <w:color w:val="auto"/>
                      <w:sz w:val="21"/>
                      <w:szCs w:val="21"/>
                      <w:lang w:val="zh-CN"/>
                    </w:rPr>
                  </w:pPr>
                  <w:r>
                    <w:rPr>
                      <w:rFonts w:ascii="Times New Roman" w:hAnsi="Times New Roman"/>
                      <w:color w:val="auto"/>
                      <w:sz w:val="21"/>
                      <w:szCs w:val="21"/>
                    </w:rPr>
                    <w:t>大气、地表水、土壤、地下水</w:t>
                  </w:r>
                </w:p>
              </w:tc>
              <w:tc>
                <w:tcPr>
                  <w:tcW w:w="2047" w:type="dxa"/>
                  <w:vAlign w:val="center"/>
                </w:tcPr>
                <w:p>
                  <w:pPr>
                    <w:pStyle w:val="13"/>
                    <w:tabs>
                      <w:tab w:val="left" w:pos="2830"/>
                    </w:tabs>
                    <w:jc w:val="center"/>
                    <w:rPr>
                      <w:rFonts w:ascii="Times New Roman" w:hAnsi="Times New Roman"/>
                      <w:snapToGrid w:val="0"/>
                      <w:color w:val="auto"/>
                      <w:sz w:val="21"/>
                      <w:szCs w:val="21"/>
                      <w:lang w:val="zh-CN"/>
                    </w:rPr>
                  </w:pPr>
                  <w:r>
                    <w:rPr>
                      <w:rFonts w:ascii="Times New Roman" w:hAnsi="Times New Roman"/>
                      <w:color w:val="auto"/>
                      <w:sz w:val="21"/>
                      <w:szCs w:val="21"/>
                    </w:rPr>
                    <w:t>居民区、土壤及地下水、附近水体</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12" w:hRule="atLeast"/>
              </w:trPr>
              <w:tc>
                <w:tcPr>
                  <w:tcW w:w="500" w:type="dxa"/>
                  <w:vAlign w:val="center"/>
                </w:tcPr>
                <w:p>
                  <w:pPr>
                    <w:pStyle w:val="13"/>
                    <w:tabs>
                      <w:tab w:val="left" w:pos="2830"/>
                    </w:tabs>
                    <w:jc w:val="center"/>
                    <w:rPr>
                      <w:rFonts w:ascii="Times New Roman" w:hAnsi="Times New Roman"/>
                      <w:snapToGrid w:val="0"/>
                      <w:color w:val="auto"/>
                      <w:sz w:val="21"/>
                      <w:szCs w:val="21"/>
                    </w:rPr>
                  </w:pPr>
                  <w:r>
                    <w:rPr>
                      <w:rFonts w:ascii="Times New Roman" w:hAnsi="Times New Roman"/>
                      <w:color w:val="auto"/>
                      <w:sz w:val="21"/>
                      <w:szCs w:val="21"/>
                    </w:rPr>
                    <w:t>2</w:t>
                  </w:r>
                </w:p>
              </w:tc>
              <w:tc>
                <w:tcPr>
                  <w:tcW w:w="1246" w:type="dxa"/>
                  <w:vAlign w:val="center"/>
                </w:tcPr>
                <w:p>
                  <w:pPr>
                    <w:pStyle w:val="13"/>
                    <w:tabs>
                      <w:tab w:val="left" w:pos="2830"/>
                    </w:tabs>
                    <w:jc w:val="center"/>
                    <w:rPr>
                      <w:rFonts w:ascii="Times New Roman" w:hAnsi="Times New Roman"/>
                      <w:snapToGrid w:val="0"/>
                      <w:color w:val="auto"/>
                      <w:sz w:val="21"/>
                      <w:szCs w:val="21"/>
                    </w:rPr>
                  </w:pPr>
                  <w:r>
                    <w:rPr>
                      <w:rFonts w:ascii="Times New Roman" w:hAnsi="Times New Roman"/>
                      <w:color w:val="auto"/>
                      <w:sz w:val="21"/>
                      <w:szCs w:val="21"/>
                    </w:rPr>
                    <w:t>危险废物暂存场所</w:t>
                  </w:r>
                </w:p>
              </w:tc>
              <w:tc>
                <w:tcPr>
                  <w:tcW w:w="1580" w:type="dxa"/>
                  <w:vAlign w:val="center"/>
                </w:tcPr>
                <w:p>
                  <w:pPr>
                    <w:pStyle w:val="13"/>
                    <w:tabs>
                      <w:tab w:val="left" w:pos="2830"/>
                    </w:tabs>
                    <w:jc w:val="center"/>
                    <w:rPr>
                      <w:rFonts w:ascii="Times New Roman" w:hAnsi="Times New Roman"/>
                      <w:snapToGrid w:val="0"/>
                      <w:color w:val="auto"/>
                      <w:sz w:val="21"/>
                      <w:szCs w:val="21"/>
                      <w:lang w:val="zh-CN"/>
                    </w:rPr>
                  </w:pPr>
                  <w:r>
                    <w:rPr>
                      <w:rFonts w:ascii="Times New Roman" w:hAnsi="Times New Roman"/>
                      <w:color w:val="auto"/>
                      <w:sz w:val="21"/>
                      <w:szCs w:val="21"/>
                    </w:rPr>
                    <w:t>危险废物等</w:t>
                  </w:r>
                </w:p>
              </w:tc>
              <w:tc>
                <w:tcPr>
                  <w:tcW w:w="1449" w:type="dxa"/>
                  <w:vAlign w:val="center"/>
                </w:tcPr>
                <w:p>
                  <w:pPr>
                    <w:pStyle w:val="13"/>
                    <w:tabs>
                      <w:tab w:val="left" w:pos="2830"/>
                    </w:tabs>
                    <w:jc w:val="center"/>
                    <w:rPr>
                      <w:rFonts w:ascii="Times New Roman" w:hAnsi="Times New Roman"/>
                      <w:snapToGrid w:val="0"/>
                      <w:color w:val="auto"/>
                      <w:sz w:val="21"/>
                      <w:szCs w:val="21"/>
                    </w:rPr>
                  </w:pPr>
                  <w:r>
                    <w:rPr>
                      <w:rFonts w:ascii="Times New Roman" w:hAnsi="Times New Roman"/>
                      <w:color w:val="auto"/>
                      <w:sz w:val="21"/>
                      <w:szCs w:val="21"/>
                    </w:rPr>
                    <w:t>泄漏、火灾</w:t>
                  </w:r>
                </w:p>
              </w:tc>
              <w:tc>
                <w:tcPr>
                  <w:tcW w:w="1546" w:type="dxa"/>
                  <w:vAlign w:val="center"/>
                </w:tcPr>
                <w:p>
                  <w:pPr>
                    <w:pStyle w:val="13"/>
                    <w:tabs>
                      <w:tab w:val="left" w:pos="2830"/>
                    </w:tabs>
                    <w:jc w:val="center"/>
                    <w:rPr>
                      <w:rFonts w:ascii="Times New Roman" w:hAnsi="Times New Roman"/>
                      <w:snapToGrid w:val="0"/>
                      <w:color w:val="auto"/>
                      <w:sz w:val="21"/>
                      <w:szCs w:val="21"/>
                    </w:rPr>
                  </w:pPr>
                  <w:r>
                    <w:rPr>
                      <w:rFonts w:ascii="Times New Roman" w:hAnsi="Times New Roman"/>
                      <w:color w:val="auto"/>
                      <w:sz w:val="21"/>
                      <w:szCs w:val="21"/>
                    </w:rPr>
                    <w:t>大气、地表水、土壤、地下水</w:t>
                  </w:r>
                </w:p>
              </w:tc>
              <w:tc>
                <w:tcPr>
                  <w:tcW w:w="2047" w:type="dxa"/>
                  <w:vAlign w:val="center"/>
                </w:tcPr>
                <w:p>
                  <w:pPr>
                    <w:pStyle w:val="13"/>
                    <w:tabs>
                      <w:tab w:val="left" w:pos="2830"/>
                    </w:tabs>
                    <w:jc w:val="center"/>
                    <w:rPr>
                      <w:rFonts w:ascii="Times New Roman" w:hAnsi="Times New Roman"/>
                      <w:snapToGrid w:val="0"/>
                      <w:color w:val="auto"/>
                      <w:sz w:val="21"/>
                      <w:szCs w:val="21"/>
                      <w:lang w:val="zh-CN"/>
                    </w:rPr>
                  </w:pPr>
                  <w:r>
                    <w:rPr>
                      <w:rFonts w:ascii="Times New Roman" w:hAnsi="Times New Roman"/>
                      <w:color w:val="auto"/>
                      <w:sz w:val="21"/>
                      <w:szCs w:val="21"/>
                    </w:rPr>
                    <w:t>居民区、土壤及地下水、附近水体等</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32" w:hRule="atLeast"/>
              </w:trPr>
              <w:tc>
                <w:tcPr>
                  <w:tcW w:w="500" w:type="dxa"/>
                  <w:vAlign w:val="center"/>
                </w:tcPr>
                <w:p>
                  <w:pPr>
                    <w:pStyle w:val="13"/>
                    <w:tabs>
                      <w:tab w:val="left" w:pos="2830"/>
                    </w:tabs>
                    <w:jc w:val="center"/>
                    <w:rPr>
                      <w:rFonts w:ascii="Times New Roman" w:hAnsi="Times New Roman"/>
                      <w:snapToGrid w:val="0"/>
                      <w:color w:val="auto"/>
                      <w:sz w:val="21"/>
                      <w:szCs w:val="21"/>
                    </w:rPr>
                  </w:pPr>
                  <w:r>
                    <w:rPr>
                      <w:rFonts w:ascii="Times New Roman" w:hAnsi="Times New Roman"/>
                      <w:color w:val="auto"/>
                      <w:sz w:val="21"/>
                      <w:szCs w:val="21"/>
                    </w:rPr>
                    <w:t>3</w:t>
                  </w:r>
                </w:p>
              </w:tc>
              <w:tc>
                <w:tcPr>
                  <w:tcW w:w="1246" w:type="dxa"/>
                  <w:vAlign w:val="center"/>
                </w:tcPr>
                <w:p>
                  <w:pPr>
                    <w:pStyle w:val="13"/>
                    <w:tabs>
                      <w:tab w:val="left" w:pos="2830"/>
                    </w:tabs>
                    <w:jc w:val="center"/>
                    <w:rPr>
                      <w:rFonts w:ascii="Times New Roman" w:hAnsi="Times New Roman"/>
                      <w:snapToGrid w:val="0"/>
                      <w:color w:val="auto"/>
                      <w:sz w:val="21"/>
                      <w:szCs w:val="21"/>
                      <w:lang w:val="zh-CN"/>
                    </w:rPr>
                  </w:pPr>
                  <w:r>
                    <w:rPr>
                      <w:rFonts w:ascii="Times New Roman" w:hAnsi="Times New Roman"/>
                      <w:color w:val="auto"/>
                      <w:sz w:val="21"/>
                      <w:szCs w:val="21"/>
                    </w:rPr>
                    <w:t>生产车间</w:t>
                  </w:r>
                </w:p>
              </w:tc>
              <w:tc>
                <w:tcPr>
                  <w:tcW w:w="1580" w:type="dxa"/>
                  <w:vAlign w:val="center"/>
                </w:tcPr>
                <w:p>
                  <w:pPr>
                    <w:pStyle w:val="13"/>
                    <w:tabs>
                      <w:tab w:val="left" w:pos="2830"/>
                    </w:tabs>
                    <w:jc w:val="center"/>
                    <w:rPr>
                      <w:rFonts w:ascii="Times New Roman" w:hAnsi="Times New Roman"/>
                      <w:snapToGrid w:val="0"/>
                      <w:color w:val="auto"/>
                      <w:sz w:val="21"/>
                      <w:szCs w:val="21"/>
                      <w:lang w:val="zh-CN"/>
                    </w:rPr>
                  </w:pPr>
                  <w:r>
                    <w:rPr>
                      <w:rFonts w:ascii="Times New Roman" w:hAnsi="Times New Roman"/>
                      <w:color w:val="auto"/>
                      <w:sz w:val="21"/>
                      <w:szCs w:val="21"/>
                    </w:rPr>
                    <w:t>润滑油等</w:t>
                  </w:r>
                </w:p>
              </w:tc>
              <w:tc>
                <w:tcPr>
                  <w:tcW w:w="1449" w:type="dxa"/>
                  <w:vAlign w:val="center"/>
                </w:tcPr>
                <w:p>
                  <w:pPr>
                    <w:pStyle w:val="13"/>
                    <w:tabs>
                      <w:tab w:val="left" w:pos="2830"/>
                    </w:tabs>
                    <w:jc w:val="center"/>
                    <w:rPr>
                      <w:rFonts w:ascii="Times New Roman" w:hAnsi="Times New Roman"/>
                      <w:snapToGrid w:val="0"/>
                      <w:color w:val="auto"/>
                      <w:sz w:val="21"/>
                      <w:szCs w:val="21"/>
                    </w:rPr>
                  </w:pPr>
                  <w:r>
                    <w:rPr>
                      <w:rFonts w:ascii="Times New Roman" w:hAnsi="Times New Roman"/>
                      <w:color w:val="auto"/>
                      <w:sz w:val="21"/>
                      <w:szCs w:val="21"/>
                    </w:rPr>
                    <w:t>火灾、泄漏</w:t>
                  </w:r>
                </w:p>
              </w:tc>
              <w:tc>
                <w:tcPr>
                  <w:tcW w:w="1546" w:type="dxa"/>
                  <w:vAlign w:val="center"/>
                </w:tcPr>
                <w:p>
                  <w:pPr>
                    <w:pStyle w:val="13"/>
                    <w:tabs>
                      <w:tab w:val="left" w:pos="2830"/>
                    </w:tabs>
                    <w:jc w:val="center"/>
                    <w:rPr>
                      <w:rFonts w:ascii="Times New Roman" w:hAnsi="Times New Roman"/>
                      <w:snapToGrid w:val="0"/>
                      <w:color w:val="auto"/>
                      <w:sz w:val="21"/>
                      <w:szCs w:val="21"/>
                    </w:rPr>
                  </w:pPr>
                  <w:r>
                    <w:rPr>
                      <w:rFonts w:ascii="Times New Roman" w:hAnsi="Times New Roman"/>
                      <w:color w:val="auto"/>
                      <w:sz w:val="21"/>
                      <w:szCs w:val="21"/>
                    </w:rPr>
                    <w:t>大气、地表水、土壤、地下水</w:t>
                  </w:r>
                </w:p>
              </w:tc>
              <w:tc>
                <w:tcPr>
                  <w:tcW w:w="2047" w:type="dxa"/>
                  <w:vAlign w:val="center"/>
                </w:tcPr>
                <w:p>
                  <w:pPr>
                    <w:pStyle w:val="13"/>
                    <w:tabs>
                      <w:tab w:val="left" w:pos="2830"/>
                    </w:tabs>
                    <w:jc w:val="center"/>
                    <w:rPr>
                      <w:rFonts w:ascii="Times New Roman" w:hAnsi="Times New Roman"/>
                      <w:snapToGrid w:val="0"/>
                      <w:color w:val="auto"/>
                      <w:sz w:val="21"/>
                      <w:szCs w:val="21"/>
                      <w:lang w:val="zh-CN"/>
                    </w:rPr>
                  </w:pPr>
                  <w:r>
                    <w:rPr>
                      <w:rFonts w:ascii="Times New Roman" w:hAnsi="Times New Roman"/>
                      <w:color w:val="auto"/>
                      <w:sz w:val="21"/>
                      <w:szCs w:val="21"/>
                    </w:rPr>
                    <w:t>居民区、土壤及地下水、附近水体</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32" w:hRule="atLeast"/>
              </w:trPr>
              <w:tc>
                <w:tcPr>
                  <w:tcW w:w="500" w:type="dxa"/>
                  <w:vAlign w:val="center"/>
                </w:tcPr>
                <w:p>
                  <w:pPr>
                    <w:pStyle w:val="13"/>
                    <w:tabs>
                      <w:tab w:val="left" w:pos="2830"/>
                    </w:tabs>
                    <w:jc w:val="center"/>
                    <w:rPr>
                      <w:rFonts w:ascii="Times New Roman" w:hAnsi="Times New Roman"/>
                      <w:snapToGrid w:val="0"/>
                      <w:color w:val="auto"/>
                      <w:sz w:val="21"/>
                      <w:szCs w:val="21"/>
                    </w:rPr>
                  </w:pPr>
                  <w:r>
                    <w:rPr>
                      <w:rFonts w:ascii="Times New Roman" w:hAnsi="Times New Roman"/>
                      <w:color w:val="auto"/>
                      <w:sz w:val="21"/>
                      <w:szCs w:val="21"/>
                    </w:rPr>
                    <w:t>4</w:t>
                  </w:r>
                </w:p>
              </w:tc>
              <w:tc>
                <w:tcPr>
                  <w:tcW w:w="1246" w:type="dxa"/>
                  <w:vAlign w:val="center"/>
                </w:tcPr>
                <w:p>
                  <w:pPr>
                    <w:pStyle w:val="13"/>
                    <w:tabs>
                      <w:tab w:val="left" w:pos="2830"/>
                    </w:tabs>
                    <w:jc w:val="center"/>
                    <w:rPr>
                      <w:rFonts w:ascii="Times New Roman" w:hAnsi="Times New Roman"/>
                      <w:snapToGrid w:val="0"/>
                      <w:color w:val="auto"/>
                      <w:sz w:val="21"/>
                      <w:szCs w:val="21"/>
                      <w:lang w:val="zh-CN"/>
                    </w:rPr>
                  </w:pPr>
                  <w:r>
                    <w:rPr>
                      <w:rFonts w:ascii="Times New Roman" w:hAnsi="Times New Roman"/>
                      <w:color w:val="auto"/>
                      <w:sz w:val="21"/>
                      <w:szCs w:val="21"/>
                    </w:rPr>
                    <w:t>废气处理装置</w:t>
                  </w:r>
                </w:p>
              </w:tc>
              <w:tc>
                <w:tcPr>
                  <w:tcW w:w="1580" w:type="dxa"/>
                  <w:vAlign w:val="center"/>
                </w:tcPr>
                <w:p>
                  <w:pPr>
                    <w:pStyle w:val="13"/>
                    <w:tabs>
                      <w:tab w:val="left" w:pos="2830"/>
                    </w:tabs>
                    <w:jc w:val="center"/>
                    <w:rPr>
                      <w:rFonts w:ascii="Times New Roman" w:hAnsi="Times New Roman"/>
                      <w:snapToGrid w:val="0"/>
                      <w:color w:val="auto"/>
                      <w:sz w:val="21"/>
                      <w:szCs w:val="21"/>
                      <w:lang w:val="zh-CN"/>
                    </w:rPr>
                  </w:pPr>
                  <w:r>
                    <w:rPr>
                      <w:rFonts w:ascii="Times New Roman" w:hAnsi="Times New Roman"/>
                      <w:color w:val="auto"/>
                      <w:sz w:val="21"/>
                      <w:szCs w:val="21"/>
                    </w:rPr>
                    <w:t>非甲烷总烃</w:t>
                  </w:r>
                </w:p>
              </w:tc>
              <w:tc>
                <w:tcPr>
                  <w:tcW w:w="1449" w:type="dxa"/>
                  <w:vAlign w:val="center"/>
                </w:tcPr>
                <w:p>
                  <w:pPr>
                    <w:pStyle w:val="13"/>
                    <w:tabs>
                      <w:tab w:val="left" w:pos="2830"/>
                    </w:tabs>
                    <w:jc w:val="center"/>
                    <w:rPr>
                      <w:rFonts w:ascii="Times New Roman" w:hAnsi="Times New Roman"/>
                      <w:color w:val="auto"/>
                      <w:sz w:val="21"/>
                      <w:szCs w:val="21"/>
                      <w:lang w:bidi="ar"/>
                    </w:rPr>
                  </w:pPr>
                  <w:r>
                    <w:rPr>
                      <w:rFonts w:ascii="Times New Roman" w:hAnsi="Times New Roman"/>
                      <w:color w:val="auto"/>
                      <w:sz w:val="21"/>
                      <w:szCs w:val="21"/>
                    </w:rPr>
                    <w:t>火灾、超标排放</w:t>
                  </w:r>
                </w:p>
              </w:tc>
              <w:tc>
                <w:tcPr>
                  <w:tcW w:w="1546" w:type="dxa"/>
                  <w:vAlign w:val="center"/>
                </w:tcPr>
                <w:p>
                  <w:pPr>
                    <w:pStyle w:val="13"/>
                    <w:tabs>
                      <w:tab w:val="left" w:pos="2830"/>
                    </w:tabs>
                    <w:jc w:val="center"/>
                    <w:rPr>
                      <w:rFonts w:ascii="Times New Roman" w:hAnsi="Times New Roman"/>
                      <w:snapToGrid w:val="0"/>
                      <w:color w:val="auto"/>
                      <w:sz w:val="21"/>
                      <w:szCs w:val="21"/>
                    </w:rPr>
                  </w:pPr>
                  <w:r>
                    <w:rPr>
                      <w:rFonts w:ascii="Times New Roman" w:hAnsi="Times New Roman"/>
                      <w:color w:val="auto"/>
                      <w:sz w:val="21"/>
                      <w:szCs w:val="21"/>
                    </w:rPr>
                    <w:t>大气、地表水、土壤、地下水</w:t>
                  </w:r>
                </w:p>
              </w:tc>
              <w:tc>
                <w:tcPr>
                  <w:tcW w:w="2047" w:type="dxa"/>
                  <w:vAlign w:val="center"/>
                </w:tcPr>
                <w:p>
                  <w:pPr>
                    <w:pStyle w:val="13"/>
                    <w:tabs>
                      <w:tab w:val="left" w:pos="2830"/>
                    </w:tabs>
                    <w:jc w:val="center"/>
                    <w:rPr>
                      <w:rFonts w:ascii="Times New Roman" w:hAnsi="Times New Roman"/>
                      <w:color w:val="auto"/>
                      <w:sz w:val="21"/>
                      <w:szCs w:val="21"/>
                      <w:lang w:bidi="ar"/>
                    </w:rPr>
                  </w:pPr>
                  <w:r>
                    <w:rPr>
                      <w:rFonts w:ascii="Times New Roman" w:hAnsi="Times New Roman"/>
                      <w:color w:val="auto"/>
                      <w:sz w:val="21"/>
                      <w:szCs w:val="21"/>
                    </w:rPr>
                    <w:t>居民区、土壤及地下水、附近水体</w:t>
                  </w:r>
                </w:p>
              </w:tc>
            </w:tr>
          </w:tbl>
          <w:p>
            <w:pPr>
              <w:wordWrap w:val="0"/>
              <w:adjustRightInd w:val="0"/>
              <w:snapToGrid w:val="0"/>
              <w:spacing w:line="360" w:lineRule="auto"/>
              <w:ind w:firstLine="482" w:firstLineChars="200"/>
              <w:rPr>
                <w:b/>
                <w:bCs/>
                <w:color w:val="auto"/>
                <w:sz w:val="24"/>
              </w:rPr>
            </w:pPr>
            <w:r>
              <w:rPr>
                <w:b/>
                <w:bCs/>
                <w:color w:val="auto"/>
                <w:sz w:val="24"/>
              </w:rPr>
              <w:t>7.3环境风险防范措施</w:t>
            </w:r>
          </w:p>
          <w:p>
            <w:pPr>
              <w:wordWrap w:val="0"/>
              <w:snapToGrid w:val="0"/>
              <w:spacing w:line="360" w:lineRule="auto"/>
              <w:ind w:firstLine="480" w:firstLineChars="200"/>
              <w:rPr>
                <w:color w:val="auto"/>
                <w:sz w:val="24"/>
              </w:rPr>
            </w:pPr>
            <w:r>
              <w:rPr>
                <w:color w:val="auto"/>
                <w:sz w:val="24"/>
              </w:rPr>
              <w:t xml:space="preserve">1、泄漏 </w:t>
            </w:r>
          </w:p>
          <w:p>
            <w:pPr>
              <w:wordWrap w:val="0"/>
              <w:snapToGrid w:val="0"/>
              <w:spacing w:line="360" w:lineRule="auto"/>
              <w:ind w:firstLine="480" w:firstLineChars="200"/>
              <w:rPr>
                <w:color w:val="auto"/>
                <w:sz w:val="24"/>
              </w:rPr>
            </w:pPr>
            <w:r>
              <w:rPr>
                <w:color w:val="auto"/>
                <w:sz w:val="24"/>
              </w:rPr>
              <w:t>危险废物贮存场所设置导流沟及收集槽收集泄漏物料，配备消防沙覆盖泄漏物减少蒸发，配备无火花收容工具收纳泄漏物料。危险废物运输过程中注意不同类别的危险废物单独运输，固废的包装容器注意密闭，以免在运输途中发生危险废物的泄漏，从而产生二次污染。</w:t>
            </w:r>
          </w:p>
          <w:p>
            <w:pPr>
              <w:wordWrap w:val="0"/>
              <w:snapToGrid w:val="0"/>
              <w:spacing w:line="360" w:lineRule="auto"/>
              <w:ind w:firstLine="480" w:firstLineChars="200"/>
              <w:rPr>
                <w:color w:val="auto"/>
                <w:sz w:val="24"/>
              </w:rPr>
            </w:pPr>
            <w:r>
              <w:rPr>
                <w:color w:val="auto"/>
                <w:sz w:val="24"/>
              </w:rPr>
              <w:t xml:space="preserve">2、火灾 </w:t>
            </w:r>
          </w:p>
          <w:p>
            <w:pPr>
              <w:wordWrap w:val="0"/>
              <w:snapToGrid w:val="0"/>
              <w:spacing w:line="360" w:lineRule="auto"/>
              <w:ind w:firstLine="480" w:firstLineChars="200"/>
              <w:rPr>
                <w:color w:val="auto"/>
                <w:sz w:val="24"/>
              </w:rPr>
            </w:pPr>
            <w:r>
              <w:rPr>
                <w:color w:val="auto"/>
                <w:sz w:val="24"/>
              </w:rPr>
              <w:t>各区域按规范设置灭火器、消防设施并定期检查维护。发生火灾事故险情时，第一发现人应立即报告主管，根据事故险情和扑救具体情况采取适当措施，如需外援应立即拨打火警119告知火灾危险严重程度。</w:t>
            </w:r>
          </w:p>
          <w:p>
            <w:pPr>
              <w:numPr>
                <w:ilvl w:val="0"/>
                <w:numId w:val="6"/>
              </w:numPr>
              <w:wordWrap w:val="0"/>
              <w:snapToGrid w:val="0"/>
              <w:spacing w:line="360" w:lineRule="auto"/>
              <w:ind w:firstLine="480" w:firstLineChars="200"/>
              <w:rPr>
                <w:color w:val="auto"/>
                <w:sz w:val="24"/>
              </w:rPr>
            </w:pPr>
            <w:r>
              <w:rPr>
                <w:color w:val="auto"/>
                <w:sz w:val="24"/>
              </w:rPr>
              <w:t>固废（危废）事故风险防范措施</w:t>
            </w:r>
          </w:p>
          <w:p>
            <w:pPr>
              <w:numPr>
                <w:ilvl w:val="255"/>
                <w:numId w:val="0"/>
              </w:numPr>
              <w:wordWrap w:val="0"/>
              <w:adjustRightInd w:val="0"/>
              <w:snapToGrid w:val="0"/>
              <w:spacing w:line="360" w:lineRule="auto"/>
              <w:ind w:firstLine="480" w:firstLineChars="200"/>
              <w:rPr>
                <w:color w:val="auto"/>
                <w:sz w:val="24"/>
              </w:rPr>
            </w:pPr>
            <w:r>
              <w:rPr>
                <w:color w:val="auto"/>
                <w:sz w:val="24"/>
              </w:rPr>
              <w:t xml:space="preserve">厂内各种固废分类收集，盛放，临时存放室内固定场所，不被雨淋、风吹、专车运送，所有固废都得到合适的处置或综合利用，危险废物委托有资质的单位处置，生活垃圾由环卫部门统一收集处理，固废实现“零排放”。为避免危险废物对环境的危害，建议采用以下措施： </w:t>
            </w:r>
          </w:p>
          <w:p>
            <w:pPr>
              <w:wordWrap w:val="0"/>
              <w:snapToGrid w:val="0"/>
              <w:spacing w:line="360" w:lineRule="auto"/>
              <w:ind w:firstLine="480" w:firstLineChars="200"/>
              <w:rPr>
                <w:color w:val="auto"/>
                <w:sz w:val="24"/>
              </w:rPr>
            </w:pPr>
            <w:r>
              <w:rPr>
                <w:color w:val="auto"/>
                <w:sz w:val="24"/>
              </w:rPr>
              <w:t xml:space="preserve">①在收集过程中要根据各种危险废物的性质进行分类、分别收集和临时贮 </w:t>
            </w:r>
          </w:p>
          <w:p>
            <w:pPr>
              <w:wordWrap w:val="0"/>
              <w:snapToGrid w:val="0"/>
              <w:spacing w:line="360" w:lineRule="auto"/>
              <w:rPr>
                <w:color w:val="auto"/>
                <w:sz w:val="24"/>
              </w:rPr>
            </w:pPr>
            <w:r>
              <w:rPr>
                <w:color w:val="auto"/>
                <w:sz w:val="24"/>
              </w:rPr>
              <w:t xml:space="preserve">存。 </w:t>
            </w:r>
          </w:p>
          <w:p>
            <w:pPr>
              <w:wordWrap w:val="0"/>
              <w:snapToGrid w:val="0"/>
              <w:spacing w:line="360" w:lineRule="auto"/>
              <w:ind w:firstLine="480" w:firstLineChars="200"/>
              <w:rPr>
                <w:color w:val="auto"/>
                <w:sz w:val="24"/>
              </w:rPr>
            </w:pPr>
            <w:r>
              <w:rPr>
                <w:color w:val="auto"/>
                <w:sz w:val="24"/>
              </w:rPr>
              <w:t>②厂内应设置专门的废物暂存场所、以便贮存不能及时送出处理的固废，避免在露天堆放中产生的泄漏、渗透、蒸发、雨水淋溶以及大风吹扬等产生二次污染；各种危险废物要有单独的贮存空间，并贴上标签；装载液体、半固体危险废物的容器顶与液面间需要保留100mm以上的空间，容器及容器的材质要满足相应强度要求，并必须完整无损。</w:t>
            </w:r>
          </w:p>
          <w:p>
            <w:pPr>
              <w:wordWrap w:val="0"/>
              <w:snapToGrid w:val="0"/>
              <w:spacing w:line="360" w:lineRule="auto"/>
              <w:ind w:firstLine="480" w:firstLineChars="200"/>
              <w:rPr>
                <w:color w:val="auto"/>
                <w:sz w:val="24"/>
              </w:rPr>
            </w:pPr>
            <w:r>
              <w:rPr>
                <w:color w:val="auto"/>
                <w:sz w:val="24"/>
              </w:rPr>
              <w:t>③运输过程中要注意不同的危险废物要单独运输，固废的包装容器要注意密闭，以免在运输途中发生危险废物的泄漏，从而产生二次污染。</w:t>
            </w:r>
          </w:p>
          <w:p>
            <w:pPr>
              <w:wordWrap w:val="0"/>
              <w:snapToGrid w:val="0"/>
              <w:spacing w:line="360" w:lineRule="auto"/>
              <w:ind w:firstLine="480" w:firstLineChars="200"/>
              <w:rPr>
                <w:color w:val="auto"/>
                <w:sz w:val="24"/>
              </w:rPr>
            </w:pPr>
            <w:r>
              <w:rPr>
                <w:color w:val="auto"/>
                <w:sz w:val="24"/>
              </w:rPr>
              <w:t xml:space="preserve">4、废气风险防范措施 </w:t>
            </w:r>
          </w:p>
          <w:p>
            <w:pPr>
              <w:wordWrap w:val="0"/>
              <w:snapToGrid w:val="0"/>
              <w:spacing w:line="360" w:lineRule="auto"/>
              <w:ind w:firstLine="480" w:firstLineChars="200"/>
              <w:rPr>
                <w:color w:val="auto"/>
                <w:sz w:val="24"/>
              </w:rPr>
            </w:pPr>
            <w:r>
              <w:rPr>
                <w:color w:val="auto"/>
                <w:sz w:val="24"/>
              </w:rPr>
              <w:t>①平时加强废气处理设施的维护保养，定期检查废气处理装置，及时发现处理设备的隐患，并及时进行维修，确保废气处理系统正常运行；</w:t>
            </w:r>
          </w:p>
          <w:p>
            <w:pPr>
              <w:wordWrap w:val="0"/>
              <w:snapToGrid w:val="0"/>
              <w:spacing w:line="360" w:lineRule="auto"/>
              <w:ind w:firstLine="480" w:firstLineChars="200"/>
              <w:rPr>
                <w:color w:val="auto"/>
                <w:sz w:val="24"/>
              </w:rPr>
            </w:pPr>
            <w:r>
              <w:rPr>
                <w:color w:val="auto"/>
                <w:sz w:val="24"/>
              </w:rPr>
              <w:t xml:space="preserve">②建立健全的环保机构，对管理人员和技术人员进行岗位培训，对废气处理实行全过程跟踪控制。 </w:t>
            </w:r>
          </w:p>
          <w:p>
            <w:pPr>
              <w:wordWrap w:val="0"/>
              <w:snapToGrid w:val="0"/>
              <w:spacing w:line="360" w:lineRule="auto"/>
              <w:ind w:firstLine="480" w:firstLineChars="200"/>
              <w:rPr>
                <w:color w:val="auto"/>
                <w:sz w:val="24"/>
              </w:rPr>
            </w:pPr>
            <w:r>
              <w:rPr>
                <w:color w:val="auto"/>
                <w:sz w:val="24"/>
              </w:rPr>
              <w:t>③活性炭在吸附有机废气时为放热反应，当热量不能及时散发，可能引起活性炭及其吸附的有机物发生火灾事故。本次评价要求企业严格按照国家设计规范进行设计，满足吸附风速等设计参数要求，并设置防火阀等安全措施。</w:t>
            </w:r>
          </w:p>
          <w:p>
            <w:pPr>
              <w:wordWrap w:val="0"/>
              <w:snapToGrid w:val="0"/>
              <w:spacing w:line="360" w:lineRule="auto"/>
              <w:ind w:firstLine="480" w:firstLineChars="200"/>
              <w:rPr>
                <w:color w:val="auto"/>
                <w:sz w:val="24"/>
              </w:rPr>
            </w:pPr>
            <w:r>
              <w:rPr>
                <w:color w:val="auto"/>
                <w:sz w:val="24"/>
              </w:rPr>
              <w:t xml:space="preserve">5、环境应急要求 </w:t>
            </w:r>
          </w:p>
          <w:p>
            <w:pPr>
              <w:wordWrap w:val="0"/>
              <w:snapToGrid w:val="0"/>
              <w:spacing w:line="360" w:lineRule="auto"/>
              <w:ind w:firstLine="480" w:firstLineChars="200"/>
              <w:rPr>
                <w:color w:val="auto"/>
                <w:sz w:val="24"/>
              </w:rPr>
            </w:pPr>
            <w:r>
              <w:rPr>
                <w:color w:val="auto"/>
                <w:sz w:val="24"/>
              </w:rPr>
              <w:t>企业应配备满足突发环境事件应急要求的应急人员、设施、应急照明系统， 制定突发环境应急处置的操作流程或预案，定期开展必要的培训和环境应急演练，并做好培训、演练记录。</w:t>
            </w:r>
          </w:p>
          <w:p>
            <w:pPr>
              <w:wordWrap w:val="0"/>
              <w:snapToGrid w:val="0"/>
              <w:spacing w:line="360" w:lineRule="auto"/>
              <w:ind w:firstLine="480" w:firstLineChars="200"/>
              <w:rPr>
                <w:color w:val="auto"/>
                <w:sz w:val="24"/>
              </w:rPr>
            </w:pPr>
            <w:r>
              <w:rPr>
                <w:color w:val="auto"/>
                <w:sz w:val="24"/>
              </w:rPr>
              <w:t>6、事故应急池核算</w:t>
            </w:r>
          </w:p>
          <w:p>
            <w:pPr>
              <w:spacing w:line="360" w:lineRule="auto"/>
              <w:ind w:firstLine="480" w:firstLineChars="200"/>
              <w:jc w:val="left"/>
              <w:rPr>
                <w:b/>
                <w:color w:val="auto"/>
                <w:sz w:val="24"/>
              </w:rPr>
            </w:pPr>
            <w:r>
              <w:rPr>
                <w:color w:val="auto"/>
                <w:sz w:val="24"/>
              </w:rPr>
              <w:t>因本项目事故情况下消防水外泄，将很容易渗入地下，造成地下水体污染；因此应对厂区地面进行硬化，并在四周设置防护围堤及导流系统等措施，以防止事故情况下排污、排水造成的泄漏，从而通过地表下渗至地下，对地下水造成污染。根据《事故状态下水体污染的预防与控制</w:t>
            </w:r>
            <w:r>
              <w:rPr>
                <w:rFonts w:hint="eastAsia"/>
                <w:color w:val="auto"/>
                <w:sz w:val="24"/>
                <w:lang w:eastAsia="zh-CN"/>
              </w:rPr>
              <w:t>规范</w:t>
            </w:r>
            <w:r>
              <w:rPr>
                <w:color w:val="auto"/>
                <w:sz w:val="24"/>
              </w:rPr>
              <w:t>》（Q/SY</w:t>
            </w:r>
            <w:r>
              <w:rPr>
                <w:rFonts w:hint="eastAsia"/>
                <w:color w:val="auto"/>
                <w:sz w:val="24"/>
                <w:lang w:val="en-US" w:eastAsia="zh-CN"/>
              </w:rPr>
              <w:t>08190</w:t>
            </w:r>
            <w:r>
              <w:rPr>
                <w:color w:val="auto"/>
                <w:sz w:val="24"/>
              </w:rPr>
              <w:t>-201</w:t>
            </w:r>
            <w:r>
              <w:rPr>
                <w:rFonts w:hint="eastAsia"/>
                <w:color w:val="auto"/>
                <w:sz w:val="24"/>
                <w:lang w:val="en-US" w:eastAsia="zh-CN"/>
              </w:rPr>
              <w:t>9</w:t>
            </w:r>
            <w:r>
              <w:rPr>
                <w:color w:val="auto"/>
                <w:sz w:val="24"/>
              </w:rPr>
              <w:t>）,发生火灾事故后产生的污水量和严重爆炸、火灾事故后产生的污水量，明确规定了应急事故池容积的计算方法，计算公式如下：</w:t>
            </w:r>
          </w:p>
          <w:p>
            <w:pPr>
              <w:spacing w:line="360" w:lineRule="auto"/>
              <w:ind w:firstLine="480" w:firstLineChars="200"/>
              <w:jc w:val="left"/>
              <w:rPr>
                <w:color w:val="auto"/>
                <w:sz w:val="24"/>
              </w:rPr>
            </w:pPr>
            <w:r>
              <w:rPr>
                <w:color w:val="auto"/>
                <w:sz w:val="24"/>
              </w:rPr>
              <w:t>V总＝（V1＋V2-V3）max＋V4＋V5</w:t>
            </w:r>
          </w:p>
          <w:p>
            <w:pPr>
              <w:spacing w:line="360" w:lineRule="auto"/>
              <w:ind w:firstLine="480" w:firstLineChars="200"/>
              <w:jc w:val="left"/>
              <w:rPr>
                <w:color w:val="auto"/>
                <w:sz w:val="24"/>
              </w:rPr>
            </w:pPr>
            <w:r>
              <w:rPr>
                <w:color w:val="auto"/>
                <w:sz w:val="24"/>
              </w:rPr>
              <w:t>式中：</w:t>
            </w:r>
          </w:p>
          <w:p>
            <w:pPr>
              <w:spacing w:line="360" w:lineRule="auto"/>
              <w:ind w:firstLine="480" w:firstLineChars="200"/>
              <w:jc w:val="left"/>
              <w:rPr>
                <w:color w:val="auto"/>
                <w:sz w:val="24"/>
              </w:rPr>
            </w:pPr>
            <w:r>
              <w:rPr>
                <w:color w:val="auto"/>
                <w:sz w:val="24"/>
              </w:rPr>
              <w:t>式中：（V1＋V2-V3）max——指对收集系统范围内不同罐组或装置分别计算V1＋V2-V3，取其中最大值；</w:t>
            </w:r>
          </w:p>
          <w:p>
            <w:pPr>
              <w:spacing w:line="360" w:lineRule="auto"/>
              <w:ind w:firstLine="480" w:firstLineChars="200"/>
              <w:jc w:val="left"/>
              <w:rPr>
                <w:color w:val="auto"/>
                <w:sz w:val="24"/>
              </w:rPr>
            </w:pPr>
            <w:r>
              <w:rPr>
                <w:color w:val="auto"/>
                <w:sz w:val="24"/>
              </w:rPr>
              <w:t>V1——收集系统范围内发生事故的一个罐组或一套装置的物料量，本项目V1=1（取一桶漆物料量）。</w:t>
            </w:r>
          </w:p>
          <w:p>
            <w:pPr>
              <w:spacing w:line="360" w:lineRule="auto"/>
              <w:ind w:firstLine="480" w:firstLineChars="200"/>
              <w:jc w:val="left"/>
              <w:rPr>
                <w:color w:val="auto"/>
                <w:sz w:val="24"/>
              </w:rPr>
            </w:pPr>
            <w:r>
              <w:rPr>
                <w:color w:val="auto"/>
                <w:sz w:val="24"/>
              </w:rPr>
              <w:t>V2——发生事故的储罐、装置或铁路、汽车装卸区的消防水量，m</w:t>
            </w:r>
            <w:r>
              <w:rPr>
                <w:color w:val="auto"/>
                <w:sz w:val="24"/>
                <w:vertAlign w:val="superscript"/>
              </w:rPr>
              <w:t>3</w:t>
            </w:r>
            <w:r>
              <w:rPr>
                <w:color w:val="auto"/>
                <w:sz w:val="24"/>
              </w:rPr>
              <w:t>；发生事故时的消防水量，m</w:t>
            </w:r>
            <w:r>
              <w:rPr>
                <w:color w:val="auto"/>
                <w:sz w:val="24"/>
                <w:vertAlign w:val="superscript"/>
              </w:rPr>
              <w:t>3</w:t>
            </w:r>
            <w:r>
              <w:rPr>
                <w:color w:val="auto"/>
                <w:sz w:val="24"/>
              </w:rPr>
              <w:t>；V2=∑Q</w:t>
            </w:r>
            <w:r>
              <w:rPr>
                <w:color w:val="auto"/>
                <w:sz w:val="24"/>
                <w:vertAlign w:val="subscript"/>
              </w:rPr>
              <w:t>消</w:t>
            </w:r>
            <w:r>
              <w:rPr>
                <w:color w:val="auto"/>
                <w:sz w:val="24"/>
              </w:rPr>
              <w:t>×t</w:t>
            </w:r>
            <w:r>
              <w:rPr>
                <w:color w:val="auto"/>
                <w:sz w:val="24"/>
                <w:vertAlign w:val="subscript"/>
              </w:rPr>
              <w:t>消</w:t>
            </w:r>
          </w:p>
          <w:p>
            <w:pPr>
              <w:spacing w:line="360" w:lineRule="auto"/>
              <w:ind w:firstLine="480" w:firstLineChars="200"/>
              <w:jc w:val="left"/>
              <w:rPr>
                <w:color w:val="auto"/>
                <w:sz w:val="24"/>
              </w:rPr>
            </w:pPr>
            <w:r>
              <w:rPr>
                <w:color w:val="auto"/>
                <w:sz w:val="24"/>
              </w:rPr>
              <w:t>式中：Q</w:t>
            </w:r>
            <w:r>
              <w:rPr>
                <w:color w:val="auto"/>
                <w:sz w:val="24"/>
                <w:vertAlign w:val="subscript"/>
              </w:rPr>
              <w:t>消</w:t>
            </w:r>
            <w:r>
              <w:rPr>
                <w:color w:val="auto"/>
                <w:sz w:val="24"/>
              </w:rPr>
              <w:t>——发生事故的储罐或装置同时使用的消防设施给水流量，m</w:t>
            </w:r>
            <w:r>
              <w:rPr>
                <w:color w:val="auto"/>
                <w:sz w:val="24"/>
                <w:vertAlign w:val="superscript"/>
              </w:rPr>
              <w:t>3</w:t>
            </w:r>
            <w:r>
              <w:rPr>
                <w:color w:val="auto"/>
                <w:sz w:val="24"/>
              </w:rPr>
              <w:t>/h；</w:t>
            </w:r>
          </w:p>
          <w:p>
            <w:pPr>
              <w:spacing w:line="360" w:lineRule="auto"/>
              <w:ind w:firstLine="480" w:firstLineChars="200"/>
              <w:jc w:val="left"/>
              <w:rPr>
                <w:color w:val="auto"/>
                <w:sz w:val="24"/>
              </w:rPr>
            </w:pPr>
            <w:r>
              <w:rPr>
                <w:color w:val="auto"/>
                <w:sz w:val="24"/>
              </w:rPr>
              <w:t>t</w:t>
            </w:r>
            <w:r>
              <w:rPr>
                <w:color w:val="auto"/>
                <w:sz w:val="24"/>
                <w:vertAlign w:val="subscript"/>
              </w:rPr>
              <w:t>消</w:t>
            </w:r>
            <w:r>
              <w:rPr>
                <w:color w:val="auto"/>
                <w:sz w:val="24"/>
              </w:rPr>
              <w:t>——消防设施对应的设计消防历时，h。</w:t>
            </w:r>
          </w:p>
          <w:p>
            <w:pPr>
              <w:spacing w:line="360" w:lineRule="auto"/>
              <w:ind w:firstLine="480" w:firstLineChars="200"/>
              <w:jc w:val="left"/>
              <w:rPr>
                <w:b/>
                <w:color w:val="auto"/>
                <w:sz w:val="24"/>
              </w:rPr>
            </w:pPr>
            <w:r>
              <w:rPr>
                <w:color w:val="auto"/>
                <w:sz w:val="24"/>
              </w:rPr>
              <w:t>根据《GB 50974-2014消防给水及消火栓系统技术规范》，同时间火灾的火灾次数为1次，消防用水量为10L/s，火灾延续时间为2h，即消防用水量为72m</w:t>
            </w:r>
            <w:r>
              <w:rPr>
                <w:color w:val="auto"/>
                <w:sz w:val="24"/>
                <w:vertAlign w:val="superscript"/>
              </w:rPr>
              <w:t>3</w:t>
            </w:r>
            <w:r>
              <w:rPr>
                <w:color w:val="auto"/>
                <w:sz w:val="24"/>
              </w:rPr>
              <w:t>。</w:t>
            </w:r>
          </w:p>
          <w:p>
            <w:pPr>
              <w:spacing w:line="360" w:lineRule="auto"/>
              <w:ind w:firstLine="480" w:firstLineChars="200"/>
              <w:jc w:val="left"/>
              <w:rPr>
                <w:color w:val="auto"/>
                <w:sz w:val="24"/>
              </w:rPr>
            </w:pPr>
            <w:r>
              <w:rPr>
                <w:color w:val="auto"/>
                <w:sz w:val="24"/>
              </w:rPr>
              <w:t>V3——发生事故时可以转输到其他储存或处理设施的物料量，m</w:t>
            </w:r>
            <w:r>
              <w:rPr>
                <w:color w:val="auto"/>
                <w:sz w:val="24"/>
                <w:vertAlign w:val="superscript"/>
              </w:rPr>
              <w:t>3</w:t>
            </w:r>
            <w:r>
              <w:rPr>
                <w:color w:val="auto"/>
                <w:sz w:val="24"/>
              </w:rPr>
              <w:t>，本项目V3=0。</w:t>
            </w:r>
          </w:p>
          <w:p>
            <w:pPr>
              <w:spacing w:line="360" w:lineRule="auto"/>
              <w:ind w:firstLine="480" w:firstLineChars="200"/>
              <w:jc w:val="left"/>
              <w:rPr>
                <w:color w:val="auto"/>
                <w:sz w:val="24"/>
              </w:rPr>
            </w:pPr>
            <w:r>
              <w:rPr>
                <w:color w:val="auto"/>
                <w:sz w:val="24"/>
              </w:rPr>
              <w:t>V4——发生事故时仍必须进入该收集系统的生产废水量，m</w:t>
            </w:r>
            <w:r>
              <w:rPr>
                <w:color w:val="auto"/>
                <w:sz w:val="24"/>
                <w:vertAlign w:val="superscript"/>
              </w:rPr>
              <w:t>3</w:t>
            </w:r>
            <w:r>
              <w:rPr>
                <w:color w:val="auto"/>
                <w:sz w:val="24"/>
              </w:rPr>
              <w:t>，本项目不产生废水，发生事故时生产废水可进入污水处理站，因此本项目V4=0。</w:t>
            </w:r>
          </w:p>
          <w:p>
            <w:pPr>
              <w:spacing w:line="360" w:lineRule="auto"/>
              <w:ind w:firstLine="480" w:firstLineChars="200"/>
              <w:jc w:val="left"/>
              <w:rPr>
                <w:color w:val="auto"/>
                <w:sz w:val="24"/>
              </w:rPr>
            </w:pPr>
            <w:r>
              <w:rPr>
                <w:color w:val="auto"/>
                <w:sz w:val="24"/>
              </w:rPr>
              <w:t>V5——发生事故时可能进入该收集系统的降雨量，m</w:t>
            </w:r>
            <w:r>
              <w:rPr>
                <w:color w:val="auto"/>
                <w:sz w:val="24"/>
                <w:vertAlign w:val="superscript"/>
              </w:rPr>
              <w:t>3</w:t>
            </w:r>
            <w:r>
              <w:rPr>
                <w:color w:val="auto"/>
                <w:sz w:val="24"/>
              </w:rPr>
              <w:t>。</w:t>
            </w:r>
          </w:p>
          <w:p>
            <w:pPr>
              <w:spacing w:line="360" w:lineRule="auto"/>
              <w:ind w:firstLine="480" w:firstLineChars="200"/>
              <w:jc w:val="left"/>
              <w:rPr>
                <w:color w:val="auto"/>
                <w:sz w:val="24"/>
              </w:rPr>
            </w:pPr>
            <w:r>
              <w:rPr>
                <w:color w:val="auto"/>
                <w:sz w:val="24"/>
              </w:rPr>
              <w:t>V5=10qf；q—降雨强度，mm；按平均日降雨量；q=qa/n；qa—年平均降雨量，mm；n—年平均降雨日数；f—必须进入事故废水收集系统的雨水汇水面积，ha；</w:t>
            </w:r>
          </w:p>
          <w:p>
            <w:pPr>
              <w:spacing w:line="360" w:lineRule="auto"/>
              <w:ind w:firstLine="480" w:firstLineChars="200"/>
              <w:jc w:val="left"/>
              <w:rPr>
                <w:color w:val="auto"/>
                <w:sz w:val="24"/>
              </w:rPr>
            </w:pPr>
            <w:r>
              <w:rPr>
                <w:color w:val="auto"/>
                <w:sz w:val="24"/>
              </w:rPr>
              <w:t>根据气象资料，年平均降雨量为966.1mm，年平均降雨日数按101天计算，雨水汇水面积约为</w:t>
            </w:r>
            <w:r>
              <w:rPr>
                <w:rFonts w:hint="eastAsia"/>
                <w:color w:val="auto"/>
                <w:sz w:val="24"/>
                <w:lang w:val="en-US" w:eastAsia="zh-CN"/>
              </w:rPr>
              <w:t>0.07</w:t>
            </w:r>
            <w:r>
              <w:rPr>
                <w:color w:val="auto"/>
                <w:sz w:val="24"/>
              </w:rPr>
              <w:t xml:space="preserve"> ha，则V5=10</w:t>
            </w:r>
            <w:r>
              <w:rPr>
                <w:color w:val="auto"/>
                <w:szCs w:val="21"/>
              </w:rPr>
              <w:t>×</w:t>
            </w:r>
            <w:r>
              <w:rPr>
                <w:rFonts w:hint="eastAsia"/>
                <w:color w:val="auto"/>
                <w:sz w:val="24"/>
                <w:lang w:val="en-US" w:eastAsia="zh-CN"/>
              </w:rPr>
              <w:t>0.07</w:t>
            </w:r>
            <w:r>
              <w:rPr>
                <w:color w:val="auto"/>
                <w:szCs w:val="21"/>
              </w:rPr>
              <w:t>×</w:t>
            </w:r>
            <w:r>
              <w:rPr>
                <w:color w:val="auto"/>
                <w:sz w:val="24"/>
              </w:rPr>
              <w:t>9.56=</w:t>
            </w:r>
            <w:r>
              <w:rPr>
                <w:rFonts w:hint="eastAsia"/>
                <w:color w:val="auto"/>
                <w:sz w:val="24"/>
                <w:lang w:val="en-US" w:eastAsia="zh-CN"/>
              </w:rPr>
              <w:t>6.692</w:t>
            </w:r>
            <w:r>
              <w:rPr>
                <w:color w:val="auto"/>
                <w:sz w:val="24"/>
              </w:rPr>
              <w:t>m</w:t>
            </w:r>
            <w:r>
              <w:rPr>
                <w:color w:val="auto"/>
                <w:sz w:val="24"/>
                <w:vertAlign w:val="superscript"/>
              </w:rPr>
              <w:t>3</w:t>
            </w:r>
            <w:r>
              <w:rPr>
                <w:color w:val="auto"/>
                <w:sz w:val="24"/>
              </w:rPr>
              <w:t>。</w:t>
            </w:r>
          </w:p>
          <w:p>
            <w:pPr>
              <w:spacing w:line="360" w:lineRule="auto"/>
              <w:ind w:firstLine="480" w:firstLineChars="200"/>
              <w:jc w:val="left"/>
              <w:rPr>
                <w:color w:val="auto"/>
                <w:sz w:val="24"/>
              </w:rPr>
            </w:pPr>
            <w:r>
              <w:rPr>
                <w:color w:val="auto"/>
                <w:sz w:val="24"/>
              </w:rPr>
              <w:t>通过以上数据可计算得本项目应急事故废水最大量为：</w:t>
            </w:r>
          </w:p>
          <w:p>
            <w:pPr>
              <w:spacing w:line="360" w:lineRule="auto"/>
              <w:ind w:firstLine="480" w:firstLineChars="200"/>
              <w:jc w:val="left"/>
              <w:rPr>
                <w:color w:val="auto"/>
                <w:sz w:val="24"/>
              </w:rPr>
            </w:pPr>
            <w:r>
              <w:rPr>
                <w:color w:val="auto"/>
                <w:sz w:val="24"/>
              </w:rPr>
              <w:t>V总＝（V1＋V2-V3）max＋V4＋V5＝（1+72-0）+0+</w:t>
            </w:r>
            <w:r>
              <w:rPr>
                <w:rFonts w:hint="eastAsia"/>
                <w:color w:val="auto"/>
                <w:sz w:val="24"/>
                <w:lang w:val="en-US" w:eastAsia="zh-CN"/>
              </w:rPr>
              <w:t>6.692</w:t>
            </w:r>
            <w:r>
              <w:rPr>
                <w:color w:val="auto"/>
                <w:sz w:val="24"/>
              </w:rPr>
              <w:t>＝</w:t>
            </w:r>
            <w:r>
              <w:rPr>
                <w:rFonts w:hint="eastAsia"/>
                <w:color w:val="auto"/>
                <w:sz w:val="24"/>
                <w:lang w:val="en-US" w:eastAsia="zh-CN"/>
              </w:rPr>
              <w:t>78.692</w:t>
            </w:r>
            <w:r>
              <w:rPr>
                <w:color w:val="auto"/>
                <w:sz w:val="24"/>
              </w:rPr>
              <w:t>m</w:t>
            </w:r>
            <w:r>
              <w:rPr>
                <w:color w:val="auto"/>
                <w:sz w:val="24"/>
                <w:vertAlign w:val="superscript"/>
              </w:rPr>
              <w:t>3</w:t>
            </w:r>
          </w:p>
          <w:p>
            <w:pPr>
              <w:adjustRightInd w:val="0"/>
              <w:snapToGrid w:val="0"/>
              <w:spacing w:line="360" w:lineRule="auto"/>
              <w:ind w:firstLine="480" w:firstLineChars="200"/>
              <w:jc w:val="left"/>
              <w:rPr>
                <w:color w:val="auto"/>
                <w:sz w:val="24"/>
              </w:rPr>
            </w:pPr>
            <w:r>
              <w:rPr>
                <w:color w:val="auto"/>
                <w:sz w:val="24"/>
              </w:rPr>
              <w:t>根据计算结果可知，事故应急池的有效容积应不少于</w:t>
            </w:r>
            <w:r>
              <w:rPr>
                <w:rFonts w:hint="eastAsia"/>
                <w:color w:val="auto"/>
                <w:sz w:val="24"/>
                <w:lang w:val="en-US" w:eastAsia="zh-CN"/>
              </w:rPr>
              <w:t>80</w:t>
            </w:r>
            <w:r>
              <w:rPr>
                <w:color w:val="auto"/>
                <w:sz w:val="24"/>
              </w:rPr>
              <w:t>m</w:t>
            </w:r>
            <w:r>
              <w:rPr>
                <w:color w:val="auto"/>
                <w:sz w:val="24"/>
                <w:vertAlign w:val="superscript"/>
              </w:rPr>
              <w:t>3</w:t>
            </w:r>
            <w:r>
              <w:rPr>
                <w:color w:val="auto"/>
                <w:sz w:val="24"/>
              </w:rPr>
              <w:t>能够满足事故废水储存的要求。正常生产时保持事故池空置状态，当发生事故时关闭雨水排放阀，并开启事故池进水阀，一旦发生泄漏事故，废水可排入事故池，不向外排放，不会对保护目标产生影响。本项目应加强事故预防，定期巡查、调节、保养、维修，及时发现有可能引起的事故异常运行苗头。主要操作人员上岗前应严格进行理论和实际操作培训。</w:t>
            </w:r>
          </w:p>
          <w:p>
            <w:pPr>
              <w:wordWrap w:val="0"/>
              <w:snapToGrid w:val="0"/>
              <w:spacing w:line="360" w:lineRule="auto"/>
              <w:ind w:firstLine="482" w:firstLineChars="200"/>
              <w:rPr>
                <w:b/>
                <w:bCs/>
                <w:color w:val="auto"/>
                <w:sz w:val="24"/>
              </w:rPr>
            </w:pPr>
            <w:r>
              <w:rPr>
                <w:b/>
                <w:bCs/>
                <w:color w:val="auto"/>
                <w:sz w:val="24"/>
              </w:rPr>
              <w:t>7.4厂区</w:t>
            </w:r>
            <w:r>
              <w:rPr>
                <w:rFonts w:hint="eastAsia"/>
                <w:b/>
                <w:bCs/>
                <w:color w:val="auto"/>
                <w:sz w:val="24"/>
              </w:rPr>
              <w:t>的</w:t>
            </w:r>
            <w:r>
              <w:rPr>
                <w:b/>
                <w:bCs/>
                <w:color w:val="auto"/>
                <w:sz w:val="24"/>
              </w:rPr>
              <w:t>联动预案机制</w:t>
            </w:r>
          </w:p>
          <w:p>
            <w:pPr>
              <w:wordWrap w:val="0"/>
              <w:snapToGrid w:val="0"/>
              <w:spacing w:line="360" w:lineRule="auto"/>
              <w:ind w:firstLine="480" w:firstLineChars="200"/>
              <w:rPr>
                <w:color w:val="auto"/>
                <w:sz w:val="24"/>
              </w:rPr>
            </w:pPr>
            <w:r>
              <w:rPr>
                <w:color w:val="auto"/>
                <w:sz w:val="24"/>
              </w:rPr>
              <w:t>项目将严格执行《淮安市突发环境事件应急预案》（淮政办发〔2017〕93号）、《淮安市重污染天气应急预案》（淮政办发〔2016〕159号）等文件要求，建立全公司、各生产装置突发环境事件的应急预案，应急预案与淮阴区、淮安市突发环境事故应急预案相衔接，建立区域监测预警系统，建立省市县上下联动、区域之间左右联动等联动应急响应体系，实行联防联控。按照“企业自救，属地为主”的原则，一旦发生环境污染事件，企业可立即实行自救，采取一切措施控制事态发展，并及时向地方人民政府报告，超出本企业应急处理能力时，将启动上一级预案，由地方政府动用社会应急救援力量，实行分级管理、分级响应和联动，充分发挥地方政府职能作用和各部门的专业优势，加强各部门的协同和合作，提高快速反应能力。使环境风险应急预案适应本项目各种环境事件的应急需要。</w:t>
            </w:r>
          </w:p>
          <w:p>
            <w:pPr>
              <w:wordWrap w:val="0"/>
              <w:snapToGrid w:val="0"/>
              <w:spacing w:line="360" w:lineRule="auto"/>
              <w:ind w:firstLine="480" w:firstLineChars="200"/>
              <w:rPr>
                <w:color w:val="auto"/>
                <w:sz w:val="24"/>
              </w:rPr>
            </w:pPr>
            <w:r>
              <w:rPr>
                <w:color w:val="auto"/>
                <w:sz w:val="24"/>
              </w:rPr>
              <w:t>根据《关于做好生态环境和应急管理部门联动工作的意见》（苏环办〔2020〕101号）的相关要求：</w:t>
            </w:r>
          </w:p>
          <w:p>
            <w:pPr>
              <w:wordWrap w:val="0"/>
              <w:snapToGrid w:val="0"/>
              <w:spacing w:line="360" w:lineRule="auto"/>
              <w:ind w:firstLine="480" w:firstLineChars="200"/>
              <w:rPr>
                <w:color w:val="auto"/>
                <w:sz w:val="24"/>
              </w:rPr>
            </w:pPr>
            <w:r>
              <w:rPr>
                <w:color w:val="auto"/>
                <w:sz w:val="24"/>
              </w:rPr>
              <w:t>1）建立危险废物监管联动机制</w:t>
            </w:r>
          </w:p>
          <w:p>
            <w:pPr>
              <w:wordWrap w:val="0"/>
              <w:snapToGrid w:val="0"/>
              <w:spacing w:line="360" w:lineRule="auto"/>
              <w:ind w:firstLine="480" w:firstLineChars="200"/>
              <w:rPr>
                <w:color w:val="auto"/>
                <w:sz w:val="24"/>
              </w:rPr>
            </w:pPr>
            <w:r>
              <w:rPr>
                <w:color w:val="auto"/>
                <w:sz w:val="24"/>
              </w:rPr>
              <w:t>本项目产生的危废均分类暂存于危废暂存库中，</w:t>
            </w:r>
            <w:r>
              <w:rPr>
                <w:color w:val="auto"/>
                <w:sz w:val="24"/>
                <w:lang w:val="zh-CN"/>
              </w:rPr>
              <w:t>危废暂存库的地面与裙脚已用坚固、防渗的材料建造，墙角四周开截留沟槽，设置集水井，并刷环氧漆；库内有泄漏液体收集装置、气体导出口；并设有安全照明设施（防爆灯）、观察窗口和废气处理装置；用防渗托盘存放装载液体、半固体的危险废物；不相容的危险废物已分开存放，并设有隔离间隔断；</w:t>
            </w:r>
            <w:r>
              <w:rPr>
                <w:color w:val="auto"/>
                <w:sz w:val="24"/>
              </w:rPr>
              <w:t>危废暂存库</w:t>
            </w:r>
            <w:r>
              <w:rPr>
                <w:color w:val="auto"/>
                <w:sz w:val="24"/>
                <w:lang w:val="zh-CN"/>
              </w:rPr>
              <w:t>建立“三牌一签制度”，并设有在线监控、烟感探测器、去静电装置以及灭火器等设施。产生的危废废物及时处置，存储期不超过一年，危废进出库都有台帐记录，各类固体废物均得到有效处置；</w:t>
            </w:r>
            <w:r>
              <w:rPr>
                <w:color w:val="auto"/>
                <w:sz w:val="24"/>
              </w:rPr>
              <w:t>切实履行好从危废的产生、收集、贮存等环保和安全责任，申报备案时，对废弃危险化学品、物理危险性尚不确定、根据相关文件无法认定达到稳定要求的，要提供有资质单位出具的化学品物理危险性报告及其他证明材料。</w:t>
            </w:r>
          </w:p>
          <w:p>
            <w:pPr>
              <w:wordWrap w:val="0"/>
              <w:snapToGrid w:val="0"/>
              <w:spacing w:line="360" w:lineRule="auto"/>
              <w:ind w:firstLine="480" w:firstLineChars="200"/>
              <w:rPr>
                <w:color w:val="auto"/>
                <w:sz w:val="24"/>
              </w:rPr>
            </w:pPr>
            <w:r>
              <w:rPr>
                <w:color w:val="auto"/>
                <w:sz w:val="24"/>
              </w:rPr>
              <w:t>2）建立环境治理设施监管联动机制</w:t>
            </w:r>
          </w:p>
          <w:p>
            <w:pPr>
              <w:wordWrap w:val="0"/>
              <w:snapToGrid w:val="0"/>
              <w:spacing w:line="360" w:lineRule="auto"/>
              <w:ind w:firstLine="480" w:firstLineChars="200"/>
              <w:rPr>
                <w:color w:val="auto"/>
                <w:sz w:val="24"/>
                <w:lang w:val="zh-CN"/>
              </w:rPr>
            </w:pPr>
            <w:r>
              <w:rPr>
                <w:color w:val="auto"/>
                <w:sz w:val="24"/>
              </w:rPr>
              <w:t>本项目涉及危险废物，要求企业定期</w:t>
            </w:r>
            <w:r>
              <w:rPr>
                <w:color w:val="auto"/>
                <w:sz w:val="24"/>
                <w:lang w:val="zh-CN"/>
              </w:rPr>
              <w:t>开展安全风险辨识管控，健全内部污染防治设施稳定运行和管理责任制度，严格依据标准规范建设环境治理设施，确保环境治理设施安全、稳定、有效运行。</w:t>
            </w:r>
          </w:p>
          <w:p>
            <w:pPr>
              <w:wordWrap w:val="0"/>
              <w:spacing w:line="360" w:lineRule="auto"/>
              <w:ind w:firstLine="482" w:firstLineChars="200"/>
              <w:contextualSpacing/>
              <w:rPr>
                <w:b/>
                <w:bCs/>
                <w:color w:val="auto"/>
                <w:sz w:val="24"/>
              </w:rPr>
            </w:pPr>
            <w:r>
              <w:rPr>
                <w:b/>
                <w:bCs/>
                <w:color w:val="auto"/>
                <w:sz w:val="24"/>
              </w:rPr>
              <w:t>8、电磁辐射</w:t>
            </w:r>
          </w:p>
          <w:p>
            <w:pPr>
              <w:wordWrap w:val="0"/>
              <w:spacing w:line="360" w:lineRule="auto"/>
              <w:ind w:firstLine="480" w:firstLineChars="200"/>
              <w:rPr>
                <w:color w:val="auto"/>
                <w:sz w:val="24"/>
              </w:rPr>
            </w:pPr>
            <w:r>
              <w:rPr>
                <w:color w:val="auto"/>
                <w:sz w:val="24"/>
              </w:rPr>
              <w:t>本项目不涉及电磁辐射内容，故无需说明相关电磁辐射的环境环保措施。</w:t>
            </w:r>
          </w:p>
          <w:p>
            <w:pPr>
              <w:wordWrap w:val="0"/>
              <w:spacing w:line="360" w:lineRule="auto"/>
              <w:ind w:firstLine="482" w:firstLineChars="200"/>
              <w:rPr>
                <w:b/>
                <w:bCs/>
                <w:color w:val="auto"/>
                <w:sz w:val="24"/>
              </w:rPr>
            </w:pPr>
            <w:r>
              <w:rPr>
                <w:b/>
                <w:bCs/>
                <w:color w:val="auto"/>
                <w:sz w:val="24"/>
              </w:rPr>
              <w:t>9、排污许可管理制度</w:t>
            </w:r>
          </w:p>
          <w:p>
            <w:pPr>
              <w:wordWrap w:val="0"/>
              <w:spacing w:line="360" w:lineRule="auto"/>
              <w:ind w:firstLine="482" w:firstLineChars="200"/>
              <w:rPr>
                <w:b/>
                <w:bCs/>
                <w:color w:val="auto"/>
                <w:sz w:val="24"/>
              </w:rPr>
            </w:pPr>
            <w:r>
              <w:rPr>
                <w:b/>
                <w:bCs/>
                <w:color w:val="auto"/>
                <w:sz w:val="24"/>
              </w:rPr>
              <w:t>9.1排污许可分类管理类别</w:t>
            </w:r>
          </w:p>
          <w:p>
            <w:pPr>
              <w:pStyle w:val="47"/>
              <w:wordWrap w:val="0"/>
              <w:spacing w:line="360" w:lineRule="auto"/>
              <w:ind w:left="0" w:leftChars="0" w:firstLine="480" w:firstLineChars="200"/>
              <w:jc w:val="left"/>
              <w:rPr>
                <w:rFonts w:hint="default"/>
                <w:b w:val="0"/>
                <w:bCs/>
                <w:color w:val="auto"/>
                <w:sz w:val="24"/>
                <w:szCs w:val="24"/>
              </w:rPr>
            </w:pPr>
            <w:r>
              <w:rPr>
                <w:rFonts w:hint="default"/>
                <w:b w:val="0"/>
                <w:bCs/>
                <w:color w:val="auto"/>
                <w:sz w:val="24"/>
                <w:szCs w:val="24"/>
              </w:rPr>
              <w:t>根据《排污许可管理条例》（国务院令第736号）以及《固定污染源排污许可分类管理名录（2019年版）》（部令第11号）相关要求，本项目属于“二十八、金属制品业”中“五十一、通用工序”中“112水处理除纳入重点排污单位名录的，日处理能力500吨及以上2万吨以下的水处理设施”，纳入登记管理，后期需根据排污单位自行监测技术规范做好排污单位自行监测。</w:t>
            </w:r>
          </w:p>
          <w:p>
            <w:pPr>
              <w:pStyle w:val="47"/>
              <w:wordWrap w:val="0"/>
              <w:spacing w:line="360" w:lineRule="auto"/>
              <w:ind w:left="0" w:leftChars="0"/>
              <w:rPr>
                <w:rFonts w:hint="default"/>
                <w:color w:val="auto"/>
                <w:szCs w:val="21"/>
              </w:rPr>
            </w:pPr>
          </w:p>
          <w:p>
            <w:pPr>
              <w:pStyle w:val="47"/>
              <w:wordWrap w:val="0"/>
              <w:spacing w:line="360" w:lineRule="auto"/>
              <w:ind w:left="0" w:leftChars="0"/>
              <w:rPr>
                <w:rFonts w:hint="default"/>
                <w:color w:val="auto"/>
                <w:szCs w:val="21"/>
              </w:rPr>
            </w:pPr>
          </w:p>
          <w:p>
            <w:pPr>
              <w:pStyle w:val="47"/>
              <w:wordWrap w:val="0"/>
              <w:spacing w:line="360" w:lineRule="auto"/>
              <w:ind w:left="0" w:leftChars="0"/>
              <w:rPr>
                <w:rFonts w:hint="default"/>
                <w:color w:val="auto"/>
                <w:szCs w:val="21"/>
              </w:rPr>
            </w:pPr>
          </w:p>
          <w:p>
            <w:pPr>
              <w:pStyle w:val="47"/>
              <w:wordWrap w:val="0"/>
              <w:spacing w:line="360" w:lineRule="auto"/>
              <w:ind w:left="0" w:leftChars="0"/>
              <w:rPr>
                <w:rFonts w:hint="default"/>
                <w:color w:val="auto"/>
                <w:szCs w:val="21"/>
              </w:rPr>
            </w:pPr>
          </w:p>
          <w:p>
            <w:pPr>
              <w:pStyle w:val="47"/>
              <w:wordWrap w:val="0"/>
              <w:spacing w:line="360" w:lineRule="auto"/>
              <w:ind w:left="0" w:leftChars="0"/>
              <w:rPr>
                <w:rFonts w:hint="default"/>
                <w:color w:val="auto"/>
                <w:szCs w:val="21"/>
              </w:rPr>
            </w:pPr>
          </w:p>
          <w:p>
            <w:pPr>
              <w:pStyle w:val="47"/>
              <w:wordWrap w:val="0"/>
              <w:spacing w:line="360" w:lineRule="auto"/>
              <w:ind w:left="0" w:leftChars="0"/>
              <w:rPr>
                <w:rFonts w:hint="default"/>
                <w:color w:val="auto"/>
              </w:rPr>
            </w:pPr>
            <w:r>
              <w:rPr>
                <w:rFonts w:hint="default"/>
                <w:color w:val="auto"/>
                <w:szCs w:val="21"/>
              </w:rPr>
              <w:t>表4.2-</w:t>
            </w:r>
            <w:r>
              <w:rPr>
                <w:rFonts w:hint="eastAsia"/>
                <w:color w:val="auto"/>
                <w:szCs w:val="21"/>
                <w:lang w:val="en-US" w:eastAsia="zh-CN"/>
              </w:rPr>
              <w:t>27</w:t>
            </w:r>
            <w:r>
              <w:rPr>
                <w:rFonts w:hint="default"/>
                <w:color w:val="auto"/>
                <w:szCs w:val="21"/>
              </w:rPr>
              <w:t xml:space="preserve"> 排污许可分类管理类别</w:t>
            </w:r>
          </w:p>
          <w:tbl>
            <w:tblPr>
              <w:tblStyle w:val="20"/>
              <w:tblW w:w="8393" w:type="dxa"/>
              <w:tblInd w:w="0" w:type="dxa"/>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
            <w:tblGrid>
              <w:gridCol w:w="302"/>
              <w:gridCol w:w="3480"/>
              <w:gridCol w:w="1170"/>
              <w:gridCol w:w="1905"/>
              <w:gridCol w:w="1536"/>
            </w:tblGrid>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3782" w:type="dxa"/>
                  <w:gridSpan w:val="2"/>
                  <w:noWrap/>
                  <w:tcMar>
                    <w:top w:w="15" w:type="dxa"/>
                    <w:left w:w="15" w:type="dxa"/>
                    <w:right w:w="15" w:type="dxa"/>
                  </w:tcMar>
                  <w:vAlign w:val="center"/>
                </w:tcPr>
                <w:p>
                  <w:pPr>
                    <w:widowControl/>
                    <w:wordWrap w:val="0"/>
                    <w:snapToGrid w:val="0"/>
                    <w:jc w:val="center"/>
                    <w:rPr>
                      <w:color w:val="auto"/>
                      <w:kern w:val="0"/>
                      <w:szCs w:val="21"/>
                    </w:rPr>
                  </w:pPr>
                  <w:r>
                    <w:rPr>
                      <w:b/>
                      <w:bCs/>
                      <w:color w:val="auto"/>
                      <w:szCs w:val="21"/>
                    </w:rPr>
                    <w:t>行业类别</w:t>
                  </w:r>
                </w:p>
              </w:tc>
              <w:tc>
                <w:tcPr>
                  <w:tcW w:w="1170" w:type="dxa"/>
                  <w:noWrap/>
                  <w:tcMar>
                    <w:top w:w="15" w:type="dxa"/>
                    <w:left w:w="15" w:type="dxa"/>
                    <w:right w:w="15" w:type="dxa"/>
                  </w:tcMar>
                  <w:vAlign w:val="center"/>
                </w:tcPr>
                <w:p>
                  <w:pPr>
                    <w:wordWrap w:val="0"/>
                    <w:jc w:val="center"/>
                    <w:rPr>
                      <w:b/>
                      <w:bCs/>
                      <w:color w:val="auto"/>
                      <w:szCs w:val="21"/>
                    </w:rPr>
                  </w:pPr>
                  <w:r>
                    <w:rPr>
                      <w:b/>
                      <w:bCs/>
                      <w:color w:val="auto"/>
                      <w:szCs w:val="21"/>
                    </w:rPr>
                    <w:t>重点管理</w:t>
                  </w:r>
                </w:p>
              </w:tc>
              <w:tc>
                <w:tcPr>
                  <w:tcW w:w="1905" w:type="dxa"/>
                  <w:noWrap/>
                  <w:tcMar>
                    <w:top w:w="15" w:type="dxa"/>
                    <w:left w:w="15" w:type="dxa"/>
                    <w:right w:w="15" w:type="dxa"/>
                  </w:tcMar>
                  <w:vAlign w:val="center"/>
                </w:tcPr>
                <w:p>
                  <w:pPr>
                    <w:wordWrap w:val="0"/>
                    <w:jc w:val="center"/>
                    <w:rPr>
                      <w:b/>
                      <w:bCs/>
                      <w:color w:val="auto"/>
                      <w:szCs w:val="21"/>
                    </w:rPr>
                  </w:pPr>
                  <w:r>
                    <w:rPr>
                      <w:b/>
                      <w:bCs/>
                      <w:color w:val="auto"/>
                      <w:szCs w:val="21"/>
                    </w:rPr>
                    <w:t>简化管理</w:t>
                  </w:r>
                </w:p>
              </w:tc>
              <w:tc>
                <w:tcPr>
                  <w:tcW w:w="1536" w:type="dxa"/>
                  <w:noWrap/>
                  <w:tcMar>
                    <w:top w:w="15" w:type="dxa"/>
                    <w:left w:w="15" w:type="dxa"/>
                    <w:right w:w="15" w:type="dxa"/>
                  </w:tcMar>
                  <w:vAlign w:val="center"/>
                </w:tcPr>
                <w:p>
                  <w:pPr>
                    <w:wordWrap w:val="0"/>
                    <w:jc w:val="center"/>
                    <w:rPr>
                      <w:b/>
                      <w:bCs/>
                      <w:color w:val="auto"/>
                      <w:szCs w:val="21"/>
                    </w:rPr>
                  </w:pPr>
                  <w:r>
                    <w:rPr>
                      <w:b/>
                      <w:bCs/>
                      <w:color w:val="auto"/>
                      <w:szCs w:val="21"/>
                    </w:rPr>
                    <w:t>登记管理</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8393" w:type="dxa"/>
                  <w:gridSpan w:val="5"/>
                  <w:noWrap/>
                  <w:tcMar>
                    <w:top w:w="15" w:type="dxa"/>
                    <w:left w:w="15" w:type="dxa"/>
                    <w:right w:w="15" w:type="dxa"/>
                  </w:tcMar>
                  <w:vAlign w:val="center"/>
                </w:tcPr>
                <w:p>
                  <w:pPr>
                    <w:widowControl/>
                    <w:wordWrap w:val="0"/>
                    <w:jc w:val="left"/>
                    <w:rPr>
                      <w:color w:val="auto"/>
                      <w:szCs w:val="21"/>
                    </w:rPr>
                  </w:pPr>
                  <w:r>
                    <w:rPr>
                      <w:b/>
                      <w:bCs/>
                      <w:color w:val="auto"/>
                      <w:kern w:val="0"/>
                      <w:szCs w:val="21"/>
                      <w:lang w:bidi="ar"/>
                    </w:rPr>
                    <w:t>二十八、金属制品业 33</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302" w:type="dxa"/>
                  <w:noWrap/>
                  <w:tcMar>
                    <w:top w:w="15" w:type="dxa"/>
                    <w:left w:w="15" w:type="dxa"/>
                    <w:right w:w="15" w:type="dxa"/>
                  </w:tcMar>
                  <w:vAlign w:val="center"/>
                </w:tcPr>
                <w:p>
                  <w:pPr>
                    <w:wordWrap w:val="0"/>
                    <w:snapToGrid w:val="0"/>
                    <w:jc w:val="center"/>
                    <w:rPr>
                      <w:color w:val="auto"/>
                      <w:szCs w:val="21"/>
                    </w:rPr>
                  </w:pPr>
                  <w:r>
                    <w:rPr>
                      <w:color w:val="auto"/>
                      <w:szCs w:val="21"/>
                    </w:rPr>
                    <w:t>80</w:t>
                  </w:r>
                </w:p>
              </w:tc>
              <w:tc>
                <w:tcPr>
                  <w:tcW w:w="3480" w:type="dxa"/>
                  <w:noWrap/>
                  <w:tcMar>
                    <w:top w:w="15" w:type="dxa"/>
                    <w:left w:w="15" w:type="dxa"/>
                    <w:right w:w="15" w:type="dxa"/>
                  </w:tcMar>
                  <w:vAlign w:val="center"/>
                </w:tcPr>
                <w:p>
                  <w:pPr>
                    <w:widowControl/>
                    <w:wordWrap w:val="0"/>
                    <w:jc w:val="center"/>
                    <w:rPr>
                      <w:color w:val="auto"/>
                      <w:szCs w:val="21"/>
                    </w:rPr>
                  </w:pPr>
                  <w:r>
                    <w:rPr>
                      <w:color w:val="auto"/>
                      <w:szCs w:val="21"/>
                    </w:rPr>
                    <w:t>结构性金属制品制造331,金属工具制造332，集装箱及金属包装容器制造</w:t>
                  </w:r>
                </w:p>
                <w:p>
                  <w:pPr>
                    <w:widowControl/>
                    <w:wordWrap w:val="0"/>
                    <w:jc w:val="center"/>
                    <w:rPr>
                      <w:color w:val="auto"/>
                      <w:szCs w:val="21"/>
                    </w:rPr>
                  </w:pPr>
                  <w:r>
                    <w:rPr>
                      <w:color w:val="auto"/>
                      <w:szCs w:val="21"/>
                    </w:rPr>
                    <w:t>333，金属丝绳及其制品制造334，建筑、安全用金属制品制造335，搪瓷制品制造337，金属制日用品制造338,铸造及其他金属制品制造339(除黑色金属铸造3391、有色金属铸造3392)</w:t>
                  </w:r>
                </w:p>
              </w:tc>
              <w:tc>
                <w:tcPr>
                  <w:tcW w:w="1170" w:type="dxa"/>
                  <w:tcMar>
                    <w:top w:w="15" w:type="dxa"/>
                    <w:left w:w="15" w:type="dxa"/>
                    <w:right w:w="15" w:type="dxa"/>
                  </w:tcMar>
                  <w:vAlign w:val="center"/>
                </w:tcPr>
                <w:p>
                  <w:pPr>
                    <w:widowControl/>
                    <w:wordWrap w:val="0"/>
                    <w:jc w:val="center"/>
                    <w:rPr>
                      <w:color w:val="auto"/>
                      <w:szCs w:val="21"/>
                    </w:rPr>
                  </w:pPr>
                  <w:r>
                    <w:rPr>
                      <w:color w:val="auto"/>
                      <w:szCs w:val="21"/>
                    </w:rPr>
                    <w:t>涉及通用工序重点管理的</w:t>
                  </w:r>
                </w:p>
              </w:tc>
              <w:tc>
                <w:tcPr>
                  <w:tcW w:w="1905" w:type="dxa"/>
                  <w:tcMar>
                    <w:top w:w="15" w:type="dxa"/>
                    <w:left w:w="15" w:type="dxa"/>
                    <w:right w:w="15" w:type="dxa"/>
                  </w:tcMar>
                  <w:vAlign w:val="center"/>
                </w:tcPr>
                <w:p>
                  <w:pPr>
                    <w:widowControl/>
                    <w:wordWrap w:val="0"/>
                    <w:jc w:val="center"/>
                    <w:rPr>
                      <w:color w:val="auto"/>
                      <w:szCs w:val="21"/>
                    </w:rPr>
                  </w:pPr>
                  <w:r>
                    <w:rPr>
                      <w:color w:val="auto"/>
                      <w:szCs w:val="21"/>
                    </w:rPr>
                    <w:t>涉及通用工序简化管理的</w:t>
                  </w:r>
                </w:p>
              </w:tc>
              <w:tc>
                <w:tcPr>
                  <w:tcW w:w="1536" w:type="dxa"/>
                  <w:tcMar>
                    <w:top w:w="15" w:type="dxa"/>
                    <w:left w:w="15" w:type="dxa"/>
                    <w:right w:w="15" w:type="dxa"/>
                  </w:tcMar>
                  <w:vAlign w:val="center"/>
                </w:tcPr>
                <w:p>
                  <w:pPr>
                    <w:widowControl/>
                    <w:wordWrap w:val="0"/>
                    <w:jc w:val="center"/>
                    <w:rPr>
                      <w:color w:val="auto"/>
                      <w:szCs w:val="21"/>
                    </w:rPr>
                  </w:pPr>
                  <w:r>
                    <w:rPr>
                      <w:color w:val="auto"/>
                      <w:szCs w:val="21"/>
                    </w:rPr>
                    <w:t>其他*</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8393" w:type="dxa"/>
                  <w:gridSpan w:val="5"/>
                  <w:noWrap/>
                  <w:tcMar>
                    <w:top w:w="15" w:type="dxa"/>
                    <w:left w:w="15" w:type="dxa"/>
                    <w:right w:w="15" w:type="dxa"/>
                  </w:tcMar>
                  <w:vAlign w:val="center"/>
                </w:tcPr>
                <w:p>
                  <w:pPr>
                    <w:widowControl/>
                    <w:wordWrap w:val="0"/>
                    <w:jc w:val="left"/>
                    <w:rPr>
                      <w:color w:val="auto"/>
                      <w:kern w:val="0"/>
                      <w:szCs w:val="21"/>
                      <w:lang w:bidi="ar"/>
                    </w:rPr>
                  </w:pPr>
                  <w:r>
                    <w:rPr>
                      <w:b/>
                      <w:bCs/>
                      <w:color w:val="auto"/>
                      <w:kern w:val="0"/>
                      <w:szCs w:val="21"/>
                      <w:lang w:bidi="ar"/>
                    </w:rPr>
                    <w:t>五十一、通用工序</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302" w:type="dxa"/>
                  <w:noWrap/>
                  <w:tcMar>
                    <w:top w:w="15" w:type="dxa"/>
                    <w:left w:w="15" w:type="dxa"/>
                    <w:right w:w="15" w:type="dxa"/>
                  </w:tcMar>
                  <w:vAlign w:val="center"/>
                </w:tcPr>
                <w:p>
                  <w:pPr>
                    <w:wordWrap w:val="0"/>
                    <w:snapToGrid w:val="0"/>
                    <w:jc w:val="center"/>
                    <w:rPr>
                      <w:color w:val="auto"/>
                      <w:szCs w:val="21"/>
                    </w:rPr>
                  </w:pPr>
                  <w:r>
                    <w:rPr>
                      <w:color w:val="auto"/>
                      <w:szCs w:val="21"/>
                    </w:rPr>
                    <w:t>112</w:t>
                  </w:r>
                </w:p>
              </w:tc>
              <w:tc>
                <w:tcPr>
                  <w:tcW w:w="3480" w:type="dxa"/>
                  <w:noWrap/>
                  <w:tcMar>
                    <w:top w:w="15" w:type="dxa"/>
                    <w:left w:w="15" w:type="dxa"/>
                    <w:right w:w="15" w:type="dxa"/>
                  </w:tcMar>
                  <w:vAlign w:val="center"/>
                </w:tcPr>
                <w:p>
                  <w:pPr>
                    <w:widowControl/>
                    <w:wordWrap w:val="0"/>
                    <w:jc w:val="center"/>
                    <w:rPr>
                      <w:color w:val="auto"/>
                      <w:kern w:val="0"/>
                      <w:szCs w:val="21"/>
                      <w:lang w:bidi="ar"/>
                    </w:rPr>
                  </w:pPr>
                  <w:r>
                    <w:rPr>
                      <w:color w:val="auto"/>
                      <w:kern w:val="0"/>
                      <w:szCs w:val="21"/>
                      <w:lang w:bidi="ar"/>
                    </w:rPr>
                    <w:t>水处理</w:t>
                  </w:r>
                </w:p>
              </w:tc>
              <w:tc>
                <w:tcPr>
                  <w:tcW w:w="1170" w:type="dxa"/>
                  <w:tcMar>
                    <w:top w:w="15" w:type="dxa"/>
                    <w:left w:w="15" w:type="dxa"/>
                    <w:right w:w="15" w:type="dxa"/>
                  </w:tcMar>
                  <w:vAlign w:val="center"/>
                </w:tcPr>
                <w:p>
                  <w:pPr>
                    <w:widowControl/>
                    <w:wordWrap w:val="0"/>
                    <w:jc w:val="center"/>
                    <w:rPr>
                      <w:color w:val="auto"/>
                      <w:kern w:val="0"/>
                      <w:szCs w:val="21"/>
                      <w:lang w:bidi="ar"/>
                    </w:rPr>
                  </w:pPr>
                  <w:r>
                    <w:rPr>
                      <w:color w:val="auto"/>
                      <w:kern w:val="0"/>
                      <w:szCs w:val="21"/>
                      <w:lang w:bidi="ar"/>
                    </w:rPr>
                    <w:t>纳入重点排污单位名录的</w:t>
                  </w:r>
                </w:p>
              </w:tc>
              <w:tc>
                <w:tcPr>
                  <w:tcW w:w="1905" w:type="dxa"/>
                  <w:tcMar>
                    <w:top w:w="15" w:type="dxa"/>
                    <w:left w:w="15" w:type="dxa"/>
                    <w:right w:w="15" w:type="dxa"/>
                  </w:tcMar>
                  <w:vAlign w:val="center"/>
                </w:tcPr>
                <w:p>
                  <w:pPr>
                    <w:widowControl/>
                    <w:wordWrap w:val="0"/>
                    <w:jc w:val="center"/>
                    <w:rPr>
                      <w:color w:val="auto"/>
                      <w:kern w:val="0"/>
                      <w:szCs w:val="21"/>
                      <w:lang w:bidi="ar"/>
                    </w:rPr>
                  </w:pPr>
                  <w:r>
                    <w:rPr>
                      <w:color w:val="auto"/>
                      <w:kern w:val="0"/>
                      <w:szCs w:val="21"/>
                      <w:lang w:bidi="ar"/>
                    </w:rPr>
                    <w:t>除纳入重点排污单位名录的，日处理能力2万吨及以上的水处理设施</w:t>
                  </w:r>
                </w:p>
              </w:tc>
              <w:tc>
                <w:tcPr>
                  <w:tcW w:w="1536" w:type="dxa"/>
                  <w:tcMar>
                    <w:top w:w="15" w:type="dxa"/>
                    <w:left w:w="15" w:type="dxa"/>
                    <w:right w:w="15" w:type="dxa"/>
                  </w:tcMar>
                  <w:vAlign w:val="center"/>
                </w:tcPr>
                <w:p>
                  <w:pPr>
                    <w:widowControl/>
                    <w:wordWrap w:val="0"/>
                    <w:jc w:val="center"/>
                    <w:rPr>
                      <w:color w:val="auto"/>
                      <w:kern w:val="0"/>
                      <w:szCs w:val="21"/>
                      <w:lang w:bidi="ar"/>
                    </w:rPr>
                  </w:pPr>
                  <w:r>
                    <w:rPr>
                      <w:color w:val="auto"/>
                      <w:kern w:val="0"/>
                      <w:szCs w:val="21"/>
                      <w:lang w:bidi="ar"/>
                    </w:rPr>
                    <w:t>除纳入重点排污单位名录的，日处理能力500吨及以上2万吨以下的水处理设施</w:t>
                  </w:r>
                </w:p>
              </w:tc>
            </w:tr>
          </w:tbl>
          <w:p>
            <w:pPr>
              <w:wordWrap w:val="0"/>
              <w:spacing w:line="360" w:lineRule="auto"/>
              <w:ind w:firstLine="482" w:firstLineChars="200"/>
              <w:rPr>
                <w:b/>
                <w:bCs/>
                <w:color w:val="auto"/>
                <w:sz w:val="24"/>
              </w:rPr>
            </w:pPr>
            <w:r>
              <w:rPr>
                <w:b/>
                <w:color w:val="auto"/>
                <w:kern w:val="0"/>
                <w:sz w:val="24"/>
              </w:rPr>
              <w:t>9.2</w:t>
            </w:r>
            <w:r>
              <w:rPr>
                <w:b/>
                <w:bCs/>
                <w:color w:val="auto"/>
                <w:sz w:val="24"/>
              </w:rPr>
              <w:t>排污口规范化设置</w:t>
            </w:r>
          </w:p>
          <w:p>
            <w:pPr>
              <w:wordWrap w:val="0"/>
              <w:adjustRightInd w:val="0"/>
              <w:snapToGrid w:val="0"/>
              <w:spacing w:line="360" w:lineRule="auto"/>
              <w:ind w:firstLine="480" w:firstLineChars="200"/>
              <w:jc w:val="left"/>
              <w:rPr>
                <w:color w:val="auto"/>
                <w:sz w:val="24"/>
              </w:rPr>
            </w:pPr>
            <w:r>
              <w:rPr>
                <w:color w:val="auto"/>
                <w:sz w:val="24"/>
              </w:rPr>
              <w:t>（1）废气</w:t>
            </w:r>
          </w:p>
          <w:p>
            <w:pPr>
              <w:wordWrap w:val="0"/>
              <w:adjustRightInd w:val="0"/>
              <w:snapToGrid w:val="0"/>
              <w:spacing w:line="360" w:lineRule="auto"/>
              <w:ind w:firstLine="480" w:firstLineChars="200"/>
              <w:jc w:val="left"/>
              <w:rPr>
                <w:color w:val="auto"/>
                <w:sz w:val="24"/>
              </w:rPr>
            </w:pPr>
            <w:r>
              <w:rPr>
                <w:color w:val="auto"/>
                <w:sz w:val="24"/>
              </w:rPr>
              <w:t>废气排口应设置环保图形标志牌，设置便于采样监测的平台、采样孔，须符合《固定污染物源排气中颗粒物与气态污染物采样方法》（GB/T16157-1996）的要求</w:t>
            </w:r>
            <w:r>
              <w:rPr>
                <w:color w:val="auto"/>
              </w:rPr>
              <w:t>。</w:t>
            </w:r>
          </w:p>
          <w:p>
            <w:pPr>
              <w:wordWrap w:val="0"/>
              <w:adjustRightInd w:val="0"/>
              <w:snapToGrid w:val="0"/>
              <w:spacing w:line="360" w:lineRule="auto"/>
              <w:ind w:firstLine="480" w:firstLineChars="200"/>
              <w:jc w:val="left"/>
              <w:rPr>
                <w:color w:val="auto"/>
                <w:sz w:val="24"/>
              </w:rPr>
            </w:pPr>
            <w:r>
              <w:rPr>
                <w:color w:val="auto"/>
                <w:sz w:val="24"/>
              </w:rPr>
              <w:t>（2）噪声</w:t>
            </w:r>
          </w:p>
          <w:p>
            <w:pPr>
              <w:wordWrap w:val="0"/>
              <w:adjustRightInd w:val="0"/>
              <w:snapToGrid w:val="0"/>
              <w:spacing w:line="360" w:lineRule="auto"/>
              <w:ind w:firstLine="480" w:firstLineChars="200"/>
              <w:jc w:val="left"/>
              <w:rPr>
                <w:color w:val="auto"/>
                <w:sz w:val="24"/>
              </w:rPr>
            </w:pPr>
            <w:r>
              <w:rPr>
                <w:color w:val="auto"/>
                <w:sz w:val="24"/>
              </w:rPr>
              <w:t>按有关规定对固定噪声源进行治理，并在对外界影响最大处设置标志牌。</w:t>
            </w:r>
          </w:p>
          <w:p>
            <w:pPr>
              <w:wordWrap w:val="0"/>
              <w:adjustRightInd w:val="0"/>
              <w:snapToGrid w:val="0"/>
              <w:spacing w:line="360" w:lineRule="auto"/>
              <w:ind w:firstLine="480" w:firstLineChars="200"/>
              <w:jc w:val="left"/>
              <w:rPr>
                <w:color w:val="auto"/>
                <w:sz w:val="24"/>
              </w:rPr>
            </w:pPr>
            <w:r>
              <w:rPr>
                <w:color w:val="auto"/>
                <w:sz w:val="24"/>
              </w:rPr>
              <w:t>（3）环保图形标设和监控要求</w:t>
            </w:r>
          </w:p>
          <w:p>
            <w:pPr>
              <w:wordWrap w:val="0"/>
              <w:adjustRightInd w:val="0"/>
              <w:snapToGrid w:val="0"/>
              <w:spacing w:line="360" w:lineRule="auto"/>
              <w:ind w:firstLine="480" w:firstLineChars="200"/>
              <w:jc w:val="left"/>
              <w:rPr>
                <w:color w:val="auto"/>
                <w:sz w:val="24"/>
              </w:rPr>
            </w:pPr>
            <w:r>
              <w:rPr>
                <w:color w:val="auto"/>
                <w:sz w:val="24"/>
              </w:rPr>
              <w:t>在厂区的噪声排放源和固体废物贮存处置场应设置环境保护图形标志，图形符号分为提示图形和警告图形符号两种，分别按GB15562.1-1995、GB15562.2-1995执行。</w:t>
            </w:r>
          </w:p>
          <w:p>
            <w:pPr>
              <w:wordWrap w:val="0"/>
              <w:adjustRightInd w:val="0"/>
              <w:snapToGrid w:val="0"/>
              <w:spacing w:line="360" w:lineRule="auto"/>
              <w:ind w:firstLine="480" w:firstLineChars="200"/>
              <w:jc w:val="left"/>
              <w:rPr>
                <w:bCs/>
                <w:color w:val="auto"/>
                <w:spacing w:val="-10"/>
                <w:szCs w:val="21"/>
              </w:rPr>
            </w:pPr>
            <w:r>
              <w:rPr>
                <w:color w:val="auto"/>
                <w:sz w:val="24"/>
              </w:rPr>
              <w:t>在厂区的危废暂存库应设置危险废物识别标识和危险废物贮存设施视频监控，按《危险废物贮存污染控制标准》（GB18597-2023）、《废物收集贮存运输技术规范》（HB/T2025-2012）、《环境保护图形标志固体废物贮存（处置）》（GB15562.2-1995）、生态环境部公告2023年第5号关于发布国家固体废物污染控制标准《环境保护图形标志—固体废物贮存（处置）场》（GB 15562.2-1995）修改单的公告以及</w:t>
            </w:r>
            <w:r>
              <w:rPr>
                <w:bCs/>
                <w:color w:val="auto"/>
                <w:sz w:val="24"/>
                <w:lang w:val="zh-CN"/>
              </w:rPr>
              <w:t>《省生态环境厅关于做好《危险废物贮存污染控制标准》等标准规范实施后危险废物环境管理衔接工作的通知》（苏环办[2023]154 号）要求</w:t>
            </w:r>
            <w:r>
              <w:rPr>
                <w:color w:val="auto"/>
                <w:sz w:val="24"/>
              </w:rPr>
              <w:t>执行。</w:t>
            </w:r>
          </w:p>
        </w:tc>
      </w:tr>
    </w:tbl>
    <w:p>
      <w:pPr>
        <w:pStyle w:val="13"/>
        <w:wordWrap w:val="0"/>
        <w:jc w:val="both"/>
        <w:outlineLvl w:val="0"/>
        <w:rPr>
          <w:rFonts w:ascii="Times New Roman" w:hAnsi="Times New Roman"/>
          <w:snapToGrid w:val="0"/>
          <w:color w:val="auto"/>
          <w:sz w:val="30"/>
          <w:szCs w:val="30"/>
        </w:rPr>
        <w:sectPr>
          <w:pgSz w:w="11905" w:h="16838"/>
          <w:pgMar w:top="1270" w:right="1797" w:bottom="1270" w:left="1797" w:header="851" w:footer="850" w:gutter="0"/>
          <w:pgBorders>
            <w:top w:val="none" w:sz="0" w:space="0"/>
            <w:left w:val="none" w:sz="0" w:space="0"/>
            <w:bottom w:val="none" w:sz="0" w:space="0"/>
            <w:right w:val="none" w:sz="0" w:space="0"/>
          </w:pgBorders>
          <w:cols w:space="720" w:num="1"/>
          <w:docGrid w:linePitch="312" w:charSpace="0"/>
        </w:sectPr>
      </w:pPr>
    </w:p>
    <w:p>
      <w:pPr>
        <w:pStyle w:val="13"/>
        <w:wordWrap w:val="0"/>
        <w:ind w:firstLine="420"/>
        <w:jc w:val="both"/>
        <w:outlineLvl w:val="0"/>
        <w:rPr>
          <w:rFonts w:ascii="Times New Roman" w:hAnsi="Times New Roman"/>
          <w:b/>
          <w:bCs/>
          <w:snapToGrid w:val="0"/>
          <w:color w:val="auto"/>
          <w:sz w:val="30"/>
          <w:szCs w:val="30"/>
        </w:rPr>
      </w:pPr>
      <w:bookmarkStart w:id="43" w:name="_Hlk54167917"/>
      <w:bookmarkStart w:id="44" w:name="_Toc18346"/>
      <w:r>
        <w:rPr>
          <w:rFonts w:ascii="Times New Roman" w:hAnsi="Times New Roman"/>
          <w:b/>
          <w:bCs/>
          <w:snapToGrid w:val="0"/>
          <w:color w:val="auto"/>
          <w:sz w:val="30"/>
          <w:szCs w:val="30"/>
        </w:rPr>
        <w:t>五、 环境保护措施监督检查清单</w:t>
      </w:r>
      <w:bookmarkEnd w:id="43"/>
      <w:bookmarkEnd w:id="44"/>
    </w:p>
    <w:tbl>
      <w:tblPr>
        <w:tblStyle w:val="20"/>
        <w:tblW w:w="88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9"/>
        <w:gridCol w:w="703"/>
        <w:gridCol w:w="885"/>
        <w:gridCol w:w="1845"/>
        <w:gridCol w:w="1907"/>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29" w:type="dxa"/>
            <w:tcBorders>
              <w:tl2br w:val="single" w:color="auto" w:sz="4" w:space="0"/>
            </w:tcBorders>
          </w:tcPr>
          <w:p>
            <w:pPr>
              <w:wordWrap w:val="0"/>
              <w:adjustRightInd w:val="0"/>
              <w:snapToGrid w:val="0"/>
              <w:jc w:val="center"/>
              <w:rPr>
                <w:b/>
                <w:color w:val="auto"/>
                <w:szCs w:val="21"/>
              </w:rPr>
            </w:pPr>
            <w:r>
              <w:rPr>
                <w:b/>
                <w:color w:val="auto"/>
                <w:szCs w:val="21"/>
              </w:rPr>
              <w:t>内容</w:t>
            </w:r>
          </w:p>
          <w:p>
            <w:pPr>
              <w:wordWrap w:val="0"/>
              <w:adjustRightInd w:val="0"/>
              <w:snapToGrid w:val="0"/>
              <w:rPr>
                <w:b/>
                <w:color w:val="auto"/>
                <w:szCs w:val="21"/>
              </w:rPr>
            </w:pPr>
            <w:r>
              <w:rPr>
                <w:b/>
                <w:color w:val="auto"/>
                <w:szCs w:val="21"/>
              </w:rPr>
              <w:t>要素</w:t>
            </w:r>
          </w:p>
        </w:tc>
        <w:tc>
          <w:tcPr>
            <w:tcW w:w="1588" w:type="dxa"/>
            <w:gridSpan w:val="2"/>
            <w:vAlign w:val="center"/>
          </w:tcPr>
          <w:p>
            <w:pPr>
              <w:wordWrap w:val="0"/>
              <w:adjustRightInd w:val="0"/>
              <w:snapToGrid w:val="0"/>
              <w:jc w:val="center"/>
              <w:rPr>
                <w:b/>
                <w:color w:val="auto"/>
                <w:szCs w:val="21"/>
              </w:rPr>
            </w:pPr>
            <w:r>
              <w:rPr>
                <w:b/>
                <w:color w:val="auto"/>
                <w:szCs w:val="21"/>
              </w:rPr>
              <w:t>排放口（编号、名称）/污染源</w:t>
            </w:r>
          </w:p>
        </w:tc>
        <w:tc>
          <w:tcPr>
            <w:tcW w:w="1845" w:type="dxa"/>
            <w:vAlign w:val="center"/>
          </w:tcPr>
          <w:p>
            <w:pPr>
              <w:wordWrap w:val="0"/>
              <w:adjustRightInd w:val="0"/>
              <w:snapToGrid w:val="0"/>
              <w:jc w:val="center"/>
              <w:rPr>
                <w:b/>
                <w:color w:val="auto"/>
                <w:szCs w:val="21"/>
              </w:rPr>
            </w:pPr>
            <w:r>
              <w:rPr>
                <w:b/>
                <w:color w:val="auto"/>
                <w:szCs w:val="21"/>
              </w:rPr>
              <w:t>污染物项目</w:t>
            </w:r>
          </w:p>
        </w:tc>
        <w:tc>
          <w:tcPr>
            <w:tcW w:w="1907" w:type="dxa"/>
            <w:vAlign w:val="center"/>
          </w:tcPr>
          <w:p>
            <w:pPr>
              <w:wordWrap w:val="0"/>
              <w:adjustRightInd w:val="0"/>
              <w:snapToGrid w:val="0"/>
              <w:jc w:val="center"/>
              <w:rPr>
                <w:b/>
                <w:color w:val="auto"/>
                <w:szCs w:val="21"/>
              </w:rPr>
            </w:pPr>
            <w:r>
              <w:rPr>
                <w:b/>
                <w:color w:val="auto"/>
                <w:szCs w:val="21"/>
              </w:rPr>
              <w:t>环境保护</w:t>
            </w:r>
          </w:p>
          <w:p>
            <w:pPr>
              <w:wordWrap w:val="0"/>
              <w:adjustRightInd w:val="0"/>
              <w:snapToGrid w:val="0"/>
              <w:jc w:val="center"/>
              <w:rPr>
                <w:b/>
                <w:color w:val="auto"/>
                <w:szCs w:val="21"/>
              </w:rPr>
            </w:pPr>
            <w:r>
              <w:rPr>
                <w:b/>
                <w:color w:val="auto"/>
                <w:szCs w:val="21"/>
              </w:rPr>
              <w:t>措施</w:t>
            </w:r>
          </w:p>
        </w:tc>
        <w:tc>
          <w:tcPr>
            <w:tcW w:w="2431" w:type="dxa"/>
            <w:vAlign w:val="center"/>
          </w:tcPr>
          <w:p>
            <w:pPr>
              <w:wordWrap w:val="0"/>
              <w:adjustRightInd w:val="0"/>
              <w:snapToGrid w:val="0"/>
              <w:jc w:val="center"/>
              <w:rPr>
                <w:b/>
                <w:color w:val="auto"/>
                <w:szCs w:val="21"/>
              </w:rPr>
            </w:pPr>
            <w:r>
              <w:rPr>
                <w:b/>
                <w:color w:val="auto"/>
                <w:szCs w:val="21"/>
              </w:rPr>
              <w:t>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29" w:type="dxa"/>
            <w:vMerge w:val="restart"/>
            <w:vAlign w:val="center"/>
          </w:tcPr>
          <w:p>
            <w:pPr>
              <w:wordWrap w:val="0"/>
              <w:adjustRightInd w:val="0"/>
              <w:snapToGrid w:val="0"/>
              <w:jc w:val="center"/>
              <w:rPr>
                <w:b/>
                <w:color w:val="auto"/>
                <w:szCs w:val="21"/>
              </w:rPr>
            </w:pPr>
            <w:r>
              <w:rPr>
                <w:b/>
                <w:color w:val="auto"/>
                <w:szCs w:val="21"/>
              </w:rPr>
              <w:t>大气环境</w:t>
            </w:r>
          </w:p>
        </w:tc>
        <w:tc>
          <w:tcPr>
            <w:tcW w:w="1588" w:type="dxa"/>
            <w:gridSpan w:val="2"/>
            <w:vAlign w:val="center"/>
          </w:tcPr>
          <w:p>
            <w:pPr>
              <w:widowControl/>
              <w:wordWrap w:val="0"/>
              <w:jc w:val="center"/>
              <w:textAlignment w:val="center"/>
              <w:rPr>
                <w:color w:val="auto"/>
                <w:szCs w:val="21"/>
              </w:rPr>
            </w:pPr>
            <w:r>
              <w:rPr>
                <w:color w:val="auto"/>
                <w:szCs w:val="21"/>
              </w:rPr>
              <w:t>切割、打磨、抛丸</w:t>
            </w:r>
            <w:r>
              <w:rPr>
                <w:rFonts w:hint="eastAsia"/>
                <w:color w:val="auto"/>
                <w:szCs w:val="21"/>
                <w:lang w:eastAsia="zh-CN"/>
              </w:rPr>
              <w:t>、</w:t>
            </w:r>
            <w:r>
              <w:rPr>
                <w:color w:val="auto"/>
                <w:szCs w:val="21"/>
              </w:rPr>
              <w:t>焊接废气有组织废气</w:t>
            </w:r>
          </w:p>
        </w:tc>
        <w:tc>
          <w:tcPr>
            <w:tcW w:w="1845" w:type="dxa"/>
            <w:vAlign w:val="center"/>
          </w:tcPr>
          <w:p>
            <w:pPr>
              <w:widowControl/>
              <w:wordWrap w:val="0"/>
              <w:jc w:val="center"/>
              <w:textAlignment w:val="center"/>
              <w:rPr>
                <w:color w:val="auto"/>
                <w:szCs w:val="21"/>
              </w:rPr>
            </w:pPr>
            <w:r>
              <w:rPr>
                <w:color w:val="auto"/>
                <w:szCs w:val="21"/>
              </w:rPr>
              <w:t>颗粒物</w:t>
            </w:r>
          </w:p>
        </w:tc>
        <w:tc>
          <w:tcPr>
            <w:tcW w:w="1907" w:type="dxa"/>
            <w:vAlign w:val="center"/>
          </w:tcPr>
          <w:p>
            <w:pPr>
              <w:wordWrap w:val="0"/>
              <w:jc w:val="center"/>
              <w:rPr>
                <w:color w:val="auto"/>
                <w:szCs w:val="21"/>
              </w:rPr>
            </w:pPr>
            <w:r>
              <w:rPr>
                <w:color w:val="auto"/>
                <w:szCs w:val="21"/>
              </w:rPr>
              <w:t>经集气罩收集送布袋除尘器处理后由15米高DA001排气筒排放</w:t>
            </w:r>
          </w:p>
        </w:tc>
        <w:tc>
          <w:tcPr>
            <w:tcW w:w="2431" w:type="dxa"/>
            <w:vAlign w:val="center"/>
          </w:tcPr>
          <w:p>
            <w:pPr>
              <w:pStyle w:val="28"/>
              <w:wordWrap w:val="0"/>
              <w:jc w:val="center"/>
              <w:rPr>
                <w:rFonts w:ascii="Times New Roman" w:hAnsi="Times New Roman"/>
                <w:color w:val="auto"/>
                <w:sz w:val="21"/>
                <w:szCs w:val="21"/>
                <w:lang w:eastAsia="zh-CN" w:bidi="ar"/>
              </w:rPr>
            </w:pPr>
            <w:r>
              <w:rPr>
                <w:rFonts w:ascii="Times New Roman" w:hAnsi="Times New Roman"/>
                <w:color w:val="auto"/>
                <w:sz w:val="21"/>
                <w:szCs w:val="21"/>
                <w:lang w:eastAsia="zh-CN"/>
              </w:rPr>
              <w:t>大气污染物综合排放标准（DB32/4041-2021）表1规定的大气污染物有组织排放限值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29" w:type="dxa"/>
            <w:vMerge w:val="continue"/>
            <w:vAlign w:val="center"/>
          </w:tcPr>
          <w:p>
            <w:pPr>
              <w:wordWrap w:val="0"/>
              <w:adjustRightInd w:val="0"/>
              <w:snapToGrid w:val="0"/>
              <w:jc w:val="center"/>
              <w:rPr>
                <w:b/>
                <w:color w:val="auto"/>
                <w:szCs w:val="21"/>
              </w:rPr>
            </w:pPr>
          </w:p>
        </w:tc>
        <w:tc>
          <w:tcPr>
            <w:tcW w:w="1588" w:type="dxa"/>
            <w:gridSpan w:val="2"/>
            <w:vAlign w:val="center"/>
          </w:tcPr>
          <w:p>
            <w:pPr>
              <w:widowControl/>
              <w:wordWrap w:val="0"/>
              <w:jc w:val="center"/>
              <w:textAlignment w:val="center"/>
              <w:rPr>
                <w:color w:val="auto"/>
                <w:szCs w:val="21"/>
              </w:rPr>
            </w:pPr>
            <w:r>
              <w:rPr>
                <w:color w:val="auto"/>
                <w:kern w:val="0"/>
                <w:szCs w:val="21"/>
                <w:lang w:bidi="ar"/>
              </w:rPr>
              <w:t>调漆、喷漆、晾干</w:t>
            </w:r>
            <w:r>
              <w:rPr>
                <w:rFonts w:hint="eastAsia"/>
                <w:color w:val="auto"/>
                <w:kern w:val="0"/>
                <w:szCs w:val="21"/>
                <w:lang w:eastAsia="zh-CN" w:bidi="ar"/>
              </w:rPr>
              <w:t>、危废库</w:t>
            </w:r>
            <w:r>
              <w:rPr>
                <w:color w:val="auto"/>
                <w:kern w:val="0"/>
                <w:szCs w:val="21"/>
                <w:lang w:bidi="ar"/>
              </w:rPr>
              <w:t>有组织废气</w:t>
            </w:r>
          </w:p>
        </w:tc>
        <w:tc>
          <w:tcPr>
            <w:tcW w:w="1845" w:type="dxa"/>
            <w:vAlign w:val="center"/>
          </w:tcPr>
          <w:p>
            <w:pPr>
              <w:widowControl/>
              <w:wordWrap w:val="0"/>
              <w:jc w:val="center"/>
              <w:textAlignment w:val="center"/>
              <w:rPr>
                <w:color w:val="auto"/>
                <w:kern w:val="0"/>
                <w:szCs w:val="21"/>
                <w:lang w:bidi="ar"/>
              </w:rPr>
            </w:pPr>
            <w:r>
              <w:rPr>
                <w:color w:val="auto"/>
                <w:kern w:val="0"/>
                <w:szCs w:val="21"/>
                <w:lang w:bidi="ar"/>
              </w:rPr>
              <w:t>颗粒物、非甲烷总烃</w:t>
            </w:r>
          </w:p>
        </w:tc>
        <w:tc>
          <w:tcPr>
            <w:tcW w:w="1907" w:type="dxa"/>
            <w:vAlign w:val="center"/>
          </w:tcPr>
          <w:p>
            <w:pPr>
              <w:wordWrap w:val="0"/>
              <w:jc w:val="center"/>
              <w:rPr>
                <w:color w:val="auto"/>
                <w:szCs w:val="21"/>
              </w:rPr>
            </w:pPr>
            <w:r>
              <w:rPr>
                <w:color w:val="auto"/>
                <w:szCs w:val="21"/>
              </w:rPr>
              <w:t>经密闭车间收集送干式过滤棉+二级活性炭吸附处理后由15米高DA002排气筒排放</w:t>
            </w:r>
          </w:p>
        </w:tc>
        <w:tc>
          <w:tcPr>
            <w:tcW w:w="2431" w:type="dxa"/>
            <w:vAlign w:val="center"/>
          </w:tcPr>
          <w:p>
            <w:pPr>
              <w:pStyle w:val="28"/>
              <w:wordWrap w:val="0"/>
              <w:jc w:val="center"/>
              <w:rPr>
                <w:rFonts w:ascii="Times New Roman" w:hAnsi="Times New Roman"/>
                <w:color w:val="auto"/>
                <w:sz w:val="21"/>
                <w:szCs w:val="21"/>
                <w:lang w:eastAsia="zh-CN" w:bidi="ar"/>
              </w:rPr>
            </w:pPr>
            <w:r>
              <w:rPr>
                <w:rFonts w:ascii="Times New Roman" w:hAnsi="Times New Roman"/>
                <w:color w:val="auto"/>
                <w:sz w:val="21"/>
                <w:szCs w:val="21"/>
                <w:lang w:eastAsia="zh-CN"/>
              </w:rPr>
              <w:t>《表面涂装（工程机械和钢结构行业）大气污染物排放标准》（DB32/4147-2021）表1排放标准限值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29" w:type="dxa"/>
            <w:vMerge w:val="continue"/>
            <w:vAlign w:val="center"/>
          </w:tcPr>
          <w:p>
            <w:pPr>
              <w:wordWrap w:val="0"/>
              <w:adjustRightInd w:val="0"/>
              <w:snapToGrid w:val="0"/>
              <w:jc w:val="center"/>
              <w:rPr>
                <w:b/>
                <w:color w:val="auto"/>
                <w:szCs w:val="21"/>
              </w:rPr>
            </w:pPr>
          </w:p>
        </w:tc>
        <w:tc>
          <w:tcPr>
            <w:tcW w:w="1588" w:type="dxa"/>
            <w:gridSpan w:val="2"/>
            <w:vAlign w:val="center"/>
          </w:tcPr>
          <w:p>
            <w:pPr>
              <w:wordWrap w:val="0"/>
              <w:snapToGrid w:val="0"/>
              <w:jc w:val="center"/>
              <w:rPr>
                <w:color w:val="auto"/>
                <w:szCs w:val="21"/>
              </w:rPr>
            </w:pPr>
            <w:r>
              <w:rPr>
                <w:color w:val="auto"/>
                <w:szCs w:val="21"/>
              </w:rPr>
              <w:t>切割、打磨、抛丸无组织废气</w:t>
            </w:r>
          </w:p>
        </w:tc>
        <w:tc>
          <w:tcPr>
            <w:tcW w:w="1845" w:type="dxa"/>
            <w:vAlign w:val="center"/>
          </w:tcPr>
          <w:p>
            <w:pPr>
              <w:widowControl/>
              <w:wordWrap w:val="0"/>
              <w:jc w:val="center"/>
              <w:textAlignment w:val="center"/>
              <w:rPr>
                <w:color w:val="auto"/>
                <w:kern w:val="0"/>
                <w:szCs w:val="21"/>
                <w:lang w:bidi="ar"/>
              </w:rPr>
            </w:pPr>
            <w:r>
              <w:rPr>
                <w:color w:val="auto"/>
                <w:szCs w:val="21"/>
              </w:rPr>
              <w:t>颗粒物</w:t>
            </w:r>
          </w:p>
        </w:tc>
        <w:tc>
          <w:tcPr>
            <w:tcW w:w="1907" w:type="dxa"/>
            <w:vAlign w:val="center"/>
          </w:tcPr>
          <w:p>
            <w:pPr>
              <w:wordWrap w:val="0"/>
              <w:jc w:val="center"/>
              <w:rPr>
                <w:color w:val="auto"/>
                <w:szCs w:val="21"/>
              </w:rPr>
            </w:pPr>
            <w:r>
              <w:rPr>
                <w:color w:val="auto"/>
                <w:szCs w:val="21"/>
              </w:rPr>
              <w:t>加强车间密闭</w:t>
            </w:r>
          </w:p>
        </w:tc>
        <w:tc>
          <w:tcPr>
            <w:tcW w:w="2431" w:type="dxa"/>
            <w:vAlign w:val="center"/>
          </w:tcPr>
          <w:p>
            <w:pPr>
              <w:pStyle w:val="28"/>
              <w:wordWrap w:val="0"/>
              <w:jc w:val="center"/>
              <w:rPr>
                <w:rFonts w:ascii="Times New Roman" w:hAnsi="Times New Roman"/>
                <w:color w:val="auto"/>
                <w:sz w:val="21"/>
                <w:szCs w:val="21"/>
                <w:lang w:eastAsia="zh-CN" w:bidi="ar"/>
              </w:rPr>
            </w:pPr>
            <w:r>
              <w:rPr>
                <w:rFonts w:ascii="Times New Roman" w:hAnsi="Times New Roman"/>
                <w:color w:val="auto"/>
                <w:sz w:val="21"/>
                <w:szCs w:val="21"/>
                <w:lang w:eastAsia="zh-CN"/>
              </w:rPr>
              <w:t>厂界无组织颗粒物及无组织非甲烷总烃执行江苏省地方标准《大气污染物综合排放标准》（DB32/4041-2021）表3排放标准限值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29" w:type="dxa"/>
            <w:vMerge w:val="continue"/>
            <w:vAlign w:val="center"/>
          </w:tcPr>
          <w:p>
            <w:pPr>
              <w:wordWrap w:val="0"/>
              <w:adjustRightInd w:val="0"/>
              <w:snapToGrid w:val="0"/>
              <w:jc w:val="center"/>
              <w:rPr>
                <w:b/>
                <w:color w:val="auto"/>
                <w:szCs w:val="21"/>
              </w:rPr>
            </w:pPr>
          </w:p>
        </w:tc>
        <w:tc>
          <w:tcPr>
            <w:tcW w:w="1588" w:type="dxa"/>
            <w:gridSpan w:val="2"/>
            <w:vAlign w:val="center"/>
          </w:tcPr>
          <w:p>
            <w:pPr>
              <w:wordWrap w:val="0"/>
              <w:snapToGrid w:val="0"/>
              <w:jc w:val="center"/>
              <w:rPr>
                <w:color w:val="auto"/>
                <w:szCs w:val="21"/>
              </w:rPr>
            </w:pPr>
            <w:r>
              <w:rPr>
                <w:color w:val="auto"/>
                <w:szCs w:val="21"/>
              </w:rPr>
              <w:t>调漆、喷漆、晾干废气</w:t>
            </w:r>
            <w:r>
              <w:rPr>
                <w:rFonts w:hint="eastAsia"/>
                <w:color w:val="auto"/>
                <w:szCs w:val="21"/>
                <w:lang w:eastAsia="zh-CN"/>
              </w:rPr>
              <w:t>、</w:t>
            </w:r>
            <w:r>
              <w:rPr>
                <w:rFonts w:hint="eastAsia"/>
                <w:color w:val="auto"/>
                <w:kern w:val="0"/>
                <w:szCs w:val="21"/>
                <w:lang w:eastAsia="zh-CN" w:bidi="ar"/>
              </w:rPr>
              <w:t>危废库</w:t>
            </w:r>
            <w:r>
              <w:rPr>
                <w:color w:val="auto"/>
                <w:szCs w:val="21"/>
              </w:rPr>
              <w:t>无组织废气</w:t>
            </w:r>
          </w:p>
        </w:tc>
        <w:tc>
          <w:tcPr>
            <w:tcW w:w="1845" w:type="dxa"/>
            <w:vAlign w:val="center"/>
          </w:tcPr>
          <w:p>
            <w:pPr>
              <w:widowControl/>
              <w:wordWrap w:val="0"/>
              <w:jc w:val="center"/>
              <w:textAlignment w:val="center"/>
              <w:rPr>
                <w:color w:val="auto"/>
                <w:kern w:val="0"/>
                <w:szCs w:val="21"/>
                <w:lang w:bidi="ar"/>
              </w:rPr>
            </w:pPr>
            <w:r>
              <w:rPr>
                <w:color w:val="auto"/>
                <w:szCs w:val="21"/>
              </w:rPr>
              <w:t>颗粒物、非甲烷总烃</w:t>
            </w:r>
          </w:p>
        </w:tc>
        <w:tc>
          <w:tcPr>
            <w:tcW w:w="1907" w:type="dxa"/>
            <w:vAlign w:val="center"/>
          </w:tcPr>
          <w:p>
            <w:pPr>
              <w:wordWrap w:val="0"/>
              <w:jc w:val="center"/>
              <w:rPr>
                <w:color w:val="auto"/>
                <w:szCs w:val="21"/>
              </w:rPr>
            </w:pPr>
            <w:r>
              <w:rPr>
                <w:color w:val="auto"/>
                <w:szCs w:val="21"/>
              </w:rPr>
              <w:t>加强车间密闭</w:t>
            </w:r>
          </w:p>
        </w:tc>
        <w:tc>
          <w:tcPr>
            <w:tcW w:w="2431" w:type="dxa"/>
            <w:vAlign w:val="center"/>
          </w:tcPr>
          <w:p>
            <w:pPr>
              <w:pStyle w:val="28"/>
              <w:wordWrap w:val="0"/>
              <w:jc w:val="center"/>
              <w:rPr>
                <w:rFonts w:ascii="Times New Roman" w:hAnsi="Times New Roman"/>
                <w:color w:val="auto"/>
                <w:sz w:val="21"/>
                <w:szCs w:val="21"/>
                <w:lang w:eastAsia="zh-CN" w:bidi="ar"/>
              </w:rPr>
            </w:pPr>
            <w:r>
              <w:rPr>
                <w:rFonts w:ascii="Times New Roman" w:hAnsi="Times New Roman"/>
                <w:color w:val="auto"/>
                <w:sz w:val="21"/>
                <w:szCs w:val="21"/>
                <w:lang w:eastAsia="zh-CN"/>
              </w:rPr>
              <w:t>厂界无组织颗粒物及无组织非甲烷总烃执行江苏省地方标准《大气污染物综合排放标准》（DB32/4041-2021）表3排放标准限值，厂区内无组织非甲烷总烃表面涂装（工程机械和钢结构行业）大气污染物排放标准》（DB32/4147-2021）表3排放标准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29" w:type="dxa"/>
            <w:vAlign w:val="center"/>
          </w:tcPr>
          <w:p>
            <w:pPr>
              <w:wordWrap w:val="0"/>
              <w:adjustRightInd w:val="0"/>
              <w:snapToGrid w:val="0"/>
              <w:jc w:val="center"/>
              <w:rPr>
                <w:b/>
                <w:color w:val="auto"/>
                <w:szCs w:val="21"/>
              </w:rPr>
            </w:pPr>
            <w:r>
              <w:rPr>
                <w:b/>
                <w:color w:val="auto"/>
                <w:szCs w:val="21"/>
              </w:rPr>
              <w:t>地表水环境</w:t>
            </w:r>
          </w:p>
        </w:tc>
        <w:tc>
          <w:tcPr>
            <w:tcW w:w="703" w:type="dxa"/>
            <w:vAlign w:val="center"/>
          </w:tcPr>
          <w:p>
            <w:pPr>
              <w:wordWrap w:val="0"/>
              <w:adjustRightInd w:val="0"/>
              <w:snapToGrid w:val="0"/>
              <w:jc w:val="center"/>
              <w:rPr>
                <w:color w:val="auto"/>
                <w:szCs w:val="21"/>
              </w:rPr>
            </w:pPr>
            <w:r>
              <w:rPr>
                <w:color w:val="auto"/>
                <w:szCs w:val="21"/>
              </w:rPr>
              <w:t>DW001</w:t>
            </w:r>
          </w:p>
        </w:tc>
        <w:tc>
          <w:tcPr>
            <w:tcW w:w="885" w:type="dxa"/>
            <w:vAlign w:val="center"/>
          </w:tcPr>
          <w:p>
            <w:pPr>
              <w:wordWrap w:val="0"/>
              <w:adjustRightInd w:val="0"/>
              <w:snapToGrid w:val="0"/>
              <w:jc w:val="center"/>
              <w:rPr>
                <w:color w:val="auto"/>
                <w:szCs w:val="21"/>
              </w:rPr>
            </w:pPr>
            <w:r>
              <w:rPr>
                <w:color w:val="auto"/>
                <w:szCs w:val="21"/>
              </w:rPr>
              <w:t>生活污水</w:t>
            </w:r>
          </w:p>
        </w:tc>
        <w:tc>
          <w:tcPr>
            <w:tcW w:w="1845" w:type="dxa"/>
            <w:vAlign w:val="center"/>
          </w:tcPr>
          <w:p>
            <w:pPr>
              <w:wordWrap w:val="0"/>
              <w:snapToGrid w:val="0"/>
              <w:jc w:val="center"/>
              <w:rPr>
                <w:color w:val="auto"/>
                <w:szCs w:val="21"/>
              </w:rPr>
            </w:pPr>
            <w:r>
              <w:rPr>
                <w:bCs/>
                <w:color w:val="auto"/>
                <w:szCs w:val="21"/>
              </w:rPr>
              <w:t>pH、COD、SS、氨氮、TP、TN、</w:t>
            </w:r>
          </w:p>
        </w:tc>
        <w:tc>
          <w:tcPr>
            <w:tcW w:w="1907" w:type="dxa"/>
            <w:vAlign w:val="center"/>
          </w:tcPr>
          <w:p>
            <w:pPr>
              <w:wordWrap w:val="0"/>
              <w:snapToGrid w:val="0"/>
              <w:jc w:val="center"/>
              <w:rPr>
                <w:color w:val="auto"/>
                <w:szCs w:val="21"/>
              </w:rPr>
            </w:pPr>
            <w:r>
              <w:rPr>
                <w:color w:val="auto"/>
                <w:szCs w:val="21"/>
              </w:rPr>
              <w:t>化粪池</w:t>
            </w:r>
          </w:p>
        </w:tc>
        <w:tc>
          <w:tcPr>
            <w:tcW w:w="2431" w:type="dxa"/>
            <w:vAlign w:val="center"/>
          </w:tcPr>
          <w:p>
            <w:pPr>
              <w:wordWrap w:val="0"/>
              <w:snapToGrid w:val="0"/>
              <w:jc w:val="center"/>
              <w:rPr>
                <w:color w:val="auto"/>
                <w:szCs w:val="21"/>
              </w:rPr>
            </w:pPr>
            <w:r>
              <w:rPr>
                <w:color w:val="auto"/>
                <w:szCs w:val="21"/>
              </w:rPr>
              <w:t>回用肥田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7" w:hRule="atLeast"/>
          <w:jc w:val="center"/>
        </w:trPr>
        <w:tc>
          <w:tcPr>
            <w:tcW w:w="1029" w:type="dxa"/>
            <w:vAlign w:val="center"/>
          </w:tcPr>
          <w:p>
            <w:pPr>
              <w:wordWrap w:val="0"/>
              <w:adjustRightInd w:val="0"/>
              <w:snapToGrid w:val="0"/>
              <w:jc w:val="center"/>
              <w:rPr>
                <w:b/>
                <w:color w:val="auto"/>
                <w:szCs w:val="21"/>
              </w:rPr>
            </w:pPr>
            <w:r>
              <w:rPr>
                <w:b/>
                <w:color w:val="auto"/>
                <w:szCs w:val="21"/>
              </w:rPr>
              <w:t>声环境</w:t>
            </w:r>
          </w:p>
        </w:tc>
        <w:tc>
          <w:tcPr>
            <w:tcW w:w="1588" w:type="dxa"/>
            <w:gridSpan w:val="2"/>
            <w:vAlign w:val="center"/>
          </w:tcPr>
          <w:p>
            <w:pPr>
              <w:wordWrap w:val="0"/>
              <w:overflowPunct w:val="0"/>
              <w:spacing w:line="240" w:lineRule="atLeast"/>
              <w:jc w:val="center"/>
              <w:textAlignment w:val="baseline"/>
              <w:rPr>
                <w:color w:val="auto"/>
                <w:szCs w:val="21"/>
              </w:rPr>
            </w:pPr>
            <w:r>
              <w:rPr>
                <w:color w:val="auto"/>
                <w:szCs w:val="21"/>
              </w:rPr>
              <w:t>设备噪声</w:t>
            </w:r>
          </w:p>
        </w:tc>
        <w:tc>
          <w:tcPr>
            <w:tcW w:w="1845" w:type="dxa"/>
            <w:vAlign w:val="center"/>
          </w:tcPr>
          <w:p>
            <w:pPr>
              <w:wordWrap w:val="0"/>
              <w:adjustRightInd w:val="0"/>
              <w:snapToGrid w:val="0"/>
              <w:jc w:val="center"/>
              <w:rPr>
                <w:color w:val="auto"/>
                <w:szCs w:val="21"/>
              </w:rPr>
            </w:pPr>
            <w:r>
              <w:rPr>
                <w:color w:val="auto"/>
                <w:szCs w:val="21"/>
              </w:rPr>
              <w:t>Leq(A)</w:t>
            </w:r>
          </w:p>
        </w:tc>
        <w:tc>
          <w:tcPr>
            <w:tcW w:w="1907" w:type="dxa"/>
            <w:vAlign w:val="center"/>
          </w:tcPr>
          <w:p>
            <w:pPr>
              <w:wordWrap w:val="0"/>
              <w:adjustRightInd w:val="0"/>
              <w:snapToGrid w:val="0"/>
              <w:jc w:val="center"/>
              <w:rPr>
                <w:color w:val="auto"/>
                <w:szCs w:val="21"/>
              </w:rPr>
            </w:pPr>
            <w:r>
              <w:rPr>
                <w:color w:val="auto"/>
                <w:szCs w:val="21"/>
              </w:rPr>
              <w:t>选用低噪声设备，合理布局，采用减振基座，及厂区绿化等措施</w:t>
            </w:r>
          </w:p>
        </w:tc>
        <w:tc>
          <w:tcPr>
            <w:tcW w:w="2431" w:type="dxa"/>
            <w:vAlign w:val="center"/>
          </w:tcPr>
          <w:p>
            <w:pPr>
              <w:wordWrap w:val="0"/>
              <w:adjustRightInd w:val="0"/>
              <w:snapToGrid w:val="0"/>
              <w:jc w:val="center"/>
              <w:rPr>
                <w:color w:val="auto"/>
                <w:szCs w:val="21"/>
              </w:rPr>
            </w:pPr>
            <w:r>
              <w:rPr>
                <w:color w:val="auto"/>
                <w:szCs w:val="21"/>
              </w:rPr>
              <w:t>厂界东侧、南侧、西侧和北侧噪声达到《工业企业厂界环境噪声排放标准》（GB12348-2008）中的</w:t>
            </w:r>
            <w:r>
              <w:rPr>
                <w:rFonts w:hint="eastAsia"/>
                <w:color w:val="auto"/>
                <w:szCs w:val="21"/>
              </w:rPr>
              <w:t>3</w:t>
            </w:r>
            <w:r>
              <w:rPr>
                <w:color w:val="auto"/>
                <w:szCs w:val="21"/>
              </w:rPr>
              <w:t>类标准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29" w:type="dxa"/>
            <w:vAlign w:val="center"/>
          </w:tcPr>
          <w:p>
            <w:pPr>
              <w:wordWrap w:val="0"/>
              <w:adjustRightInd w:val="0"/>
              <w:snapToGrid w:val="0"/>
              <w:jc w:val="center"/>
              <w:rPr>
                <w:b/>
                <w:color w:val="auto"/>
                <w:szCs w:val="21"/>
              </w:rPr>
            </w:pPr>
            <w:r>
              <w:rPr>
                <w:b/>
                <w:color w:val="auto"/>
                <w:szCs w:val="21"/>
              </w:rPr>
              <w:t>电磁</w:t>
            </w:r>
          </w:p>
          <w:p>
            <w:pPr>
              <w:wordWrap w:val="0"/>
              <w:adjustRightInd w:val="0"/>
              <w:snapToGrid w:val="0"/>
              <w:jc w:val="center"/>
              <w:rPr>
                <w:b/>
                <w:color w:val="auto"/>
                <w:szCs w:val="21"/>
              </w:rPr>
            </w:pPr>
            <w:r>
              <w:rPr>
                <w:b/>
                <w:color w:val="auto"/>
                <w:szCs w:val="21"/>
              </w:rPr>
              <w:t>辐射</w:t>
            </w:r>
          </w:p>
        </w:tc>
        <w:tc>
          <w:tcPr>
            <w:tcW w:w="1588" w:type="dxa"/>
            <w:gridSpan w:val="2"/>
            <w:vAlign w:val="center"/>
          </w:tcPr>
          <w:p>
            <w:pPr>
              <w:wordWrap w:val="0"/>
              <w:snapToGrid w:val="0"/>
              <w:jc w:val="center"/>
              <w:rPr>
                <w:color w:val="auto"/>
                <w:szCs w:val="21"/>
              </w:rPr>
            </w:pPr>
            <w:r>
              <w:rPr>
                <w:color w:val="auto"/>
                <w:szCs w:val="21"/>
              </w:rPr>
              <w:t>/</w:t>
            </w:r>
          </w:p>
        </w:tc>
        <w:tc>
          <w:tcPr>
            <w:tcW w:w="1845" w:type="dxa"/>
            <w:vAlign w:val="center"/>
          </w:tcPr>
          <w:p>
            <w:pPr>
              <w:wordWrap w:val="0"/>
              <w:snapToGrid w:val="0"/>
              <w:jc w:val="center"/>
              <w:rPr>
                <w:color w:val="auto"/>
                <w:szCs w:val="21"/>
              </w:rPr>
            </w:pPr>
            <w:r>
              <w:rPr>
                <w:color w:val="auto"/>
                <w:szCs w:val="21"/>
              </w:rPr>
              <w:t>/</w:t>
            </w:r>
          </w:p>
        </w:tc>
        <w:tc>
          <w:tcPr>
            <w:tcW w:w="1907" w:type="dxa"/>
            <w:vAlign w:val="center"/>
          </w:tcPr>
          <w:p>
            <w:pPr>
              <w:wordWrap w:val="0"/>
              <w:snapToGrid w:val="0"/>
              <w:jc w:val="center"/>
              <w:rPr>
                <w:color w:val="auto"/>
                <w:szCs w:val="21"/>
              </w:rPr>
            </w:pPr>
            <w:r>
              <w:rPr>
                <w:color w:val="auto"/>
                <w:szCs w:val="21"/>
              </w:rPr>
              <w:t>/</w:t>
            </w:r>
          </w:p>
        </w:tc>
        <w:tc>
          <w:tcPr>
            <w:tcW w:w="2431" w:type="dxa"/>
            <w:vAlign w:val="center"/>
          </w:tcPr>
          <w:p>
            <w:pPr>
              <w:wordWrap w:val="0"/>
              <w:snapToGrid w:val="0"/>
              <w:jc w:val="center"/>
              <w:rPr>
                <w:color w:val="auto"/>
                <w:szCs w:val="21"/>
              </w:rPr>
            </w:pPr>
            <w:r>
              <w:rPr>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29" w:type="dxa"/>
            <w:vAlign w:val="center"/>
          </w:tcPr>
          <w:p>
            <w:pPr>
              <w:wordWrap w:val="0"/>
              <w:adjustRightInd w:val="0"/>
              <w:snapToGrid w:val="0"/>
              <w:jc w:val="center"/>
              <w:rPr>
                <w:b/>
                <w:color w:val="auto"/>
                <w:szCs w:val="21"/>
              </w:rPr>
            </w:pPr>
            <w:r>
              <w:rPr>
                <w:b/>
                <w:color w:val="auto"/>
                <w:szCs w:val="21"/>
              </w:rPr>
              <w:t>固体</w:t>
            </w:r>
          </w:p>
          <w:p>
            <w:pPr>
              <w:wordWrap w:val="0"/>
              <w:adjustRightInd w:val="0"/>
              <w:snapToGrid w:val="0"/>
              <w:jc w:val="center"/>
              <w:rPr>
                <w:b/>
                <w:color w:val="auto"/>
                <w:szCs w:val="21"/>
              </w:rPr>
            </w:pPr>
            <w:r>
              <w:rPr>
                <w:b/>
                <w:color w:val="auto"/>
                <w:szCs w:val="21"/>
              </w:rPr>
              <w:t>废物</w:t>
            </w:r>
          </w:p>
        </w:tc>
        <w:tc>
          <w:tcPr>
            <w:tcW w:w="7771" w:type="dxa"/>
            <w:gridSpan w:val="5"/>
            <w:vAlign w:val="center"/>
          </w:tcPr>
          <w:p>
            <w:pPr>
              <w:wordWrap w:val="0"/>
              <w:adjustRightInd w:val="0"/>
              <w:snapToGrid w:val="0"/>
              <w:spacing w:line="360" w:lineRule="auto"/>
              <w:ind w:firstLine="512" w:firstLineChars="200"/>
              <w:jc w:val="left"/>
              <w:rPr>
                <w:color w:val="auto"/>
                <w:spacing w:val="8"/>
                <w:sz w:val="24"/>
                <w:shd w:val="clear" w:color="auto" w:fill="FFFFFF"/>
              </w:rPr>
            </w:pPr>
            <w:r>
              <w:rPr>
                <w:color w:val="auto"/>
                <w:spacing w:val="8"/>
                <w:sz w:val="24"/>
                <w:shd w:val="clear" w:color="auto" w:fill="FFFFFF"/>
              </w:rPr>
              <w:t>本项目产生的</w:t>
            </w:r>
            <w:r>
              <w:rPr>
                <w:color w:val="auto"/>
                <w:sz w:val="24"/>
              </w:rPr>
              <w:t>废边角料、</w:t>
            </w:r>
            <w:r>
              <w:rPr>
                <w:rFonts w:hint="eastAsia"/>
                <w:color w:val="auto"/>
                <w:sz w:val="24"/>
                <w:lang w:eastAsia="zh-CN"/>
              </w:rPr>
              <w:t>废钢丸、</w:t>
            </w:r>
            <w:r>
              <w:rPr>
                <w:b w:val="0"/>
                <w:bCs w:val="0"/>
                <w:color w:val="auto"/>
                <w:sz w:val="24"/>
              </w:rPr>
              <w:t>废气处理装置收集的烟粉尘</w:t>
            </w:r>
            <w:r>
              <w:rPr>
                <w:rFonts w:hint="eastAsia"/>
                <w:b w:val="0"/>
                <w:bCs w:val="0"/>
                <w:color w:val="auto"/>
                <w:sz w:val="24"/>
                <w:lang w:eastAsia="zh-CN"/>
              </w:rPr>
              <w:t>、</w:t>
            </w:r>
            <w:r>
              <w:rPr>
                <w:b w:val="0"/>
                <w:bCs w:val="0"/>
                <w:color w:val="auto"/>
                <w:sz w:val="24"/>
              </w:rPr>
              <w:t>废布袋、</w:t>
            </w:r>
            <w:r>
              <w:rPr>
                <w:rFonts w:hint="eastAsia"/>
                <w:b w:val="0"/>
                <w:bCs w:val="0"/>
                <w:color w:val="auto"/>
                <w:sz w:val="24"/>
                <w:lang w:eastAsia="zh-CN"/>
              </w:rPr>
              <w:t>废</w:t>
            </w:r>
            <w:r>
              <w:rPr>
                <w:b w:val="0"/>
                <w:bCs w:val="0"/>
                <w:color w:val="auto"/>
                <w:sz w:val="24"/>
              </w:rPr>
              <w:t>焊渣</w:t>
            </w:r>
            <w:r>
              <w:rPr>
                <w:rFonts w:hint="eastAsia"/>
                <w:b w:val="0"/>
                <w:bCs w:val="0"/>
                <w:color w:val="auto"/>
                <w:sz w:val="24"/>
                <w:lang w:eastAsia="zh-CN"/>
              </w:rPr>
              <w:t>、废砂轮片、废金属屑</w:t>
            </w:r>
            <w:r>
              <w:rPr>
                <w:color w:val="auto"/>
                <w:spacing w:val="8"/>
                <w:sz w:val="24"/>
                <w:shd w:val="clear" w:color="auto" w:fill="FFFFFF"/>
              </w:rPr>
              <w:t>一般固废统一收集后外售；产生的</w:t>
            </w:r>
            <w:r>
              <w:rPr>
                <w:b w:val="0"/>
                <w:bCs w:val="0"/>
                <w:color w:val="auto"/>
                <w:sz w:val="24"/>
              </w:rPr>
              <w:t>废漆渣、废漆桶、废</w:t>
            </w:r>
            <w:r>
              <w:rPr>
                <w:color w:val="auto"/>
                <w:sz w:val="24"/>
              </w:rPr>
              <w:t>油桶、废活性炭、废润滑油、废喷枪枪头</w:t>
            </w:r>
            <w:r>
              <w:rPr>
                <w:rFonts w:hint="eastAsia"/>
                <w:color w:val="auto"/>
                <w:sz w:val="24"/>
                <w:lang w:eastAsia="zh-CN"/>
              </w:rPr>
              <w:t>、</w:t>
            </w:r>
            <w:r>
              <w:rPr>
                <w:b w:val="0"/>
                <w:bCs w:val="0"/>
                <w:color w:val="auto"/>
                <w:sz w:val="24"/>
              </w:rPr>
              <w:t>废过滤干式过滤棉</w:t>
            </w:r>
            <w:r>
              <w:rPr>
                <w:color w:val="auto"/>
                <w:spacing w:val="8"/>
                <w:sz w:val="24"/>
                <w:shd w:val="clear" w:color="auto" w:fill="FFFFFF"/>
              </w:rPr>
              <w:t>危险废物统一收集后，危废暂存库暂存，并委托有资质单位处置；生活垃圾</w:t>
            </w:r>
            <w:r>
              <w:rPr>
                <w:rFonts w:hint="eastAsia"/>
                <w:color w:val="auto"/>
                <w:spacing w:val="8"/>
                <w:sz w:val="24"/>
                <w:shd w:val="clear" w:color="auto" w:fill="FFFFFF"/>
                <w:lang w:eastAsia="zh-CN"/>
              </w:rPr>
              <w:t>、化粪池污泥</w:t>
            </w:r>
            <w:r>
              <w:rPr>
                <w:color w:val="auto"/>
                <w:spacing w:val="8"/>
                <w:sz w:val="24"/>
                <w:shd w:val="clear" w:color="auto" w:fill="FFFFFF"/>
              </w:rPr>
              <w:t>定期由环卫部门清运。固体废</w:t>
            </w:r>
            <w:r>
              <w:rPr>
                <w:color w:val="auto"/>
                <w:sz w:val="24"/>
              </w:rPr>
              <w:t>物均得到相应合理的处置，零排放。</w:t>
            </w:r>
          </w:p>
          <w:p>
            <w:pPr>
              <w:wordWrap w:val="0"/>
              <w:adjustRightInd w:val="0"/>
              <w:snapToGrid w:val="0"/>
              <w:spacing w:line="360" w:lineRule="auto"/>
              <w:ind w:firstLine="480" w:firstLineChars="200"/>
              <w:jc w:val="left"/>
              <w:rPr>
                <w:color w:val="auto"/>
                <w:sz w:val="24"/>
              </w:rPr>
            </w:pPr>
            <w:r>
              <w:rPr>
                <w:color w:val="auto"/>
                <w:sz w:val="24"/>
              </w:rPr>
              <w:t>本项目设置1座</w:t>
            </w:r>
            <w:r>
              <w:rPr>
                <w:rFonts w:hint="eastAsia"/>
                <w:color w:val="auto"/>
                <w:sz w:val="24"/>
                <w:lang w:val="en-US" w:eastAsia="zh-CN"/>
              </w:rPr>
              <w:t>15</w:t>
            </w:r>
            <w:r>
              <w:rPr>
                <w:color w:val="auto"/>
                <w:sz w:val="24"/>
              </w:rPr>
              <w:t>m²危废暂存库，危险废物贮存按照《危险废物贮存污染控制标准》（GB18597-2023）、《危险废物收集储存运输技术规范》（HJ2025-2012）、《江苏省危险废物集中收集体系建设工作方案（试行）》（苏环办〔2021〕290号）、《省生态环境厅关于做好《危险废物贮存污染控制标准》等标准规范实施后危险废物环境管理衔接工作的通知》（苏环办[2023]154号）要求进行危险废物的贮存。</w:t>
            </w:r>
          </w:p>
          <w:p>
            <w:pPr>
              <w:wordWrap w:val="0"/>
              <w:adjustRightInd w:val="0"/>
              <w:snapToGrid w:val="0"/>
              <w:spacing w:line="360" w:lineRule="auto"/>
              <w:ind w:firstLine="512" w:firstLineChars="200"/>
              <w:jc w:val="left"/>
              <w:rPr>
                <w:color w:val="auto"/>
                <w:kern w:val="0"/>
                <w:sz w:val="24"/>
                <w:lang w:bidi="ar"/>
              </w:rPr>
            </w:pPr>
            <w:r>
              <w:rPr>
                <w:color w:val="auto"/>
                <w:spacing w:val="8"/>
                <w:sz w:val="24"/>
                <w:shd w:val="clear" w:color="auto" w:fill="FFFFFF"/>
              </w:rPr>
              <w:t>本项目设</w:t>
            </w:r>
            <w:r>
              <w:rPr>
                <w:color w:val="auto"/>
                <w:kern w:val="0"/>
                <w:sz w:val="24"/>
                <w:lang w:bidi="ar"/>
              </w:rPr>
              <w:t>置1座50m²一般工业固废仓库，按照《一般工业固体废物贮存和填埋污染控制标准》（GB18599-2020）贮存。</w:t>
            </w:r>
          </w:p>
          <w:p>
            <w:pPr>
              <w:wordWrap w:val="0"/>
              <w:adjustRightInd w:val="0"/>
              <w:snapToGrid w:val="0"/>
              <w:spacing w:line="360" w:lineRule="auto"/>
              <w:ind w:firstLine="480" w:firstLineChars="200"/>
              <w:jc w:val="left"/>
              <w:rPr>
                <w:color w:val="auto"/>
                <w:kern w:val="0"/>
                <w:sz w:val="24"/>
                <w:lang w:bidi="ar"/>
              </w:rPr>
            </w:pPr>
            <w:r>
              <w:rPr>
                <w:color w:val="auto"/>
                <w:sz w:val="24"/>
              </w:rPr>
              <w:t>固废贮存场所标志执行《危险废物识别标志设置技术规范》（HJ1276-2022）、《危险废物识别标志设置技术规范》（HJ 1276-2022）以及《环境保护图形标志固体废物贮存（处置）场》（GB15562.2-1995）及修改单中相关要求。</w:t>
            </w:r>
          </w:p>
          <w:p>
            <w:pPr>
              <w:wordWrap w:val="0"/>
              <w:adjustRightInd w:val="0"/>
              <w:snapToGrid w:val="0"/>
              <w:spacing w:line="360" w:lineRule="auto"/>
              <w:ind w:firstLine="480" w:firstLineChars="200"/>
              <w:jc w:val="left"/>
              <w:rPr>
                <w:color w:val="auto"/>
                <w:szCs w:val="21"/>
              </w:rPr>
            </w:pPr>
            <w:r>
              <w:rPr>
                <w:bCs/>
                <w:color w:val="auto"/>
                <w:sz w:val="24"/>
                <w:lang w:val="zh-CN"/>
              </w:rPr>
              <w:t>生活垃圾的储存与处置参照执行《城市生活垃圾管理办法》（住房和城乡建设部令第24号，2015 年5月4日修正）。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29" w:type="dxa"/>
            <w:vAlign w:val="center"/>
          </w:tcPr>
          <w:p>
            <w:pPr>
              <w:wordWrap w:val="0"/>
              <w:adjustRightInd w:val="0"/>
              <w:snapToGrid w:val="0"/>
              <w:jc w:val="center"/>
              <w:rPr>
                <w:b/>
                <w:color w:val="auto"/>
                <w:szCs w:val="21"/>
              </w:rPr>
            </w:pPr>
            <w:r>
              <w:rPr>
                <w:b/>
                <w:color w:val="auto"/>
                <w:szCs w:val="21"/>
              </w:rPr>
              <w:t>土壤及地下水</w:t>
            </w:r>
          </w:p>
          <w:p>
            <w:pPr>
              <w:wordWrap w:val="0"/>
              <w:adjustRightInd w:val="0"/>
              <w:snapToGrid w:val="0"/>
              <w:jc w:val="center"/>
              <w:rPr>
                <w:b/>
                <w:color w:val="auto"/>
                <w:szCs w:val="21"/>
              </w:rPr>
            </w:pPr>
            <w:r>
              <w:rPr>
                <w:b/>
                <w:color w:val="auto"/>
                <w:szCs w:val="21"/>
              </w:rPr>
              <w:t>污染防治措施</w:t>
            </w:r>
          </w:p>
        </w:tc>
        <w:tc>
          <w:tcPr>
            <w:tcW w:w="7771" w:type="dxa"/>
            <w:gridSpan w:val="5"/>
            <w:vAlign w:val="center"/>
          </w:tcPr>
          <w:p>
            <w:pPr>
              <w:wordWrap w:val="0"/>
              <w:adjustRightInd w:val="0"/>
              <w:snapToGrid w:val="0"/>
              <w:spacing w:line="360" w:lineRule="auto"/>
              <w:ind w:firstLine="480" w:firstLineChars="200"/>
              <w:jc w:val="left"/>
              <w:rPr>
                <w:color w:val="auto"/>
                <w:kern w:val="0"/>
                <w:sz w:val="24"/>
                <w:lang w:bidi="ar"/>
              </w:rPr>
            </w:pPr>
            <w:r>
              <w:rPr>
                <w:color w:val="auto"/>
                <w:kern w:val="0"/>
                <w:sz w:val="24"/>
                <w:lang w:bidi="ar"/>
              </w:rPr>
              <w:t>①源头控制：厂区采取雨污分流；加强企业管理，定期对废气及废水处理设施等进行维护，避免非正常工况排放。</w:t>
            </w:r>
          </w:p>
          <w:p>
            <w:pPr>
              <w:wordWrap w:val="0"/>
              <w:adjustRightInd w:val="0"/>
              <w:snapToGrid w:val="0"/>
              <w:spacing w:line="360" w:lineRule="auto"/>
              <w:ind w:firstLine="480" w:firstLineChars="200"/>
              <w:jc w:val="left"/>
              <w:rPr>
                <w:color w:val="auto"/>
                <w:kern w:val="0"/>
                <w:sz w:val="24"/>
                <w:lang w:bidi="ar"/>
              </w:rPr>
            </w:pPr>
            <w:r>
              <w:rPr>
                <w:color w:val="auto"/>
                <w:kern w:val="0"/>
                <w:sz w:val="24"/>
                <w:lang w:bidi="ar"/>
              </w:rPr>
              <w:t>②分区防渗：厂区做好分区防渗，对液态原料贮存区、危废暂存库等区域进行重点防渗，杜绝渗漏事故的发生。</w:t>
            </w:r>
          </w:p>
          <w:tbl>
            <w:tblPr>
              <w:tblStyle w:val="20"/>
              <w:tblW w:w="7578"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
            <w:tblGrid>
              <w:gridCol w:w="1059"/>
              <w:gridCol w:w="1072"/>
              <w:gridCol w:w="1553"/>
              <w:gridCol w:w="1552"/>
              <w:gridCol w:w="234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564" w:hRule="atLeast"/>
                <w:jc w:val="center"/>
              </w:trPr>
              <w:tc>
                <w:tcPr>
                  <w:tcW w:w="699" w:type="pct"/>
                  <w:vAlign w:val="center"/>
                </w:tcPr>
                <w:p>
                  <w:pPr>
                    <w:wordWrap w:val="0"/>
                    <w:adjustRightInd w:val="0"/>
                    <w:snapToGrid w:val="0"/>
                    <w:jc w:val="center"/>
                    <w:rPr>
                      <w:b/>
                      <w:bCs/>
                      <w:color w:val="auto"/>
                      <w:szCs w:val="21"/>
                      <w:lang w:val="zh-CN"/>
                    </w:rPr>
                  </w:pPr>
                  <w:r>
                    <w:rPr>
                      <w:b/>
                      <w:bCs/>
                      <w:color w:val="auto"/>
                      <w:szCs w:val="21"/>
                      <w:lang w:val="zh-CN"/>
                    </w:rPr>
                    <w:t>防治分区</w:t>
                  </w:r>
                </w:p>
              </w:tc>
              <w:tc>
                <w:tcPr>
                  <w:tcW w:w="707" w:type="pct"/>
                  <w:vAlign w:val="center"/>
                </w:tcPr>
                <w:p>
                  <w:pPr>
                    <w:wordWrap w:val="0"/>
                    <w:adjustRightInd w:val="0"/>
                    <w:snapToGrid w:val="0"/>
                    <w:jc w:val="center"/>
                    <w:rPr>
                      <w:b/>
                      <w:bCs/>
                      <w:color w:val="auto"/>
                      <w:szCs w:val="21"/>
                      <w:lang w:val="zh-CN"/>
                    </w:rPr>
                  </w:pPr>
                  <w:r>
                    <w:rPr>
                      <w:b/>
                      <w:bCs/>
                      <w:color w:val="auto"/>
                      <w:szCs w:val="21"/>
                      <w:lang w:val="zh-CN"/>
                    </w:rPr>
                    <w:t>分区位置</w:t>
                  </w:r>
                </w:p>
              </w:tc>
              <w:tc>
                <w:tcPr>
                  <w:tcW w:w="1025" w:type="pct"/>
                  <w:vAlign w:val="center"/>
                </w:tcPr>
                <w:p>
                  <w:pPr>
                    <w:wordWrap w:val="0"/>
                    <w:adjustRightInd w:val="0"/>
                    <w:snapToGrid w:val="0"/>
                    <w:jc w:val="center"/>
                    <w:rPr>
                      <w:b/>
                      <w:bCs/>
                      <w:color w:val="auto"/>
                      <w:szCs w:val="21"/>
                      <w:lang w:val="zh-CN"/>
                    </w:rPr>
                  </w:pPr>
                  <w:r>
                    <w:rPr>
                      <w:b/>
                      <w:bCs/>
                      <w:color w:val="auto"/>
                      <w:szCs w:val="21"/>
                    </w:rPr>
                    <w:t>污染物种类</w:t>
                  </w:r>
                </w:p>
              </w:tc>
              <w:tc>
                <w:tcPr>
                  <w:tcW w:w="1024" w:type="pct"/>
                  <w:vAlign w:val="center"/>
                </w:tcPr>
                <w:p>
                  <w:pPr>
                    <w:wordWrap w:val="0"/>
                    <w:adjustRightInd w:val="0"/>
                    <w:snapToGrid w:val="0"/>
                    <w:jc w:val="center"/>
                    <w:rPr>
                      <w:b/>
                      <w:bCs/>
                      <w:color w:val="auto"/>
                      <w:szCs w:val="21"/>
                      <w:lang w:val="zh-CN"/>
                    </w:rPr>
                  </w:pPr>
                  <w:r>
                    <w:rPr>
                      <w:b/>
                      <w:bCs/>
                      <w:color w:val="auto"/>
                      <w:szCs w:val="21"/>
                    </w:rPr>
                    <w:t>污染途径</w:t>
                  </w:r>
                </w:p>
              </w:tc>
              <w:tc>
                <w:tcPr>
                  <w:tcW w:w="1545" w:type="pct"/>
                  <w:vAlign w:val="center"/>
                </w:tcPr>
                <w:p>
                  <w:pPr>
                    <w:wordWrap w:val="0"/>
                    <w:adjustRightInd w:val="0"/>
                    <w:snapToGrid w:val="0"/>
                    <w:jc w:val="center"/>
                    <w:rPr>
                      <w:b/>
                      <w:bCs/>
                      <w:color w:val="auto"/>
                      <w:szCs w:val="21"/>
                      <w:lang w:val="zh-CN"/>
                    </w:rPr>
                  </w:pPr>
                  <w:r>
                    <w:rPr>
                      <w:b/>
                      <w:bCs/>
                      <w:color w:val="auto"/>
                      <w:szCs w:val="21"/>
                      <w:lang w:val="zh-CN"/>
                    </w:rPr>
                    <w:t>防渗要求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832" w:hRule="atLeast"/>
                <w:jc w:val="center"/>
              </w:trPr>
              <w:tc>
                <w:tcPr>
                  <w:tcW w:w="699" w:type="pct"/>
                  <w:vMerge w:val="restart"/>
                  <w:vAlign w:val="center"/>
                </w:tcPr>
                <w:p>
                  <w:pPr>
                    <w:wordWrap w:val="0"/>
                    <w:adjustRightInd w:val="0"/>
                    <w:snapToGrid w:val="0"/>
                    <w:jc w:val="center"/>
                    <w:rPr>
                      <w:color w:val="auto"/>
                      <w:szCs w:val="21"/>
                      <w:lang w:val="zh-CN"/>
                    </w:rPr>
                  </w:pPr>
                  <w:r>
                    <w:rPr>
                      <w:color w:val="auto"/>
                      <w:szCs w:val="21"/>
                      <w:lang w:val="zh-CN"/>
                    </w:rPr>
                    <w:t>重点防渗区</w:t>
                  </w:r>
                </w:p>
              </w:tc>
              <w:tc>
                <w:tcPr>
                  <w:tcW w:w="707" w:type="pct"/>
                  <w:vAlign w:val="center"/>
                </w:tcPr>
                <w:p>
                  <w:pPr>
                    <w:wordWrap w:val="0"/>
                    <w:adjustRightInd w:val="0"/>
                    <w:snapToGrid w:val="0"/>
                    <w:jc w:val="center"/>
                    <w:rPr>
                      <w:color w:val="auto"/>
                      <w:kern w:val="0"/>
                      <w:szCs w:val="21"/>
                      <w:lang w:val="zh-CN"/>
                    </w:rPr>
                  </w:pPr>
                  <w:r>
                    <w:rPr>
                      <w:rStyle w:val="24"/>
                      <w:color w:val="auto"/>
                      <w:kern w:val="0"/>
                      <w:szCs w:val="21"/>
                      <w:lang w:val="zh-CN"/>
                    </w:rPr>
                    <w:t>危废暂存库</w:t>
                  </w:r>
                </w:p>
              </w:tc>
              <w:tc>
                <w:tcPr>
                  <w:tcW w:w="1025" w:type="pct"/>
                  <w:vAlign w:val="center"/>
                </w:tcPr>
                <w:p>
                  <w:pPr>
                    <w:wordWrap w:val="0"/>
                    <w:adjustRightInd w:val="0"/>
                    <w:snapToGrid w:val="0"/>
                    <w:jc w:val="center"/>
                    <w:rPr>
                      <w:color w:val="auto"/>
                      <w:kern w:val="0"/>
                      <w:szCs w:val="21"/>
                    </w:rPr>
                  </w:pPr>
                  <w:r>
                    <w:rPr>
                      <w:rStyle w:val="24"/>
                      <w:color w:val="auto"/>
                      <w:kern w:val="0"/>
                      <w:szCs w:val="21"/>
                      <w:lang w:val="zh-CN"/>
                    </w:rPr>
                    <w:t>废油等泄漏</w:t>
                  </w:r>
                </w:p>
              </w:tc>
              <w:tc>
                <w:tcPr>
                  <w:tcW w:w="1024" w:type="pct"/>
                  <w:vMerge w:val="restart"/>
                  <w:vAlign w:val="center"/>
                </w:tcPr>
                <w:p>
                  <w:pPr>
                    <w:wordWrap w:val="0"/>
                    <w:adjustRightInd w:val="0"/>
                    <w:snapToGrid w:val="0"/>
                    <w:jc w:val="center"/>
                    <w:rPr>
                      <w:color w:val="auto"/>
                      <w:kern w:val="0"/>
                      <w:szCs w:val="21"/>
                      <w:lang w:val="zh-CN"/>
                    </w:rPr>
                  </w:pPr>
                  <w:r>
                    <w:rPr>
                      <w:rStyle w:val="24"/>
                      <w:color w:val="auto"/>
                      <w:kern w:val="0"/>
                      <w:szCs w:val="21"/>
                    </w:rPr>
                    <w:t>垂直入渗、地面漫流</w:t>
                  </w:r>
                </w:p>
              </w:tc>
              <w:tc>
                <w:tcPr>
                  <w:tcW w:w="1545" w:type="pct"/>
                  <w:vMerge w:val="restart"/>
                  <w:vAlign w:val="center"/>
                </w:tcPr>
                <w:p>
                  <w:pPr>
                    <w:wordWrap w:val="0"/>
                    <w:adjustRightInd w:val="0"/>
                    <w:snapToGrid w:val="0"/>
                    <w:jc w:val="center"/>
                    <w:rPr>
                      <w:color w:val="auto"/>
                      <w:kern w:val="0"/>
                      <w:szCs w:val="21"/>
                      <w:lang w:val="zh-CN"/>
                    </w:rPr>
                  </w:pPr>
                  <w:r>
                    <w:rPr>
                      <w:rStyle w:val="24"/>
                      <w:color w:val="auto"/>
                      <w:kern w:val="0"/>
                      <w:szCs w:val="21"/>
                    </w:rPr>
                    <w:t>等效黏土防渗层 Mb≥6.0m，K≤1×10</w:t>
                  </w:r>
                  <w:r>
                    <w:rPr>
                      <w:rStyle w:val="24"/>
                      <w:color w:val="auto"/>
                      <w:kern w:val="0"/>
                      <w:szCs w:val="21"/>
                      <w:vertAlign w:val="superscript"/>
                    </w:rPr>
                    <w:t>-7</w:t>
                  </w:r>
                  <w:r>
                    <w:rPr>
                      <w:rStyle w:val="24"/>
                      <w:color w:val="auto"/>
                      <w:kern w:val="0"/>
                      <w:szCs w:val="21"/>
                    </w:rPr>
                    <w:t>cm/s；或参照 GB18598 执行</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570" w:hRule="atLeast"/>
                <w:jc w:val="center"/>
              </w:trPr>
              <w:tc>
                <w:tcPr>
                  <w:tcW w:w="699" w:type="pct"/>
                  <w:vMerge w:val="continue"/>
                  <w:vAlign w:val="center"/>
                </w:tcPr>
                <w:p>
                  <w:pPr>
                    <w:wordWrap w:val="0"/>
                    <w:adjustRightInd w:val="0"/>
                    <w:snapToGrid w:val="0"/>
                    <w:jc w:val="center"/>
                    <w:rPr>
                      <w:color w:val="auto"/>
                      <w:szCs w:val="21"/>
                      <w:lang w:val="zh-CN"/>
                    </w:rPr>
                  </w:pPr>
                </w:p>
              </w:tc>
              <w:tc>
                <w:tcPr>
                  <w:tcW w:w="707" w:type="pct"/>
                  <w:vAlign w:val="center"/>
                </w:tcPr>
                <w:p>
                  <w:pPr>
                    <w:wordWrap w:val="0"/>
                    <w:adjustRightInd w:val="0"/>
                    <w:snapToGrid w:val="0"/>
                    <w:jc w:val="center"/>
                    <w:rPr>
                      <w:rStyle w:val="24"/>
                      <w:color w:val="auto"/>
                      <w:kern w:val="0"/>
                      <w:szCs w:val="21"/>
                      <w:lang w:val="zh-CN"/>
                    </w:rPr>
                  </w:pPr>
                  <w:r>
                    <w:rPr>
                      <w:rStyle w:val="24"/>
                      <w:color w:val="auto"/>
                      <w:kern w:val="0"/>
                      <w:szCs w:val="21"/>
                      <w:lang w:val="zh-CN"/>
                    </w:rPr>
                    <w:t>液态原料贮存区</w:t>
                  </w:r>
                </w:p>
              </w:tc>
              <w:tc>
                <w:tcPr>
                  <w:tcW w:w="1025" w:type="pct"/>
                  <w:vAlign w:val="center"/>
                </w:tcPr>
                <w:p>
                  <w:pPr>
                    <w:wordWrap w:val="0"/>
                    <w:adjustRightInd w:val="0"/>
                    <w:snapToGrid w:val="0"/>
                    <w:jc w:val="center"/>
                    <w:rPr>
                      <w:rStyle w:val="24"/>
                      <w:color w:val="auto"/>
                      <w:kern w:val="0"/>
                      <w:szCs w:val="21"/>
                      <w:lang w:val="zh-CN"/>
                    </w:rPr>
                  </w:pPr>
                  <w:r>
                    <w:rPr>
                      <w:rStyle w:val="24"/>
                      <w:color w:val="auto"/>
                      <w:kern w:val="0"/>
                      <w:szCs w:val="21"/>
                    </w:rPr>
                    <w:t>水性漆、机油</w:t>
                  </w:r>
                  <w:r>
                    <w:rPr>
                      <w:rStyle w:val="24"/>
                      <w:color w:val="auto"/>
                      <w:kern w:val="0"/>
                      <w:szCs w:val="21"/>
                      <w:lang w:val="zh-CN"/>
                    </w:rPr>
                    <w:t>等泄漏</w:t>
                  </w:r>
                </w:p>
              </w:tc>
              <w:tc>
                <w:tcPr>
                  <w:tcW w:w="1024" w:type="pct"/>
                  <w:vMerge w:val="continue"/>
                  <w:vAlign w:val="center"/>
                </w:tcPr>
                <w:p>
                  <w:pPr>
                    <w:wordWrap w:val="0"/>
                    <w:adjustRightInd w:val="0"/>
                    <w:snapToGrid w:val="0"/>
                    <w:jc w:val="center"/>
                    <w:rPr>
                      <w:rStyle w:val="24"/>
                      <w:color w:val="auto"/>
                      <w:kern w:val="0"/>
                      <w:szCs w:val="21"/>
                    </w:rPr>
                  </w:pPr>
                </w:p>
              </w:tc>
              <w:tc>
                <w:tcPr>
                  <w:tcW w:w="1545" w:type="pct"/>
                  <w:vMerge w:val="continue"/>
                  <w:vAlign w:val="center"/>
                </w:tcPr>
                <w:p>
                  <w:pPr>
                    <w:wordWrap w:val="0"/>
                    <w:adjustRightInd w:val="0"/>
                    <w:snapToGrid w:val="0"/>
                    <w:jc w:val="center"/>
                    <w:rPr>
                      <w:rStyle w:val="24"/>
                      <w:color w:val="auto"/>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986" w:hRule="atLeast"/>
                <w:jc w:val="center"/>
              </w:trPr>
              <w:tc>
                <w:tcPr>
                  <w:tcW w:w="699" w:type="pct"/>
                  <w:vMerge w:val="restart"/>
                  <w:vAlign w:val="center"/>
                </w:tcPr>
                <w:p>
                  <w:pPr>
                    <w:wordWrap w:val="0"/>
                    <w:adjustRightInd w:val="0"/>
                    <w:snapToGrid w:val="0"/>
                    <w:jc w:val="center"/>
                    <w:rPr>
                      <w:color w:val="auto"/>
                      <w:szCs w:val="21"/>
                      <w:lang w:val="zh-CN"/>
                    </w:rPr>
                  </w:pPr>
                  <w:r>
                    <w:rPr>
                      <w:color w:val="auto"/>
                      <w:szCs w:val="21"/>
                      <w:lang w:val="zh-CN"/>
                    </w:rPr>
                    <w:t>一般防渗区</w:t>
                  </w:r>
                </w:p>
              </w:tc>
              <w:tc>
                <w:tcPr>
                  <w:tcW w:w="707" w:type="pct"/>
                  <w:vAlign w:val="center"/>
                </w:tcPr>
                <w:p>
                  <w:pPr>
                    <w:wordWrap w:val="0"/>
                    <w:adjustRightInd w:val="0"/>
                    <w:snapToGrid w:val="0"/>
                    <w:jc w:val="center"/>
                    <w:rPr>
                      <w:color w:val="auto"/>
                      <w:kern w:val="0"/>
                      <w:szCs w:val="21"/>
                      <w:lang w:val="zh-CN"/>
                    </w:rPr>
                  </w:pPr>
                  <w:r>
                    <w:rPr>
                      <w:rStyle w:val="24"/>
                      <w:color w:val="auto"/>
                      <w:kern w:val="0"/>
                      <w:szCs w:val="21"/>
                      <w:lang w:val="zh-CN"/>
                    </w:rPr>
                    <w:t>生产车间</w:t>
                  </w:r>
                </w:p>
              </w:tc>
              <w:tc>
                <w:tcPr>
                  <w:tcW w:w="1025" w:type="pct"/>
                  <w:vAlign w:val="center"/>
                </w:tcPr>
                <w:p>
                  <w:pPr>
                    <w:wordWrap w:val="0"/>
                    <w:adjustRightInd w:val="0"/>
                    <w:snapToGrid w:val="0"/>
                    <w:jc w:val="center"/>
                    <w:rPr>
                      <w:color w:val="auto"/>
                      <w:kern w:val="0"/>
                      <w:szCs w:val="21"/>
                    </w:rPr>
                  </w:pPr>
                  <w:r>
                    <w:rPr>
                      <w:rStyle w:val="24"/>
                      <w:color w:val="auto"/>
                      <w:kern w:val="0"/>
                      <w:szCs w:val="21"/>
                    </w:rPr>
                    <w:t>水性漆</w:t>
                  </w:r>
                  <w:r>
                    <w:rPr>
                      <w:rStyle w:val="24"/>
                      <w:color w:val="auto"/>
                      <w:kern w:val="0"/>
                      <w:szCs w:val="21"/>
                      <w:lang w:val="zh-CN"/>
                    </w:rPr>
                    <w:t>等泄漏</w:t>
                  </w:r>
                </w:p>
              </w:tc>
              <w:tc>
                <w:tcPr>
                  <w:tcW w:w="1024" w:type="pct"/>
                  <w:vAlign w:val="center"/>
                </w:tcPr>
                <w:p>
                  <w:pPr>
                    <w:wordWrap w:val="0"/>
                    <w:adjustRightInd w:val="0"/>
                    <w:snapToGrid w:val="0"/>
                    <w:jc w:val="center"/>
                    <w:rPr>
                      <w:color w:val="auto"/>
                      <w:kern w:val="0"/>
                      <w:szCs w:val="21"/>
                    </w:rPr>
                  </w:pPr>
                  <w:r>
                    <w:rPr>
                      <w:rStyle w:val="24"/>
                      <w:color w:val="auto"/>
                      <w:kern w:val="0"/>
                      <w:szCs w:val="21"/>
                    </w:rPr>
                    <w:t>垂直入渗、地面漫流</w:t>
                  </w:r>
                </w:p>
              </w:tc>
              <w:tc>
                <w:tcPr>
                  <w:tcW w:w="1545" w:type="pct"/>
                  <w:vMerge w:val="restart"/>
                  <w:vAlign w:val="center"/>
                </w:tcPr>
                <w:p>
                  <w:pPr>
                    <w:wordWrap w:val="0"/>
                    <w:adjustRightInd w:val="0"/>
                    <w:snapToGrid w:val="0"/>
                    <w:jc w:val="center"/>
                    <w:rPr>
                      <w:color w:val="auto"/>
                      <w:kern w:val="0"/>
                      <w:szCs w:val="21"/>
                      <w:lang w:val="zh-CN"/>
                    </w:rPr>
                  </w:pPr>
                  <w:r>
                    <w:rPr>
                      <w:rStyle w:val="24"/>
                      <w:color w:val="auto"/>
                      <w:kern w:val="0"/>
                      <w:szCs w:val="21"/>
                    </w:rPr>
                    <w:t>等效黏土防渗层 Mb≥1.5m，K≤1×10</w:t>
                  </w:r>
                  <w:r>
                    <w:rPr>
                      <w:rStyle w:val="24"/>
                      <w:color w:val="auto"/>
                      <w:kern w:val="0"/>
                      <w:szCs w:val="21"/>
                      <w:vertAlign w:val="superscript"/>
                    </w:rPr>
                    <w:t>-7</w:t>
                  </w:r>
                  <w:r>
                    <w:rPr>
                      <w:rStyle w:val="24"/>
                      <w:color w:val="auto"/>
                      <w:kern w:val="0"/>
                      <w:szCs w:val="21"/>
                    </w:rPr>
                    <w:t>cm/s；或参照 GB16889 执行</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842" w:hRule="atLeast"/>
                <w:jc w:val="center"/>
              </w:trPr>
              <w:tc>
                <w:tcPr>
                  <w:tcW w:w="699" w:type="pct"/>
                  <w:vMerge w:val="continue"/>
                  <w:vAlign w:val="center"/>
                </w:tcPr>
                <w:p>
                  <w:pPr>
                    <w:wordWrap w:val="0"/>
                    <w:adjustRightInd w:val="0"/>
                    <w:snapToGrid w:val="0"/>
                    <w:jc w:val="center"/>
                    <w:rPr>
                      <w:color w:val="auto"/>
                      <w:szCs w:val="21"/>
                      <w:lang w:val="zh-CN"/>
                    </w:rPr>
                  </w:pPr>
                </w:p>
              </w:tc>
              <w:tc>
                <w:tcPr>
                  <w:tcW w:w="707" w:type="pct"/>
                  <w:vAlign w:val="center"/>
                </w:tcPr>
                <w:p>
                  <w:pPr>
                    <w:wordWrap w:val="0"/>
                    <w:adjustRightInd w:val="0"/>
                    <w:snapToGrid w:val="0"/>
                    <w:jc w:val="center"/>
                    <w:rPr>
                      <w:color w:val="auto"/>
                      <w:szCs w:val="21"/>
                      <w:lang w:val="zh-CN"/>
                    </w:rPr>
                  </w:pPr>
                  <w:r>
                    <w:rPr>
                      <w:color w:val="auto"/>
                      <w:szCs w:val="21"/>
                      <w:lang w:val="zh-CN"/>
                    </w:rPr>
                    <w:t>一般固废暂存库、化粪池</w:t>
                  </w:r>
                  <w:r>
                    <w:rPr>
                      <w:color w:val="auto"/>
                      <w:szCs w:val="21"/>
                    </w:rPr>
                    <w:t>等</w:t>
                  </w:r>
                </w:p>
              </w:tc>
              <w:tc>
                <w:tcPr>
                  <w:tcW w:w="1025" w:type="pct"/>
                  <w:vAlign w:val="center"/>
                </w:tcPr>
                <w:p>
                  <w:pPr>
                    <w:wordWrap w:val="0"/>
                    <w:adjustRightInd w:val="0"/>
                    <w:snapToGrid w:val="0"/>
                    <w:jc w:val="center"/>
                    <w:rPr>
                      <w:rStyle w:val="24"/>
                      <w:color w:val="auto"/>
                      <w:kern w:val="0"/>
                      <w:szCs w:val="21"/>
                    </w:rPr>
                  </w:pPr>
                  <w:r>
                    <w:rPr>
                      <w:rStyle w:val="24"/>
                      <w:color w:val="auto"/>
                      <w:kern w:val="0"/>
                      <w:szCs w:val="21"/>
                    </w:rPr>
                    <w:t>/</w:t>
                  </w:r>
                </w:p>
              </w:tc>
              <w:tc>
                <w:tcPr>
                  <w:tcW w:w="1024" w:type="pct"/>
                  <w:vAlign w:val="center"/>
                </w:tcPr>
                <w:p>
                  <w:pPr>
                    <w:wordWrap w:val="0"/>
                    <w:adjustRightInd w:val="0"/>
                    <w:snapToGrid w:val="0"/>
                    <w:jc w:val="center"/>
                    <w:rPr>
                      <w:rStyle w:val="24"/>
                      <w:color w:val="auto"/>
                      <w:kern w:val="0"/>
                      <w:szCs w:val="21"/>
                    </w:rPr>
                  </w:pPr>
                  <w:r>
                    <w:rPr>
                      <w:rStyle w:val="24"/>
                      <w:color w:val="auto"/>
                      <w:kern w:val="0"/>
                      <w:szCs w:val="21"/>
                    </w:rPr>
                    <w:t>垂直入渗、地面漫流</w:t>
                  </w:r>
                </w:p>
              </w:tc>
              <w:tc>
                <w:tcPr>
                  <w:tcW w:w="1545" w:type="pct"/>
                  <w:vMerge w:val="continue"/>
                  <w:vAlign w:val="center"/>
                </w:tcPr>
                <w:p>
                  <w:pPr>
                    <w:wordWrap w:val="0"/>
                    <w:adjustRightInd w:val="0"/>
                    <w:snapToGrid w:val="0"/>
                    <w:jc w:val="center"/>
                    <w:rPr>
                      <w:rStyle w:val="24"/>
                      <w:color w:val="auto"/>
                      <w:kern w:val="0"/>
                      <w:szCs w:val="21"/>
                      <w:lang w:val="zh-CN"/>
                    </w:rPr>
                  </w:pPr>
                </w:p>
              </w:tc>
            </w:tr>
          </w:tbl>
          <w:p>
            <w:pPr>
              <w:pStyle w:val="17"/>
              <w:ind w:firstLine="422"/>
              <w:rPr>
                <w:rFonts w:ascii="Times New Roman" w:cs="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29" w:type="dxa"/>
            <w:vAlign w:val="center"/>
          </w:tcPr>
          <w:p>
            <w:pPr>
              <w:wordWrap w:val="0"/>
              <w:adjustRightInd w:val="0"/>
              <w:snapToGrid w:val="0"/>
              <w:jc w:val="center"/>
              <w:rPr>
                <w:b/>
                <w:color w:val="auto"/>
                <w:szCs w:val="21"/>
              </w:rPr>
            </w:pPr>
            <w:r>
              <w:rPr>
                <w:b/>
                <w:color w:val="auto"/>
                <w:szCs w:val="21"/>
              </w:rPr>
              <w:t>生态保护措施</w:t>
            </w:r>
          </w:p>
        </w:tc>
        <w:tc>
          <w:tcPr>
            <w:tcW w:w="7771" w:type="dxa"/>
            <w:gridSpan w:val="5"/>
            <w:vAlign w:val="center"/>
          </w:tcPr>
          <w:p>
            <w:pPr>
              <w:wordWrap w:val="0"/>
              <w:adjustRightInd w:val="0"/>
              <w:snapToGrid w:val="0"/>
              <w:jc w:val="center"/>
              <w:rPr>
                <w:color w:val="auto"/>
                <w:szCs w:val="21"/>
              </w:rPr>
            </w:pPr>
            <w:r>
              <w:rPr>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29" w:type="dxa"/>
            <w:vAlign w:val="center"/>
          </w:tcPr>
          <w:p>
            <w:pPr>
              <w:wordWrap w:val="0"/>
              <w:adjustRightInd w:val="0"/>
              <w:snapToGrid w:val="0"/>
              <w:jc w:val="center"/>
              <w:rPr>
                <w:b/>
                <w:color w:val="auto"/>
                <w:szCs w:val="21"/>
              </w:rPr>
            </w:pPr>
            <w:r>
              <w:rPr>
                <w:b/>
                <w:color w:val="auto"/>
                <w:szCs w:val="21"/>
              </w:rPr>
              <w:t>环境风险防范措施</w:t>
            </w:r>
          </w:p>
        </w:tc>
        <w:tc>
          <w:tcPr>
            <w:tcW w:w="7771" w:type="dxa"/>
            <w:gridSpan w:val="5"/>
            <w:vAlign w:val="center"/>
          </w:tcPr>
          <w:p>
            <w:pPr>
              <w:wordWrap w:val="0"/>
              <w:adjustRightInd w:val="0"/>
              <w:snapToGrid w:val="0"/>
              <w:spacing w:line="360" w:lineRule="auto"/>
              <w:ind w:firstLine="480" w:firstLineChars="200"/>
              <w:jc w:val="left"/>
              <w:rPr>
                <w:color w:val="auto"/>
                <w:kern w:val="0"/>
                <w:sz w:val="24"/>
                <w:lang w:bidi="ar"/>
              </w:rPr>
            </w:pPr>
            <w:r>
              <w:rPr>
                <w:color w:val="auto"/>
                <w:kern w:val="0"/>
                <w:sz w:val="24"/>
                <w:lang w:bidi="ar"/>
              </w:rPr>
              <w:t xml:space="preserve">泄漏：危险废物贮存场所设置导流沟及收集槽收集泄漏物料，配备消防沙覆盖泄漏物减少蒸发，配备无火花收容工具收纳泄漏物料。危险废物运输过程中注意不同类别的危险废物单独运输，固废的包装容器注意密闭，以免在运输途中发生危险废物的泄漏，从而产生二次污染。 </w:t>
            </w:r>
          </w:p>
          <w:p>
            <w:pPr>
              <w:wordWrap w:val="0"/>
              <w:adjustRightInd w:val="0"/>
              <w:snapToGrid w:val="0"/>
              <w:spacing w:line="360" w:lineRule="auto"/>
              <w:ind w:firstLine="480" w:firstLineChars="200"/>
              <w:jc w:val="left"/>
              <w:rPr>
                <w:color w:val="auto"/>
                <w:kern w:val="0"/>
                <w:sz w:val="24"/>
                <w:lang w:bidi="ar"/>
              </w:rPr>
            </w:pPr>
            <w:r>
              <w:rPr>
                <w:color w:val="auto"/>
                <w:kern w:val="0"/>
                <w:sz w:val="24"/>
                <w:lang w:bidi="ar"/>
              </w:rPr>
              <w:t>火灾：各区域按规范设置灭火器、消防设施并定期检查维护。发生火灾事故险情时，第一发现人应立即报告主管，根据事故险情和扑救具体情况采取适当措施，如需外援应立即拨打火警119告知火灾危险严重程度，活性炭在吸附有机废气时为放热反应，当热量不能及时散发，可能引起活性炭及其吸附的有机物发生火灾事故。本次评价要求企业严格按照国家设计规范进行设计，满足吸附风速等设计参数要求，并设置防火阀等安全措施。</w:t>
            </w:r>
          </w:p>
          <w:p>
            <w:pPr>
              <w:wordWrap w:val="0"/>
              <w:adjustRightInd w:val="0"/>
              <w:snapToGrid w:val="0"/>
              <w:spacing w:line="360" w:lineRule="auto"/>
              <w:ind w:firstLine="480" w:firstLineChars="200"/>
              <w:jc w:val="left"/>
              <w:rPr>
                <w:color w:val="auto"/>
                <w:kern w:val="0"/>
                <w:sz w:val="24"/>
                <w:lang w:bidi="ar"/>
              </w:rPr>
            </w:pPr>
          </w:p>
          <w:p>
            <w:pPr>
              <w:wordWrap w:val="0"/>
              <w:adjustRightInd w:val="0"/>
              <w:snapToGrid w:val="0"/>
              <w:spacing w:line="360" w:lineRule="auto"/>
              <w:ind w:firstLine="480" w:firstLineChars="200"/>
              <w:jc w:val="left"/>
              <w:rPr>
                <w:color w:val="auto"/>
                <w:kern w:val="0"/>
                <w:sz w:val="24"/>
                <w:lang w:bidi="ar"/>
              </w:rPr>
            </w:pPr>
          </w:p>
          <w:p>
            <w:pPr>
              <w:wordWrap w:val="0"/>
              <w:adjustRightInd w:val="0"/>
              <w:snapToGrid w:val="0"/>
              <w:spacing w:line="360" w:lineRule="auto"/>
              <w:ind w:firstLine="480" w:firstLineChars="200"/>
              <w:jc w:val="left"/>
              <w:rPr>
                <w:color w:val="auto"/>
                <w:kern w:val="0"/>
                <w:sz w:val="24"/>
                <w:lang w:bidi="ar"/>
              </w:rPr>
            </w:pPr>
          </w:p>
          <w:p>
            <w:pPr>
              <w:wordWrap w:val="0"/>
              <w:adjustRightInd w:val="0"/>
              <w:snapToGrid w:val="0"/>
              <w:spacing w:line="360" w:lineRule="auto"/>
              <w:ind w:firstLine="480" w:firstLineChars="200"/>
              <w:jc w:val="left"/>
              <w:rPr>
                <w:color w:val="auto"/>
                <w:kern w:val="0"/>
                <w:sz w:val="24"/>
                <w:lang w:bidi="ar"/>
              </w:rPr>
            </w:pPr>
          </w:p>
          <w:p>
            <w:pPr>
              <w:wordWrap w:val="0"/>
              <w:adjustRightInd w:val="0"/>
              <w:snapToGrid w:val="0"/>
              <w:spacing w:line="360" w:lineRule="auto"/>
              <w:ind w:firstLine="480" w:firstLineChars="200"/>
              <w:jc w:val="left"/>
              <w:rPr>
                <w:color w:val="auto"/>
                <w:kern w:val="0"/>
                <w:sz w:val="24"/>
                <w:lang w:bidi="ar"/>
              </w:rPr>
            </w:pPr>
          </w:p>
          <w:p>
            <w:pPr>
              <w:wordWrap w:val="0"/>
              <w:adjustRightInd w:val="0"/>
              <w:snapToGrid w:val="0"/>
              <w:spacing w:line="360" w:lineRule="auto"/>
              <w:ind w:firstLine="480" w:firstLineChars="200"/>
              <w:jc w:val="left"/>
              <w:rPr>
                <w:color w:val="auto"/>
                <w:kern w:val="0"/>
                <w:sz w:val="24"/>
                <w:lang w:bidi="ar"/>
              </w:rPr>
            </w:pPr>
          </w:p>
          <w:p>
            <w:pPr>
              <w:wordWrap w:val="0"/>
              <w:adjustRightInd w:val="0"/>
              <w:snapToGrid w:val="0"/>
              <w:spacing w:line="360" w:lineRule="auto"/>
              <w:ind w:firstLine="480" w:firstLineChars="200"/>
              <w:jc w:val="left"/>
              <w:rPr>
                <w:color w:val="auto"/>
                <w:kern w:val="0"/>
                <w:sz w:val="24"/>
                <w:lang w:bidi="ar"/>
              </w:rPr>
            </w:pPr>
          </w:p>
          <w:p>
            <w:pPr>
              <w:wordWrap w:val="0"/>
              <w:adjustRightInd w:val="0"/>
              <w:snapToGrid w:val="0"/>
              <w:spacing w:line="360" w:lineRule="auto"/>
              <w:ind w:firstLine="480" w:firstLineChars="200"/>
              <w:jc w:val="left"/>
              <w:rPr>
                <w:color w:val="auto"/>
                <w:kern w:val="0"/>
                <w:sz w:val="24"/>
                <w:lang w:bidi="ar"/>
              </w:rPr>
            </w:pPr>
          </w:p>
          <w:p>
            <w:pPr>
              <w:wordWrap w:val="0"/>
              <w:adjustRightInd w:val="0"/>
              <w:snapToGrid w:val="0"/>
              <w:spacing w:line="360" w:lineRule="auto"/>
              <w:ind w:firstLine="480" w:firstLineChars="200"/>
              <w:jc w:val="left"/>
              <w:rPr>
                <w:color w:val="auto"/>
                <w:kern w:val="0"/>
                <w:sz w:val="24"/>
                <w:lang w:bidi="ar"/>
              </w:rPr>
            </w:pPr>
          </w:p>
          <w:p>
            <w:pPr>
              <w:wordWrap w:val="0"/>
              <w:adjustRightInd w:val="0"/>
              <w:snapToGrid w:val="0"/>
              <w:spacing w:line="360" w:lineRule="auto"/>
              <w:ind w:firstLine="480" w:firstLineChars="200"/>
              <w:jc w:val="left"/>
              <w:rPr>
                <w:color w:val="auto"/>
                <w:kern w:val="0"/>
                <w:sz w:val="24"/>
                <w:lang w:bidi="ar"/>
              </w:rPr>
            </w:pPr>
          </w:p>
          <w:p>
            <w:pPr>
              <w:wordWrap w:val="0"/>
              <w:adjustRightInd w:val="0"/>
              <w:snapToGrid w:val="0"/>
              <w:spacing w:line="360" w:lineRule="auto"/>
              <w:ind w:firstLine="480" w:firstLineChars="200"/>
              <w:jc w:val="left"/>
              <w:rPr>
                <w:color w:val="auto"/>
                <w:kern w:val="0"/>
                <w:sz w:val="24"/>
                <w:lang w:bidi="ar"/>
              </w:rPr>
            </w:pPr>
          </w:p>
          <w:p>
            <w:pPr>
              <w:wordWrap w:val="0"/>
              <w:adjustRightInd w:val="0"/>
              <w:snapToGrid w:val="0"/>
              <w:spacing w:line="360" w:lineRule="auto"/>
              <w:ind w:firstLine="480" w:firstLineChars="200"/>
              <w:jc w:val="left"/>
              <w:rPr>
                <w:color w:val="auto"/>
                <w:kern w:val="0"/>
                <w:sz w:val="24"/>
                <w:lang w:bidi="ar"/>
              </w:rPr>
            </w:pPr>
          </w:p>
          <w:p>
            <w:pPr>
              <w:wordWrap w:val="0"/>
              <w:adjustRightInd w:val="0"/>
              <w:snapToGrid w:val="0"/>
              <w:spacing w:line="360" w:lineRule="auto"/>
              <w:ind w:firstLine="480" w:firstLineChars="200"/>
              <w:jc w:val="left"/>
              <w:rPr>
                <w:color w:val="auto"/>
                <w:kern w:val="0"/>
                <w:sz w:val="24"/>
                <w:lang w:bidi="ar"/>
              </w:rPr>
            </w:pPr>
          </w:p>
          <w:p>
            <w:pPr>
              <w:wordWrap w:val="0"/>
              <w:adjustRightInd w:val="0"/>
              <w:snapToGrid w:val="0"/>
              <w:spacing w:line="360" w:lineRule="auto"/>
              <w:ind w:firstLine="480" w:firstLineChars="200"/>
              <w:jc w:val="left"/>
              <w:rPr>
                <w:color w:val="auto"/>
                <w:kern w:val="0"/>
                <w:sz w:val="24"/>
                <w:lang w:bidi="ar"/>
              </w:rPr>
            </w:pPr>
          </w:p>
          <w:p>
            <w:pPr>
              <w:wordWrap w:val="0"/>
              <w:adjustRightInd w:val="0"/>
              <w:snapToGrid w:val="0"/>
              <w:spacing w:line="360" w:lineRule="auto"/>
              <w:ind w:firstLine="480" w:firstLineChars="200"/>
              <w:jc w:val="left"/>
              <w:rPr>
                <w:color w:val="auto"/>
                <w:kern w:val="0"/>
                <w:sz w:val="24"/>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32" w:hRule="atLeast"/>
          <w:jc w:val="center"/>
        </w:trPr>
        <w:tc>
          <w:tcPr>
            <w:tcW w:w="1029" w:type="dxa"/>
            <w:vAlign w:val="center"/>
          </w:tcPr>
          <w:p>
            <w:pPr>
              <w:wordWrap w:val="0"/>
              <w:adjustRightInd w:val="0"/>
              <w:snapToGrid w:val="0"/>
              <w:jc w:val="center"/>
              <w:rPr>
                <w:b/>
                <w:color w:val="auto"/>
                <w:szCs w:val="21"/>
              </w:rPr>
            </w:pPr>
            <w:r>
              <w:rPr>
                <w:b/>
                <w:color w:val="auto"/>
                <w:szCs w:val="21"/>
              </w:rPr>
              <w:t>其他环境管理要求</w:t>
            </w:r>
          </w:p>
        </w:tc>
        <w:tc>
          <w:tcPr>
            <w:tcW w:w="7771" w:type="dxa"/>
            <w:gridSpan w:val="5"/>
            <w:vAlign w:val="center"/>
          </w:tcPr>
          <w:p>
            <w:pPr>
              <w:wordWrap w:val="0"/>
              <w:adjustRightInd w:val="0"/>
              <w:snapToGrid w:val="0"/>
              <w:spacing w:line="360" w:lineRule="auto"/>
              <w:ind w:firstLine="480" w:firstLineChars="200"/>
              <w:jc w:val="left"/>
              <w:rPr>
                <w:color w:val="auto"/>
                <w:kern w:val="0"/>
                <w:sz w:val="24"/>
                <w:lang w:bidi="ar"/>
              </w:rPr>
            </w:pPr>
            <w:r>
              <w:rPr>
                <w:color w:val="auto"/>
                <w:kern w:val="0"/>
                <w:sz w:val="24"/>
                <w:lang w:bidi="ar"/>
              </w:rPr>
              <w:t>（1）环境管理机构</w:t>
            </w:r>
          </w:p>
          <w:p>
            <w:pPr>
              <w:wordWrap w:val="0"/>
              <w:adjustRightInd w:val="0"/>
              <w:snapToGrid w:val="0"/>
              <w:spacing w:line="360" w:lineRule="auto"/>
              <w:ind w:firstLine="480" w:firstLineChars="200"/>
              <w:jc w:val="left"/>
              <w:rPr>
                <w:color w:val="auto"/>
                <w:kern w:val="0"/>
                <w:sz w:val="24"/>
                <w:lang w:bidi="ar"/>
              </w:rPr>
            </w:pPr>
            <w:r>
              <w:rPr>
                <w:color w:val="auto"/>
                <w:kern w:val="0"/>
                <w:sz w:val="24"/>
                <w:lang w:bidi="ar"/>
              </w:rPr>
              <w:t>项目设置专门的环境管理机构，配备专职环保人员1名，负责环境监督管理工作，同时要加强对管理人员的环保培训，不断提高管理水平。</w:t>
            </w:r>
          </w:p>
          <w:p>
            <w:pPr>
              <w:wordWrap w:val="0"/>
              <w:adjustRightInd w:val="0"/>
              <w:snapToGrid w:val="0"/>
              <w:spacing w:line="360" w:lineRule="auto"/>
              <w:ind w:firstLine="480" w:firstLineChars="200"/>
              <w:jc w:val="left"/>
              <w:rPr>
                <w:color w:val="auto"/>
                <w:kern w:val="0"/>
                <w:sz w:val="24"/>
                <w:lang w:bidi="ar"/>
              </w:rPr>
            </w:pPr>
            <w:r>
              <w:rPr>
                <w:color w:val="auto"/>
                <w:kern w:val="0"/>
                <w:sz w:val="24"/>
                <w:lang w:bidi="ar"/>
              </w:rPr>
              <w:t>（2）环境管理内容</w:t>
            </w:r>
          </w:p>
          <w:p>
            <w:pPr>
              <w:wordWrap w:val="0"/>
              <w:adjustRightInd w:val="0"/>
              <w:snapToGrid w:val="0"/>
              <w:spacing w:line="360" w:lineRule="auto"/>
              <w:ind w:firstLine="480" w:firstLineChars="200"/>
              <w:jc w:val="left"/>
              <w:rPr>
                <w:color w:val="auto"/>
                <w:kern w:val="0"/>
                <w:sz w:val="24"/>
                <w:lang w:bidi="ar"/>
              </w:rPr>
            </w:pPr>
            <w:r>
              <w:rPr>
                <w:color w:val="auto"/>
                <w:kern w:val="0"/>
                <w:sz w:val="24"/>
                <w:lang w:bidi="ar"/>
              </w:rPr>
              <w:t>项目在生产运行过程中为保证环境管理系统的有效运行应制定环境管理方案，环境管理方案主要包括下列内容：</w:t>
            </w:r>
          </w:p>
          <w:p>
            <w:pPr>
              <w:wordWrap w:val="0"/>
              <w:adjustRightInd w:val="0"/>
              <w:snapToGrid w:val="0"/>
              <w:spacing w:line="360" w:lineRule="auto"/>
              <w:ind w:firstLine="480" w:firstLineChars="200"/>
              <w:jc w:val="left"/>
              <w:rPr>
                <w:color w:val="auto"/>
                <w:kern w:val="0"/>
                <w:sz w:val="24"/>
                <w:lang w:bidi="ar"/>
              </w:rPr>
            </w:pPr>
            <w:r>
              <w:rPr>
                <w:color w:val="auto"/>
                <w:kern w:val="0"/>
                <w:sz w:val="24"/>
                <w:lang w:bidi="ar"/>
              </w:rPr>
              <w:t>①组织贯彻国家及地方的有关环保方针、政策法令和条例，搞好环境教育和技术培训，增强公司职工的环保意识和技术水平，提高污染控制的责任心。</w:t>
            </w:r>
          </w:p>
          <w:p>
            <w:pPr>
              <w:wordWrap w:val="0"/>
              <w:adjustRightInd w:val="0"/>
              <w:snapToGrid w:val="0"/>
              <w:spacing w:line="360" w:lineRule="auto"/>
              <w:ind w:firstLine="480" w:firstLineChars="200"/>
              <w:jc w:val="left"/>
              <w:rPr>
                <w:color w:val="auto"/>
                <w:kern w:val="0"/>
                <w:sz w:val="24"/>
                <w:lang w:bidi="ar"/>
              </w:rPr>
            </w:pPr>
            <w:r>
              <w:rPr>
                <w:color w:val="auto"/>
                <w:kern w:val="0"/>
                <w:sz w:val="24"/>
                <w:lang w:bidi="ar"/>
              </w:rPr>
              <w:t>②制定并实施公司环境保护工作的长期规划及年度污染治理计划：定期检查环保设施的运行状况及对设备的维修与管理，严格控制“三废”的排放。</w:t>
            </w:r>
          </w:p>
          <w:p>
            <w:pPr>
              <w:wordWrap w:val="0"/>
              <w:adjustRightInd w:val="0"/>
              <w:snapToGrid w:val="0"/>
              <w:spacing w:line="360" w:lineRule="auto"/>
              <w:ind w:firstLine="480" w:firstLineChars="200"/>
              <w:jc w:val="left"/>
              <w:rPr>
                <w:color w:val="auto"/>
                <w:kern w:val="0"/>
                <w:sz w:val="24"/>
                <w:lang w:bidi="ar"/>
              </w:rPr>
            </w:pPr>
            <w:r>
              <w:rPr>
                <w:color w:val="auto"/>
                <w:kern w:val="0"/>
                <w:sz w:val="24"/>
                <w:lang w:bidi="ar"/>
              </w:rPr>
              <w:t>③掌握公司内部污染物排放状况，编制公司内部环境状况报告。</w:t>
            </w:r>
          </w:p>
          <w:p>
            <w:pPr>
              <w:wordWrap w:val="0"/>
              <w:adjustRightInd w:val="0"/>
              <w:snapToGrid w:val="0"/>
              <w:spacing w:line="360" w:lineRule="auto"/>
              <w:ind w:firstLine="480" w:firstLineChars="200"/>
              <w:jc w:val="left"/>
              <w:rPr>
                <w:color w:val="auto"/>
                <w:kern w:val="0"/>
                <w:sz w:val="24"/>
                <w:lang w:bidi="ar"/>
              </w:rPr>
            </w:pPr>
            <w:r>
              <w:rPr>
                <w:color w:val="auto"/>
                <w:kern w:val="0"/>
                <w:sz w:val="24"/>
                <w:lang w:bidi="ar"/>
              </w:rPr>
              <w:t>④负责环保专项资金的平衡与控制及办理环保超标缴费工作。</w:t>
            </w:r>
          </w:p>
          <w:p>
            <w:pPr>
              <w:wordWrap w:val="0"/>
              <w:adjustRightInd w:val="0"/>
              <w:snapToGrid w:val="0"/>
              <w:spacing w:line="360" w:lineRule="auto"/>
              <w:ind w:firstLine="480" w:firstLineChars="200"/>
              <w:jc w:val="left"/>
              <w:rPr>
                <w:color w:val="auto"/>
                <w:kern w:val="0"/>
                <w:sz w:val="24"/>
                <w:lang w:bidi="ar"/>
              </w:rPr>
            </w:pPr>
            <w:r>
              <w:rPr>
                <w:color w:val="auto"/>
                <w:kern w:val="0"/>
                <w:sz w:val="24"/>
                <w:lang w:bidi="ar"/>
              </w:rPr>
              <w:t>⑤组织环境监测，检查公司环境状况，并及时将环境监测信息向环保部门通报。</w:t>
            </w:r>
          </w:p>
          <w:p>
            <w:pPr>
              <w:wordWrap w:val="0"/>
              <w:adjustRightInd w:val="0"/>
              <w:snapToGrid w:val="0"/>
              <w:spacing w:line="360" w:lineRule="auto"/>
              <w:ind w:firstLine="480" w:firstLineChars="200"/>
              <w:jc w:val="left"/>
              <w:rPr>
                <w:color w:val="auto"/>
                <w:kern w:val="0"/>
                <w:sz w:val="24"/>
                <w:lang w:bidi="ar"/>
              </w:rPr>
            </w:pPr>
            <w:r>
              <w:rPr>
                <w:color w:val="auto"/>
                <w:kern w:val="0"/>
                <w:sz w:val="24"/>
                <w:lang w:bidi="ar"/>
              </w:rPr>
              <w:t>⑥调查处理公司内污染事故和污染纠纷：建立污染突发事故分类分级档案和处理制度。</w:t>
            </w:r>
          </w:p>
          <w:p>
            <w:pPr>
              <w:wordWrap w:val="0"/>
              <w:adjustRightInd w:val="0"/>
              <w:snapToGrid w:val="0"/>
              <w:spacing w:line="360" w:lineRule="auto"/>
              <w:ind w:firstLine="480" w:firstLineChars="200"/>
              <w:jc w:val="left"/>
              <w:rPr>
                <w:color w:val="auto"/>
                <w:kern w:val="0"/>
                <w:sz w:val="24"/>
                <w:lang w:bidi="ar"/>
              </w:rPr>
            </w:pPr>
            <w:r>
              <w:rPr>
                <w:color w:val="auto"/>
                <w:kern w:val="0"/>
                <w:sz w:val="24"/>
                <w:lang w:bidi="ar"/>
              </w:rPr>
              <w:t>（3）环境管理制度的建立</w:t>
            </w:r>
          </w:p>
          <w:p>
            <w:pPr>
              <w:wordWrap w:val="0"/>
              <w:adjustRightInd w:val="0"/>
              <w:snapToGrid w:val="0"/>
              <w:spacing w:line="360" w:lineRule="auto"/>
              <w:ind w:firstLine="480" w:firstLineChars="200"/>
              <w:jc w:val="left"/>
              <w:rPr>
                <w:color w:val="auto"/>
                <w:kern w:val="0"/>
                <w:sz w:val="24"/>
                <w:lang w:bidi="ar"/>
              </w:rPr>
            </w:pPr>
            <w:r>
              <w:rPr>
                <w:color w:val="auto"/>
                <w:kern w:val="0"/>
                <w:sz w:val="24"/>
                <w:lang w:bidi="ar"/>
              </w:rPr>
              <w:t>①排污许可制度</w:t>
            </w:r>
          </w:p>
          <w:p>
            <w:pPr>
              <w:wordWrap w:val="0"/>
              <w:adjustRightInd w:val="0"/>
              <w:snapToGrid w:val="0"/>
              <w:spacing w:line="360" w:lineRule="auto"/>
              <w:ind w:firstLine="480" w:firstLineChars="200"/>
              <w:jc w:val="left"/>
              <w:rPr>
                <w:color w:val="auto"/>
                <w:kern w:val="0"/>
                <w:sz w:val="24"/>
                <w:lang w:bidi="ar"/>
              </w:rPr>
            </w:pPr>
            <w:r>
              <w:rPr>
                <w:color w:val="auto"/>
                <w:kern w:val="0"/>
                <w:sz w:val="24"/>
                <w:lang w:bidi="ar"/>
              </w:rPr>
              <w:t>按照相关排污许可申请与核发技术规范的要求重新申请排污许可证，并根据排污许可证中的要求进行监测、管理。规范排污口设置，强化环境管理，按照环保要求落实各项环保措施，确保污染物稳定达标排放和妥善处置。</w:t>
            </w:r>
          </w:p>
          <w:p>
            <w:pPr>
              <w:wordWrap w:val="0"/>
              <w:adjustRightInd w:val="0"/>
              <w:snapToGrid w:val="0"/>
              <w:spacing w:line="360" w:lineRule="auto"/>
              <w:ind w:firstLine="480" w:firstLineChars="200"/>
              <w:jc w:val="left"/>
              <w:rPr>
                <w:color w:val="auto"/>
                <w:kern w:val="0"/>
                <w:sz w:val="24"/>
                <w:lang w:bidi="ar"/>
              </w:rPr>
            </w:pPr>
            <w:r>
              <w:rPr>
                <w:color w:val="auto"/>
                <w:kern w:val="0"/>
                <w:sz w:val="24"/>
                <w:lang w:bidi="ar"/>
              </w:rPr>
              <w:t>②环境管理体系</w:t>
            </w:r>
          </w:p>
          <w:p>
            <w:pPr>
              <w:wordWrap w:val="0"/>
              <w:adjustRightInd w:val="0"/>
              <w:snapToGrid w:val="0"/>
              <w:spacing w:line="360" w:lineRule="auto"/>
              <w:ind w:firstLine="480" w:firstLineChars="200"/>
              <w:jc w:val="left"/>
              <w:rPr>
                <w:color w:val="auto"/>
                <w:kern w:val="0"/>
                <w:sz w:val="24"/>
                <w:lang w:bidi="ar"/>
              </w:rPr>
            </w:pPr>
            <w:r>
              <w:rPr>
                <w:color w:val="auto"/>
                <w:kern w:val="0"/>
                <w:sz w:val="24"/>
                <w:lang w:bidi="ar"/>
              </w:rPr>
              <w:t>项目建成后，建立环境管理体系，以便全面系统地对污染物进行控制，进一步提高能源资源的利用率，及时了解有关环保法律法规及其他要求，更好地遵守法律法规及各项制度。</w:t>
            </w:r>
          </w:p>
          <w:p>
            <w:pPr>
              <w:wordWrap w:val="0"/>
              <w:adjustRightInd w:val="0"/>
              <w:snapToGrid w:val="0"/>
              <w:spacing w:line="360" w:lineRule="auto"/>
              <w:ind w:firstLine="480" w:firstLineChars="200"/>
              <w:jc w:val="left"/>
              <w:rPr>
                <w:color w:val="auto"/>
                <w:kern w:val="0"/>
                <w:sz w:val="24"/>
                <w:lang w:bidi="ar"/>
              </w:rPr>
            </w:pPr>
            <w:r>
              <w:rPr>
                <w:color w:val="auto"/>
                <w:kern w:val="0"/>
                <w:sz w:val="24"/>
                <w:lang w:bidi="ar"/>
              </w:rPr>
              <w:t>③排污定期报告制度</w:t>
            </w:r>
          </w:p>
          <w:p>
            <w:pPr>
              <w:wordWrap w:val="0"/>
              <w:adjustRightInd w:val="0"/>
              <w:snapToGrid w:val="0"/>
              <w:spacing w:line="360" w:lineRule="auto"/>
              <w:ind w:firstLine="480" w:firstLineChars="200"/>
              <w:jc w:val="left"/>
              <w:rPr>
                <w:color w:val="auto"/>
                <w:kern w:val="0"/>
                <w:sz w:val="24"/>
                <w:lang w:bidi="ar"/>
              </w:rPr>
            </w:pPr>
            <w:r>
              <w:rPr>
                <w:color w:val="auto"/>
                <w:kern w:val="0"/>
                <w:sz w:val="24"/>
                <w:lang w:bidi="ar"/>
              </w:rPr>
              <w:t>要定期向当地环保部门报告污染治理设施运行情况、污染物排放情况以及污染事故、污染纠纷等情况。</w:t>
            </w:r>
          </w:p>
          <w:p>
            <w:pPr>
              <w:wordWrap w:val="0"/>
              <w:adjustRightInd w:val="0"/>
              <w:snapToGrid w:val="0"/>
              <w:spacing w:line="360" w:lineRule="auto"/>
              <w:ind w:firstLine="480" w:firstLineChars="200"/>
              <w:jc w:val="left"/>
              <w:rPr>
                <w:color w:val="auto"/>
                <w:kern w:val="0"/>
                <w:sz w:val="24"/>
                <w:lang w:bidi="ar"/>
              </w:rPr>
            </w:pPr>
            <w:r>
              <w:rPr>
                <w:color w:val="auto"/>
                <w:kern w:val="0"/>
                <w:sz w:val="24"/>
                <w:lang w:bidi="ar"/>
              </w:rPr>
              <w:t>④污染处理设施管理制度</w:t>
            </w:r>
          </w:p>
          <w:p>
            <w:pPr>
              <w:wordWrap w:val="0"/>
              <w:adjustRightInd w:val="0"/>
              <w:snapToGrid w:val="0"/>
              <w:spacing w:line="360" w:lineRule="auto"/>
              <w:ind w:firstLine="480" w:firstLineChars="200"/>
              <w:jc w:val="left"/>
              <w:rPr>
                <w:color w:val="auto"/>
                <w:kern w:val="0"/>
                <w:sz w:val="24"/>
                <w:lang w:bidi="ar"/>
              </w:rPr>
            </w:pPr>
            <w:r>
              <w:rPr>
                <w:color w:val="auto"/>
                <w:kern w:val="0"/>
                <w:sz w:val="24"/>
                <w:lang w:bidi="ar"/>
              </w:rPr>
              <w:t>对污染治理设施的管理必须与生产经营活动一起纳入企业的日常管理中，要建立岗位责任制，制定操作规程，建立管理台帐。</w:t>
            </w:r>
          </w:p>
          <w:p>
            <w:pPr>
              <w:wordWrap w:val="0"/>
              <w:adjustRightInd w:val="0"/>
              <w:snapToGrid w:val="0"/>
              <w:spacing w:line="360" w:lineRule="auto"/>
              <w:ind w:firstLine="480" w:firstLineChars="200"/>
              <w:jc w:val="left"/>
              <w:rPr>
                <w:color w:val="auto"/>
                <w:kern w:val="0"/>
                <w:sz w:val="24"/>
                <w:lang w:bidi="ar"/>
              </w:rPr>
            </w:pPr>
            <w:r>
              <w:rPr>
                <w:color w:val="auto"/>
                <w:kern w:val="0"/>
                <w:sz w:val="24"/>
                <w:lang w:bidi="ar"/>
              </w:rPr>
              <w:t>⑤奖惩制度</w:t>
            </w:r>
          </w:p>
          <w:p>
            <w:pPr>
              <w:wordWrap w:val="0"/>
              <w:adjustRightInd w:val="0"/>
              <w:snapToGrid w:val="0"/>
              <w:spacing w:line="360" w:lineRule="auto"/>
              <w:ind w:firstLine="480" w:firstLineChars="200"/>
              <w:jc w:val="left"/>
              <w:rPr>
                <w:color w:val="auto"/>
                <w:kern w:val="0"/>
                <w:sz w:val="24"/>
                <w:lang w:bidi="ar"/>
              </w:rPr>
            </w:pPr>
            <w:r>
              <w:rPr>
                <w:color w:val="auto"/>
                <w:kern w:val="0"/>
                <w:sz w:val="24"/>
                <w:lang w:bidi="ar"/>
              </w:rPr>
              <w:t>企业应设置环境保护奖惩制度，对爱护环保设施，节能降耗，改善环境者实行奖励：对不按环保要求管理，造成环保设施损坏、环境污染和资源、能源浪费者予以处罚。</w:t>
            </w:r>
          </w:p>
          <w:p>
            <w:pPr>
              <w:wordWrap w:val="0"/>
              <w:adjustRightInd w:val="0"/>
              <w:snapToGrid w:val="0"/>
              <w:spacing w:line="360" w:lineRule="auto"/>
              <w:ind w:firstLine="480" w:firstLineChars="200"/>
              <w:jc w:val="left"/>
              <w:rPr>
                <w:color w:val="auto"/>
                <w:kern w:val="0"/>
                <w:sz w:val="24"/>
                <w:lang w:bidi="ar"/>
              </w:rPr>
            </w:pPr>
            <w:r>
              <w:rPr>
                <w:color w:val="auto"/>
                <w:kern w:val="0"/>
                <w:sz w:val="24"/>
                <w:lang w:bidi="ar"/>
              </w:rPr>
              <w:t>⑥社会公开制度</w:t>
            </w:r>
          </w:p>
          <w:p>
            <w:pPr>
              <w:wordWrap w:val="0"/>
              <w:adjustRightInd w:val="0"/>
              <w:snapToGrid w:val="0"/>
              <w:spacing w:line="360" w:lineRule="auto"/>
              <w:ind w:firstLine="480" w:firstLineChars="200"/>
              <w:jc w:val="left"/>
              <w:rPr>
                <w:color w:val="auto"/>
                <w:kern w:val="0"/>
                <w:sz w:val="24"/>
                <w:lang w:bidi="ar"/>
              </w:rPr>
            </w:pPr>
            <w:r>
              <w:rPr>
                <w:color w:val="auto"/>
                <w:kern w:val="0"/>
                <w:sz w:val="24"/>
                <w:lang w:bidi="ar"/>
              </w:rPr>
              <w:t>向社会公开拟建项目污染物排放清单，明确污染物排放的管理要求。包括工程组成及原辅材料组分要求，建设项目拟采取的环境保护措施及主要运行参数，排放的污染物种类、排放浓度和总量指标，排污口信息，执行的环境标准，环境风险防范措施以及环境监测等。</w:t>
            </w:r>
          </w:p>
          <w:p>
            <w:pPr>
              <w:wordWrap w:val="0"/>
              <w:adjustRightInd w:val="0"/>
              <w:snapToGrid w:val="0"/>
              <w:spacing w:line="360" w:lineRule="auto"/>
              <w:ind w:firstLine="480" w:firstLineChars="200"/>
              <w:jc w:val="left"/>
              <w:rPr>
                <w:color w:val="auto"/>
                <w:kern w:val="0"/>
                <w:sz w:val="24"/>
                <w:lang w:bidi="ar"/>
              </w:rPr>
            </w:pPr>
            <w:r>
              <w:rPr>
                <w:color w:val="auto"/>
                <w:kern w:val="0"/>
                <w:sz w:val="24"/>
                <w:lang w:bidi="ar"/>
              </w:rPr>
              <w:t>（4）加强涉非甲烷总烃的相关台帐管理制度</w:t>
            </w:r>
          </w:p>
          <w:p>
            <w:pPr>
              <w:wordWrap w:val="0"/>
              <w:adjustRightInd w:val="0"/>
              <w:snapToGrid w:val="0"/>
              <w:spacing w:line="360" w:lineRule="auto"/>
              <w:ind w:firstLine="480" w:firstLineChars="200"/>
              <w:jc w:val="left"/>
              <w:rPr>
                <w:color w:val="auto"/>
                <w:kern w:val="0"/>
                <w:sz w:val="24"/>
                <w:lang w:bidi="ar"/>
              </w:rPr>
            </w:pPr>
            <w:r>
              <w:rPr>
                <w:color w:val="auto"/>
                <w:kern w:val="0"/>
                <w:sz w:val="24"/>
                <w:lang w:bidi="ar"/>
              </w:rPr>
              <w:t>①记录并保存含挥发性有机物原辅材料名称及其挥发性有机物含量（使用说明书、物质安全说明书MSDS等），采购量、使用量、库存量及废弃量，回收方式及回收量等。</w:t>
            </w:r>
          </w:p>
          <w:p>
            <w:pPr>
              <w:wordWrap w:val="0"/>
              <w:adjustRightInd w:val="0"/>
              <w:snapToGrid w:val="0"/>
              <w:spacing w:line="360" w:lineRule="auto"/>
              <w:ind w:firstLine="480" w:firstLineChars="200"/>
              <w:jc w:val="left"/>
              <w:rPr>
                <w:color w:val="auto"/>
                <w:kern w:val="0"/>
                <w:sz w:val="24"/>
                <w:lang w:bidi="ar"/>
              </w:rPr>
            </w:pPr>
            <w:r>
              <w:rPr>
                <w:color w:val="auto"/>
                <w:kern w:val="0"/>
                <w:sz w:val="24"/>
                <w:lang w:bidi="ar"/>
              </w:rPr>
              <w:t>②保存挥发性有机物治理设施的设计方案、合同、操作手册、运维记录及其二次污染物的处置记录，生产和治污设施运行的关键参数；挥发性有机物废气监测报告或在线监测数据记录等，台帐保存期限不少于五年。</w:t>
            </w:r>
          </w:p>
        </w:tc>
      </w:tr>
    </w:tbl>
    <w:p>
      <w:pPr>
        <w:pStyle w:val="13"/>
        <w:wordWrap w:val="0"/>
        <w:ind w:left="420"/>
        <w:jc w:val="center"/>
        <w:outlineLvl w:val="0"/>
        <w:rPr>
          <w:rFonts w:ascii="Times New Roman" w:hAnsi="Times New Roman"/>
          <w:b/>
          <w:bCs/>
          <w:snapToGrid w:val="0"/>
          <w:color w:val="auto"/>
          <w:sz w:val="30"/>
          <w:szCs w:val="30"/>
        </w:rPr>
      </w:pPr>
      <w:r>
        <w:rPr>
          <w:rFonts w:ascii="Times New Roman" w:hAnsi="Times New Roman"/>
          <w:snapToGrid w:val="0"/>
          <w:color w:val="auto"/>
        </w:rPr>
        <w:br w:type="page"/>
      </w:r>
      <w:bookmarkStart w:id="45" w:name="_Toc12629"/>
      <w:r>
        <w:rPr>
          <w:rFonts w:ascii="Times New Roman" w:hAnsi="Times New Roman"/>
          <w:b/>
          <w:bCs/>
          <w:snapToGrid w:val="0"/>
          <w:color w:val="auto"/>
          <w:sz w:val="30"/>
          <w:szCs w:val="30"/>
        </w:rPr>
        <w:t>六、 结论</w:t>
      </w:r>
      <w:bookmarkEnd w:id="45"/>
    </w:p>
    <w:tbl>
      <w:tblPr>
        <w:tblStyle w:val="20"/>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86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991" w:hRule="atLeast"/>
          <w:jc w:val="center"/>
        </w:trPr>
        <w:tc>
          <w:tcPr>
            <w:tcW w:w="8865" w:type="dxa"/>
          </w:tcPr>
          <w:p>
            <w:pPr>
              <w:widowControl/>
              <w:spacing w:line="360" w:lineRule="auto"/>
              <w:ind w:firstLine="480" w:firstLineChars="200"/>
              <w:jc w:val="left"/>
              <w:rPr>
                <w:color w:val="auto"/>
                <w:sz w:val="24"/>
              </w:rPr>
            </w:pPr>
            <w:r>
              <w:rPr>
                <w:color w:val="auto"/>
                <w:kern w:val="0"/>
                <w:sz w:val="24"/>
                <w:lang w:bidi="ar"/>
              </w:rPr>
              <w:t>建设项目建设符合国家产业政策，项目选址于江苏省淮安市淮阴区古清口街道农科村淮三路168号，建设单位在认真落实本报告提出的各项环保措施与建议，对预期产生的主要污染物采取切实可行的污染治理措施，确保实现达标排放，最大限度减小对项目所在地环境质量影响的前提下，从环境保护角度论证，在拟建地址建设是可行的。</w:t>
            </w:r>
          </w:p>
        </w:tc>
      </w:tr>
    </w:tbl>
    <w:p>
      <w:pPr>
        <w:pStyle w:val="13"/>
        <w:wordWrap w:val="0"/>
        <w:adjustRightInd w:val="0"/>
        <w:snapToGrid w:val="0"/>
        <w:spacing w:before="0" w:beforeAutospacing="0" w:after="0" w:afterAutospacing="0" w:line="360" w:lineRule="auto"/>
        <w:rPr>
          <w:rFonts w:ascii="Times New Roman" w:hAnsi="Times New Roman"/>
          <w:b/>
          <w:bCs/>
          <w:snapToGrid w:val="0"/>
          <w:color w:val="auto"/>
          <w:sz w:val="28"/>
          <w:szCs w:val="28"/>
        </w:rPr>
      </w:pPr>
    </w:p>
    <w:p>
      <w:pPr>
        <w:pStyle w:val="13"/>
        <w:wordWrap w:val="0"/>
        <w:adjustRightInd w:val="0"/>
        <w:snapToGrid w:val="0"/>
        <w:spacing w:before="0" w:beforeAutospacing="0" w:after="0" w:afterAutospacing="0" w:line="360" w:lineRule="auto"/>
        <w:rPr>
          <w:rFonts w:ascii="Times New Roman" w:hAnsi="Times New Roman"/>
          <w:b/>
          <w:bCs/>
          <w:snapToGrid w:val="0"/>
          <w:color w:val="auto"/>
          <w:sz w:val="28"/>
          <w:szCs w:val="28"/>
        </w:rPr>
        <w:sectPr>
          <w:footerReference r:id="rId6" w:type="default"/>
          <w:pgSz w:w="11905" w:h="16838"/>
          <w:pgMar w:top="1440" w:right="1400" w:bottom="1383" w:left="1400" w:header="851" w:footer="850" w:gutter="0"/>
          <w:pgBorders>
            <w:top w:val="none" w:sz="0" w:space="0"/>
            <w:left w:val="none" w:sz="0" w:space="0"/>
            <w:bottom w:val="none" w:sz="0" w:space="0"/>
            <w:right w:val="none" w:sz="0" w:space="0"/>
          </w:pgBorders>
          <w:cols w:space="720" w:num="1"/>
          <w:docGrid w:linePitch="312" w:charSpace="0"/>
        </w:sectPr>
      </w:pPr>
      <w:r>
        <w:rPr>
          <w:rFonts w:ascii="Times New Roman" w:hAnsi="Times New Roman"/>
          <w:b/>
          <w:bCs/>
          <w:snapToGrid w:val="0"/>
          <w:color w:val="auto"/>
          <w:sz w:val="28"/>
          <w:szCs w:val="28"/>
        </w:rPr>
        <w:t xml:space="preserve">                                                               </w:t>
      </w:r>
    </w:p>
    <w:p>
      <w:pPr>
        <w:pStyle w:val="13"/>
        <w:wordWrap w:val="0"/>
        <w:adjustRightInd w:val="0"/>
        <w:snapToGrid w:val="0"/>
        <w:spacing w:before="0" w:beforeAutospacing="0" w:after="0" w:afterAutospacing="0" w:line="360" w:lineRule="auto"/>
        <w:rPr>
          <w:rFonts w:ascii="Times New Roman" w:hAnsi="Times New Roman"/>
          <w:b/>
          <w:bCs/>
          <w:snapToGrid w:val="0"/>
          <w:color w:val="auto"/>
          <w:sz w:val="28"/>
          <w:szCs w:val="28"/>
        </w:rPr>
      </w:pPr>
    </w:p>
    <w:p>
      <w:pPr>
        <w:pStyle w:val="13"/>
        <w:wordWrap w:val="0"/>
        <w:adjustRightInd w:val="0"/>
        <w:snapToGrid w:val="0"/>
        <w:spacing w:before="0" w:beforeAutospacing="0" w:after="0" w:afterAutospacing="0" w:line="360" w:lineRule="auto"/>
        <w:outlineLvl w:val="0"/>
        <w:rPr>
          <w:rFonts w:ascii="Times New Roman" w:hAnsi="Times New Roman"/>
          <w:b/>
          <w:bCs/>
          <w:snapToGrid w:val="0"/>
          <w:color w:val="auto"/>
          <w:sz w:val="28"/>
          <w:szCs w:val="28"/>
        </w:rPr>
      </w:pPr>
      <w:bookmarkStart w:id="46" w:name="_Toc30831"/>
      <w:r>
        <w:rPr>
          <w:rFonts w:ascii="Times New Roman" w:hAnsi="Times New Roman"/>
          <w:b/>
          <w:bCs/>
          <w:snapToGrid w:val="0"/>
          <w:color w:val="auto"/>
          <w:sz w:val="28"/>
          <w:szCs w:val="28"/>
        </w:rPr>
        <w:t>附表:</w:t>
      </w:r>
      <w:bookmarkEnd w:id="46"/>
    </w:p>
    <w:p>
      <w:pPr>
        <w:pStyle w:val="13"/>
        <w:wordWrap w:val="0"/>
        <w:adjustRightInd w:val="0"/>
        <w:snapToGrid w:val="0"/>
        <w:spacing w:before="0" w:beforeAutospacing="0" w:after="0" w:afterAutospacing="0" w:line="360" w:lineRule="auto"/>
        <w:jc w:val="center"/>
        <w:rPr>
          <w:rFonts w:ascii="Times New Roman" w:hAnsi="Times New Roman"/>
          <w:b/>
          <w:bCs/>
          <w:snapToGrid w:val="0"/>
          <w:color w:val="auto"/>
          <w:sz w:val="28"/>
          <w:szCs w:val="28"/>
        </w:rPr>
      </w:pPr>
      <w:bookmarkStart w:id="47" w:name="_Toc7357"/>
      <w:r>
        <w:rPr>
          <w:rFonts w:ascii="Times New Roman" w:hAnsi="Times New Roman"/>
          <w:b/>
          <w:bCs/>
          <w:snapToGrid w:val="0"/>
          <w:color w:val="auto"/>
          <w:sz w:val="28"/>
          <w:szCs w:val="28"/>
        </w:rPr>
        <w:t>建设项目污染物排放量汇总表</w:t>
      </w:r>
      <w:bookmarkEnd w:id="47"/>
      <w:r>
        <w:rPr>
          <w:rFonts w:ascii="Times New Roman" w:hAnsi="Times New Roman"/>
          <w:b/>
          <w:bCs/>
          <w:snapToGrid w:val="0"/>
          <w:color w:val="auto"/>
          <w:sz w:val="28"/>
          <w:szCs w:val="28"/>
        </w:rPr>
        <w:t xml:space="preserve"> 单位（t/a）</w:t>
      </w:r>
    </w:p>
    <w:tbl>
      <w:tblPr>
        <w:tblStyle w:val="20"/>
        <w:tblW w:w="14435" w:type="dxa"/>
        <w:tblInd w:w="93" w:type="dxa"/>
        <w:tblLayout w:type="autofit"/>
        <w:tblCellMar>
          <w:top w:w="0" w:type="dxa"/>
          <w:left w:w="108" w:type="dxa"/>
          <w:bottom w:w="0" w:type="dxa"/>
          <w:right w:w="108" w:type="dxa"/>
        </w:tblCellMar>
      </w:tblPr>
      <w:tblGrid>
        <w:gridCol w:w="1334"/>
        <w:gridCol w:w="1335"/>
        <w:gridCol w:w="2020"/>
        <w:gridCol w:w="1334"/>
        <w:gridCol w:w="1334"/>
        <w:gridCol w:w="1334"/>
        <w:gridCol w:w="1334"/>
        <w:gridCol w:w="1334"/>
        <w:gridCol w:w="1538"/>
        <w:gridCol w:w="1538"/>
      </w:tblGrid>
      <w:tr>
        <w:tblPrEx>
          <w:tblCellMar>
            <w:top w:w="0" w:type="dxa"/>
            <w:left w:w="108" w:type="dxa"/>
            <w:bottom w:w="0" w:type="dxa"/>
            <w:right w:w="108" w:type="dxa"/>
          </w:tblCellMar>
        </w:tblPrEx>
        <w:trPr>
          <w:trHeight w:val="162" w:hRule="atLeast"/>
        </w:trPr>
        <w:tc>
          <w:tcPr>
            <w:tcW w:w="2669" w:type="dxa"/>
            <w:gridSpan w:val="2"/>
            <w:vMerge w:val="restart"/>
            <w:tcBorders>
              <w:top w:val="single" w:color="000000" w:sz="4" w:space="0"/>
              <w:left w:val="single" w:color="000000" w:sz="4" w:space="0"/>
              <w:right w:val="single" w:color="000000" w:sz="4" w:space="0"/>
              <w:tl2br w:val="single" w:color="000000" w:sz="4" w:space="0"/>
            </w:tcBorders>
            <w:vAlign w:val="center"/>
          </w:tcPr>
          <w:p>
            <w:pPr>
              <w:widowControl/>
              <w:jc w:val="center"/>
              <w:textAlignment w:val="center"/>
              <w:rPr>
                <w:b/>
                <w:bCs/>
                <w:color w:val="auto"/>
                <w:sz w:val="24"/>
              </w:rPr>
            </w:pPr>
            <w:r>
              <w:rPr>
                <w:b/>
                <w:bCs/>
                <w:color w:val="auto"/>
                <w:kern w:val="0"/>
                <w:sz w:val="24"/>
                <w:lang w:bidi="ar"/>
              </w:rPr>
              <w:t>分类      项目</w:t>
            </w:r>
          </w:p>
        </w:tc>
        <w:tc>
          <w:tcPr>
            <w:tcW w:w="202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b/>
                <w:bCs/>
                <w:color w:val="auto"/>
                <w:sz w:val="24"/>
              </w:rPr>
            </w:pPr>
            <w:r>
              <w:rPr>
                <w:b/>
                <w:bCs/>
                <w:color w:val="auto"/>
                <w:kern w:val="0"/>
                <w:sz w:val="24"/>
                <w:lang w:bidi="ar"/>
              </w:rPr>
              <w:t>污染物名称</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b/>
                <w:bCs/>
                <w:color w:val="auto"/>
                <w:sz w:val="24"/>
              </w:rPr>
            </w:pPr>
            <w:r>
              <w:rPr>
                <w:b/>
                <w:bCs/>
                <w:color w:val="auto"/>
                <w:kern w:val="0"/>
                <w:sz w:val="24"/>
                <w:lang w:bidi="ar"/>
              </w:rPr>
              <w:t>现有工程</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b/>
                <w:bCs/>
                <w:color w:val="auto"/>
                <w:sz w:val="24"/>
              </w:rPr>
            </w:pPr>
            <w:r>
              <w:rPr>
                <w:b/>
                <w:bCs/>
                <w:color w:val="auto"/>
                <w:kern w:val="0"/>
                <w:sz w:val="24"/>
                <w:lang w:bidi="ar"/>
              </w:rPr>
              <w:t>现有工程</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b/>
                <w:bCs/>
                <w:color w:val="auto"/>
                <w:sz w:val="24"/>
              </w:rPr>
            </w:pPr>
            <w:r>
              <w:rPr>
                <w:b/>
                <w:bCs/>
                <w:color w:val="auto"/>
                <w:kern w:val="0"/>
                <w:sz w:val="24"/>
                <w:lang w:bidi="ar"/>
              </w:rPr>
              <w:t>在建工程</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b/>
                <w:bCs/>
                <w:color w:val="auto"/>
                <w:sz w:val="24"/>
              </w:rPr>
            </w:pPr>
            <w:r>
              <w:rPr>
                <w:b/>
                <w:bCs/>
                <w:color w:val="auto"/>
                <w:kern w:val="0"/>
                <w:sz w:val="24"/>
                <w:lang w:bidi="ar"/>
              </w:rPr>
              <w:t>本项目</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b/>
                <w:bCs/>
                <w:color w:val="auto"/>
                <w:sz w:val="24"/>
              </w:rPr>
            </w:pPr>
            <w:r>
              <w:rPr>
                <w:b/>
                <w:bCs/>
                <w:color w:val="auto"/>
                <w:kern w:val="0"/>
                <w:sz w:val="24"/>
                <w:lang w:bidi="ar"/>
              </w:rPr>
              <w:t>以新带老削减量</w:t>
            </w:r>
          </w:p>
        </w:tc>
        <w:tc>
          <w:tcPr>
            <w:tcW w:w="153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b/>
                <w:bCs/>
                <w:color w:val="auto"/>
                <w:sz w:val="24"/>
              </w:rPr>
            </w:pPr>
            <w:r>
              <w:rPr>
                <w:b/>
                <w:bCs/>
                <w:color w:val="auto"/>
                <w:kern w:val="0"/>
                <w:sz w:val="24"/>
                <w:lang w:bidi="ar"/>
              </w:rPr>
              <w:t>本项目建成后</w:t>
            </w:r>
          </w:p>
        </w:tc>
        <w:tc>
          <w:tcPr>
            <w:tcW w:w="153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b/>
                <w:bCs/>
                <w:color w:val="auto"/>
                <w:sz w:val="24"/>
              </w:rPr>
            </w:pPr>
            <w:r>
              <w:rPr>
                <w:b/>
                <w:bCs/>
                <w:color w:val="auto"/>
                <w:kern w:val="0"/>
                <w:sz w:val="24"/>
                <w:lang w:bidi="ar"/>
              </w:rPr>
              <w:t>变化量</w:t>
            </w:r>
          </w:p>
        </w:tc>
      </w:tr>
      <w:tr>
        <w:tblPrEx>
          <w:tblCellMar>
            <w:top w:w="0" w:type="dxa"/>
            <w:left w:w="108" w:type="dxa"/>
            <w:bottom w:w="0" w:type="dxa"/>
            <w:right w:w="108" w:type="dxa"/>
          </w:tblCellMar>
        </w:tblPrEx>
        <w:trPr>
          <w:trHeight w:val="303" w:hRule="atLeast"/>
        </w:trPr>
        <w:tc>
          <w:tcPr>
            <w:tcW w:w="2669" w:type="dxa"/>
            <w:gridSpan w:val="2"/>
            <w:vMerge w:val="continue"/>
            <w:tcBorders>
              <w:left w:val="single" w:color="000000" w:sz="4" w:space="0"/>
              <w:bottom w:val="single" w:color="000000" w:sz="4" w:space="0"/>
              <w:right w:val="single" w:color="000000" w:sz="4" w:space="0"/>
            </w:tcBorders>
            <w:vAlign w:val="center"/>
          </w:tcPr>
          <w:p>
            <w:pPr>
              <w:widowControl/>
              <w:jc w:val="center"/>
              <w:textAlignment w:val="center"/>
              <w:rPr>
                <w:b/>
                <w:bCs/>
                <w:color w:val="auto"/>
                <w:sz w:val="24"/>
              </w:rPr>
            </w:pPr>
          </w:p>
        </w:tc>
        <w:tc>
          <w:tcPr>
            <w:tcW w:w="202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b/>
                <w:bCs/>
                <w:color w:val="auto"/>
                <w:sz w:val="24"/>
              </w:rPr>
            </w:pP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b/>
                <w:bCs/>
                <w:color w:val="auto"/>
                <w:sz w:val="24"/>
              </w:rPr>
            </w:pPr>
            <w:r>
              <w:rPr>
                <w:b/>
                <w:bCs/>
                <w:color w:val="auto"/>
                <w:kern w:val="0"/>
                <w:sz w:val="24"/>
                <w:lang w:bidi="ar"/>
              </w:rPr>
              <w:t>排放量（固体废物产生量）①</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b/>
                <w:bCs/>
                <w:color w:val="auto"/>
                <w:sz w:val="24"/>
              </w:rPr>
            </w:pPr>
            <w:r>
              <w:rPr>
                <w:b/>
                <w:bCs/>
                <w:color w:val="auto"/>
                <w:kern w:val="0"/>
                <w:sz w:val="24"/>
                <w:lang w:bidi="ar"/>
              </w:rPr>
              <w:t>许可排放量②</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b/>
                <w:bCs/>
                <w:color w:val="auto"/>
                <w:sz w:val="24"/>
              </w:rPr>
            </w:pPr>
            <w:r>
              <w:rPr>
                <w:b/>
                <w:bCs/>
                <w:color w:val="auto"/>
                <w:kern w:val="0"/>
                <w:sz w:val="24"/>
                <w:lang w:bidi="ar"/>
              </w:rPr>
              <w:t>排放量（固体废物产生量）③</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b/>
                <w:bCs/>
                <w:color w:val="auto"/>
                <w:sz w:val="24"/>
              </w:rPr>
            </w:pPr>
            <w:r>
              <w:rPr>
                <w:b/>
                <w:bCs/>
                <w:color w:val="auto"/>
                <w:kern w:val="0"/>
                <w:sz w:val="24"/>
                <w:lang w:bidi="ar"/>
              </w:rPr>
              <w:t>排放量（固体废物产生量）④</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b/>
                <w:bCs/>
                <w:color w:val="auto"/>
                <w:sz w:val="24"/>
              </w:rPr>
            </w:pPr>
            <w:r>
              <w:rPr>
                <w:b/>
                <w:bCs/>
                <w:color w:val="auto"/>
                <w:kern w:val="0"/>
                <w:sz w:val="24"/>
                <w:lang w:bidi="ar"/>
              </w:rPr>
              <w:t>（新建项目不填）⑤</w:t>
            </w:r>
          </w:p>
        </w:tc>
        <w:tc>
          <w:tcPr>
            <w:tcW w:w="153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b/>
                <w:bCs/>
                <w:color w:val="auto"/>
                <w:sz w:val="24"/>
              </w:rPr>
            </w:pPr>
            <w:r>
              <w:rPr>
                <w:b/>
                <w:bCs/>
                <w:color w:val="auto"/>
                <w:kern w:val="0"/>
                <w:sz w:val="24"/>
                <w:lang w:bidi="ar"/>
              </w:rPr>
              <w:t>全厂排放量（固体废物产生量）⑥</w:t>
            </w:r>
          </w:p>
        </w:tc>
        <w:tc>
          <w:tcPr>
            <w:tcW w:w="153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b/>
                <w:bCs/>
                <w:color w:val="auto"/>
                <w:sz w:val="24"/>
              </w:rPr>
            </w:pPr>
            <w:r>
              <w:rPr>
                <w:b/>
                <w:bCs/>
                <w:color w:val="auto"/>
                <w:kern w:val="0"/>
                <w:sz w:val="24"/>
                <w:lang w:bidi="ar"/>
              </w:rPr>
              <w:t>⑦</w:t>
            </w:r>
          </w:p>
        </w:tc>
      </w:tr>
      <w:tr>
        <w:tblPrEx>
          <w:tblCellMar>
            <w:top w:w="0" w:type="dxa"/>
            <w:left w:w="108" w:type="dxa"/>
            <w:bottom w:w="0" w:type="dxa"/>
            <w:right w:w="108" w:type="dxa"/>
          </w:tblCellMar>
        </w:tblPrEx>
        <w:trPr>
          <w:trHeight w:val="90" w:hRule="atLeast"/>
        </w:trPr>
        <w:tc>
          <w:tcPr>
            <w:tcW w:w="2669" w:type="dxa"/>
            <w:gridSpan w:val="2"/>
            <w:vMerge w:val="restart"/>
            <w:tcBorders>
              <w:top w:val="single" w:color="000000" w:sz="4" w:space="0"/>
              <w:left w:val="single" w:color="000000" w:sz="4" w:space="0"/>
              <w:right w:val="single" w:color="000000" w:sz="4" w:space="0"/>
            </w:tcBorders>
            <w:vAlign w:val="center"/>
          </w:tcPr>
          <w:p>
            <w:pPr>
              <w:widowControl/>
              <w:jc w:val="center"/>
              <w:textAlignment w:val="center"/>
              <w:rPr>
                <w:color w:val="auto"/>
                <w:sz w:val="24"/>
              </w:rPr>
            </w:pPr>
            <w:r>
              <w:rPr>
                <w:color w:val="auto"/>
                <w:kern w:val="0"/>
                <w:sz w:val="24"/>
                <w:lang w:bidi="ar"/>
              </w:rPr>
              <w:t>废水</w:t>
            </w:r>
          </w:p>
        </w:tc>
        <w:tc>
          <w:tcPr>
            <w:tcW w:w="20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kern w:val="0"/>
                <w:sz w:val="21"/>
                <w:szCs w:val="21"/>
                <w:lang w:bidi="ar"/>
              </w:rPr>
            </w:pPr>
            <w:r>
              <w:rPr>
                <w:color w:val="auto"/>
                <w:kern w:val="0"/>
                <w:sz w:val="21"/>
                <w:szCs w:val="21"/>
                <w:lang w:bidi="ar"/>
              </w:rPr>
              <w:t>废水总量</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1"/>
                <w:szCs w:val="21"/>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1"/>
                <w:szCs w:val="21"/>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1"/>
                <w:szCs w:val="21"/>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1"/>
                <w:szCs w:val="21"/>
              </w:rPr>
            </w:pPr>
            <w:r>
              <w:rPr>
                <w:color w:val="auto"/>
                <w:sz w:val="21"/>
                <w:szCs w:val="21"/>
              </w:rPr>
              <w:t>360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1"/>
                <w:szCs w:val="21"/>
              </w:rPr>
            </w:pPr>
            <w:r>
              <w:rPr>
                <w:color w:val="auto"/>
                <w:kern w:val="0"/>
                <w:sz w:val="21"/>
                <w:szCs w:val="21"/>
                <w:lang w:bidi="ar"/>
              </w:rPr>
              <w:t>0</w:t>
            </w:r>
          </w:p>
        </w:tc>
        <w:tc>
          <w:tcPr>
            <w:tcW w:w="153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1"/>
                <w:szCs w:val="21"/>
              </w:rPr>
            </w:pPr>
            <w:r>
              <w:rPr>
                <w:rFonts w:hint="eastAsia"/>
                <w:color w:val="auto"/>
                <w:sz w:val="21"/>
                <w:szCs w:val="21"/>
              </w:rPr>
              <w:t>0</w:t>
            </w:r>
          </w:p>
        </w:tc>
        <w:tc>
          <w:tcPr>
            <w:tcW w:w="153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1"/>
                <w:szCs w:val="21"/>
              </w:rPr>
            </w:pPr>
            <w:r>
              <w:rPr>
                <w:color w:val="auto"/>
                <w:sz w:val="21"/>
                <w:szCs w:val="21"/>
              </w:rPr>
              <w:t>+</w:t>
            </w:r>
            <w:r>
              <w:rPr>
                <w:rFonts w:hint="eastAsia"/>
                <w:color w:val="auto"/>
                <w:sz w:val="21"/>
                <w:szCs w:val="21"/>
              </w:rPr>
              <w:t>0</w:t>
            </w:r>
          </w:p>
        </w:tc>
      </w:tr>
      <w:tr>
        <w:tblPrEx>
          <w:tblCellMar>
            <w:top w:w="0" w:type="dxa"/>
            <w:left w:w="108" w:type="dxa"/>
            <w:bottom w:w="0" w:type="dxa"/>
            <w:right w:w="108" w:type="dxa"/>
          </w:tblCellMar>
        </w:tblPrEx>
        <w:trPr>
          <w:trHeight w:val="90" w:hRule="atLeast"/>
        </w:trPr>
        <w:tc>
          <w:tcPr>
            <w:tcW w:w="2669" w:type="dxa"/>
            <w:gridSpan w:val="2"/>
            <w:vMerge w:val="continue"/>
            <w:tcBorders>
              <w:left w:val="single" w:color="000000" w:sz="4" w:space="0"/>
              <w:right w:val="single" w:color="000000" w:sz="4" w:space="0"/>
            </w:tcBorders>
            <w:vAlign w:val="center"/>
          </w:tcPr>
          <w:p>
            <w:pPr>
              <w:jc w:val="center"/>
              <w:rPr>
                <w:color w:val="auto"/>
                <w:sz w:val="24"/>
              </w:rPr>
            </w:pPr>
          </w:p>
        </w:tc>
        <w:tc>
          <w:tcPr>
            <w:tcW w:w="20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kern w:val="0"/>
                <w:sz w:val="21"/>
                <w:szCs w:val="21"/>
                <w:lang w:bidi="ar"/>
              </w:rPr>
            </w:pPr>
            <w:r>
              <w:rPr>
                <w:color w:val="auto"/>
                <w:kern w:val="0"/>
                <w:sz w:val="21"/>
                <w:szCs w:val="21"/>
                <w:lang w:bidi="ar"/>
              </w:rPr>
              <w:t>COD</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1"/>
                <w:szCs w:val="21"/>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1"/>
                <w:szCs w:val="21"/>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1"/>
                <w:szCs w:val="21"/>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ordWrap w:val="0"/>
              <w:jc w:val="center"/>
              <w:rPr>
                <w:color w:val="auto"/>
                <w:sz w:val="21"/>
                <w:szCs w:val="21"/>
              </w:rPr>
            </w:pPr>
            <w:r>
              <w:rPr>
                <w:rFonts w:hint="eastAsia"/>
                <w:color w:val="auto"/>
                <w:sz w:val="21"/>
                <w:szCs w:val="21"/>
              </w:rPr>
              <w:t>0.0504</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1"/>
                <w:szCs w:val="21"/>
              </w:rPr>
            </w:pPr>
            <w:r>
              <w:rPr>
                <w:color w:val="auto"/>
                <w:kern w:val="0"/>
                <w:sz w:val="21"/>
                <w:szCs w:val="21"/>
                <w:lang w:bidi="ar"/>
              </w:rPr>
              <w:t>0</w:t>
            </w:r>
          </w:p>
        </w:tc>
        <w:tc>
          <w:tcPr>
            <w:tcW w:w="1538" w:type="dxa"/>
            <w:tcBorders>
              <w:top w:val="single" w:color="000000" w:sz="4" w:space="0"/>
              <w:left w:val="single" w:color="000000" w:sz="4" w:space="0"/>
              <w:bottom w:val="single" w:color="000000" w:sz="4" w:space="0"/>
              <w:right w:val="single" w:color="000000" w:sz="4" w:space="0"/>
            </w:tcBorders>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0</w:t>
            </w:r>
          </w:p>
        </w:tc>
        <w:tc>
          <w:tcPr>
            <w:tcW w:w="1538" w:type="dxa"/>
            <w:tcBorders>
              <w:top w:val="single" w:color="000000" w:sz="4" w:space="0"/>
              <w:left w:val="single" w:color="000000" w:sz="4" w:space="0"/>
              <w:bottom w:val="single" w:color="000000" w:sz="4" w:space="0"/>
              <w:right w:val="single" w:color="000000" w:sz="4" w:space="0"/>
            </w:tcBorders>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+0</w:t>
            </w:r>
          </w:p>
        </w:tc>
      </w:tr>
      <w:tr>
        <w:tblPrEx>
          <w:tblCellMar>
            <w:top w:w="0" w:type="dxa"/>
            <w:left w:w="108" w:type="dxa"/>
            <w:bottom w:w="0" w:type="dxa"/>
            <w:right w:w="108" w:type="dxa"/>
          </w:tblCellMar>
        </w:tblPrEx>
        <w:trPr>
          <w:trHeight w:val="323" w:hRule="atLeast"/>
        </w:trPr>
        <w:tc>
          <w:tcPr>
            <w:tcW w:w="2669" w:type="dxa"/>
            <w:gridSpan w:val="2"/>
            <w:vMerge w:val="continue"/>
            <w:tcBorders>
              <w:left w:val="single" w:color="000000" w:sz="4" w:space="0"/>
              <w:right w:val="single" w:color="000000" w:sz="4" w:space="0"/>
            </w:tcBorders>
            <w:vAlign w:val="center"/>
          </w:tcPr>
          <w:p>
            <w:pPr>
              <w:jc w:val="center"/>
              <w:rPr>
                <w:color w:val="auto"/>
                <w:sz w:val="24"/>
              </w:rPr>
            </w:pPr>
          </w:p>
        </w:tc>
        <w:tc>
          <w:tcPr>
            <w:tcW w:w="20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kern w:val="0"/>
                <w:sz w:val="21"/>
                <w:szCs w:val="21"/>
                <w:lang w:bidi="ar"/>
              </w:rPr>
            </w:pPr>
            <w:r>
              <w:rPr>
                <w:color w:val="auto"/>
                <w:kern w:val="0"/>
                <w:sz w:val="21"/>
                <w:szCs w:val="21"/>
                <w:lang w:bidi="ar"/>
              </w:rPr>
              <w:t>SS</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1"/>
                <w:szCs w:val="21"/>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1"/>
                <w:szCs w:val="21"/>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1"/>
                <w:szCs w:val="21"/>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0.288</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1"/>
                <w:szCs w:val="21"/>
              </w:rPr>
            </w:pPr>
            <w:r>
              <w:rPr>
                <w:color w:val="auto"/>
                <w:kern w:val="0"/>
                <w:sz w:val="21"/>
                <w:szCs w:val="21"/>
                <w:lang w:bidi="ar"/>
              </w:rPr>
              <w:t>0</w:t>
            </w:r>
          </w:p>
        </w:tc>
        <w:tc>
          <w:tcPr>
            <w:tcW w:w="1538" w:type="dxa"/>
            <w:tcBorders>
              <w:top w:val="single" w:color="000000" w:sz="4" w:space="0"/>
              <w:left w:val="single" w:color="000000" w:sz="4" w:space="0"/>
              <w:bottom w:val="single" w:color="000000" w:sz="4" w:space="0"/>
              <w:right w:val="single" w:color="000000" w:sz="4" w:space="0"/>
            </w:tcBorders>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0</w:t>
            </w:r>
          </w:p>
        </w:tc>
        <w:tc>
          <w:tcPr>
            <w:tcW w:w="1538" w:type="dxa"/>
            <w:tcBorders>
              <w:top w:val="single" w:color="000000" w:sz="4" w:space="0"/>
              <w:left w:val="single" w:color="000000" w:sz="4" w:space="0"/>
              <w:bottom w:val="single" w:color="000000" w:sz="4" w:space="0"/>
              <w:right w:val="single" w:color="000000" w:sz="4" w:space="0"/>
            </w:tcBorders>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+0</w:t>
            </w:r>
          </w:p>
        </w:tc>
      </w:tr>
      <w:tr>
        <w:tblPrEx>
          <w:tblCellMar>
            <w:top w:w="0" w:type="dxa"/>
            <w:left w:w="108" w:type="dxa"/>
            <w:bottom w:w="0" w:type="dxa"/>
            <w:right w:w="108" w:type="dxa"/>
          </w:tblCellMar>
        </w:tblPrEx>
        <w:trPr>
          <w:trHeight w:val="90" w:hRule="atLeast"/>
        </w:trPr>
        <w:tc>
          <w:tcPr>
            <w:tcW w:w="2669" w:type="dxa"/>
            <w:gridSpan w:val="2"/>
            <w:vMerge w:val="continue"/>
            <w:tcBorders>
              <w:left w:val="single" w:color="000000" w:sz="4" w:space="0"/>
              <w:right w:val="single" w:color="000000" w:sz="4" w:space="0"/>
            </w:tcBorders>
            <w:vAlign w:val="center"/>
          </w:tcPr>
          <w:p>
            <w:pPr>
              <w:jc w:val="center"/>
              <w:rPr>
                <w:color w:val="auto"/>
                <w:sz w:val="24"/>
              </w:rPr>
            </w:pPr>
          </w:p>
        </w:tc>
        <w:tc>
          <w:tcPr>
            <w:tcW w:w="20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kern w:val="0"/>
                <w:sz w:val="21"/>
                <w:szCs w:val="21"/>
                <w:lang w:bidi="ar"/>
              </w:rPr>
            </w:pPr>
            <w:r>
              <w:rPr>
                <w:color w:val="auto"/>
                <w:kern w:val="0"/>
                <w:sz w:val="21"/>
                <w:szCs w:val="21"/>
                <w:lang w:bidi="ar"/>
              </w:rPr>
              <w:t>氨氮</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1"/>
                <w:szCs w:val="21"/>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1"/>
                <w:szCs w:val="21"/>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1"/>
                <w:szCs w:val="21"/>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0.0432</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1"/>
                <w:szCs w:val="21"/>
              </w:rPr>
            </w:pPr>
            <w:r>
              <w:rPr>
                <w:color w:val="auto"/>
                <w:kern w:val="0"/>
                <w:sz w:val="21"/>
                <w:szCs w:val="21"/>
                <w:lang w:bidi="ar"/>
              </w:rPr>
              <w:t>0</w:t>
            </w:r>
          </w:p>
        </w:tc>
        <w:tc>
          <w:tcPr>
            <w:tcW w:w="1538" w:type="dxa"/>
            <w:tcBorders>
              <w:top w:val="single" w:color="000000" w:sz="4" w:space="0"/>
              <w:left w:val="single" w:color="000000" w:sz="4" w:space="0"/>
              <w:bottom w:val="single" w:color="000000" w:sz="4" w:space="0"/>
              <w:right w:val="single" w:color="000000" w:sz="4" w:space="0"/>
            </w:tcBorders>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0</w:t>
            </w:r>
          </w:p>
        </w:tc>
        <w:tc>
          <w:tcPr>
            <w:tcW w:w="1538" w:type="dxa"/>
            <w:tcBorders>
              <w:top w:val="single" w:color="000000" w:sz="4" w:space="0"/>
              <w:left w:val="single" w:color="000000" w:sz="4" w:space="0"/>
              <w:bottom w:val="single" w:color="000000" w:sz="4" w:space="0"/>
              <w:right w:val="single" w:color="000000" w:sz="4" w:space="0"/>
            </w:tcBorders>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+0</w:t>
            </w:r>
          </w:p>
        </w:tc>
      </w:tr>
      <w:tr>
        <w:tblPrEx>
          <w:tblCellMar>
            <w:top w:w="0" w:type="dxa"/>
            <w:left w:w="108" w:type="dxa"/>
            <w:bottom w:w="0" w:type="dxa"/>
            <w:right w:w="108" w:type="dxa"/>
          </w:tblCellMar>
        </w:tblPrEx>
        <w:trPr>
          <w:trHeight w:val="90" w:hRule="atLeast"/>
        </w:trPr>
        <w:tc>
          <w:tcPr>
            <w:tcW w:w="2669" w:type="dxa"/>
            <w:gridSpan w:val="2"/>
            <w:vMerge w:val="continue"/>
            <w:tcBorders>
              <w:left w:val="single" w:color="000000" w:sz="4" w:space="0"/>
              <w:right w:val="single" w:color="000000" w:sz="4" w:space="0"/>
            </w:tcBorders>
            <w:vAlign w:val="center"/>
          </w:tcPr>
          <w:p>
            <w:pPr>
              <w:jc w:val="center"/>
              <w:rPr>
                <w:color w:val="auto"/>
                <w:sz w:val="24"/>
              </w:rPr>
            </w:pPr>
          </w:p>
        </w:tc>
        <w:tc>
          <w:tcPr>
            <w:tcW w:w="20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kern w:val="0"/>
                <w:sz w:val="21"/>
                <w:szCs w:val="21"/>
                <w:lang w:bidi="ar"/>
              </w:rPr>
            </w:pPr>
            <w:r>
              <w:rPr>
                <w:color w:val="auto"/>
                <w:kern w:val="0"/>
                <w:sz w:val="21"/>
                <w:szCs w:val="21"/>
                <w:lang w:bidi="ar"/>
              </w:rPr>
              <w:t>TP</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1"/>
                <w:szCs w:val="21"/>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1"/>
                <w:szCs w:val="21"/>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1"/>
                <w:szCs w:val="21"/>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0.000576</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1"/>
                <w:szCs w:val="21"/>
              </w:rPr>
            </w:pPr>
            <w:r>
              <w:rPr>
                <w:color w:val="auto"/>
                <w:kern w:val="0"/>
                <w:sz w:val="21"/>
                <w:szCs w:val="21"/>
                <w:lang w:bidi="ar"/>
              </w:rPr>
              <w:t>0</w:t>
            </w:r>
          </w:p>
        </w:tc>
        <w:tc>
          <w:tcPr>
            <w:tcW w:w="1538" w:type="dxa"/>
            <w:tcBorders>
              <w:top w:val="single" w:color="000000" w:sz="4" w:space="0"/>
              <w:left w:val="single" w:color="000000" w:sz="4" w:space="0"/>
              <w:bottom w:val="single" w:color="000000" w:sz="4" w:space="0"/>
              <w:right w:val="single" w:color="000000" w:sz="4" w:space="0"/>
            </w:tcBorders>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0</w:t>
            </w:r>
          </w:p>
        </w:tc>
        <w:tc>
          <w:tcPr>
            <w:tcW w:w="1538" w:type="dxa"/>
            <w:tcBorders>
              <w:top w:val="single" w:color="000000" w:sz="4" w:space="0"/>
              <w:left w:val="single" w:color="000000" w:sz="4" w:space="0"/>
              <w:bottom w:val="single" w:color="000000" w:sz="4" w:space="0"/>
              <w:right w:val="single" w:color="000000" w:sz="4" w:space="0"/>
            </w:tcBorders>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+0</w:t>
            </w:r>
          </w:p>
        </w:tc>
      </w:tr>
      <w:tr>
        <w:tblPrEx>
          <w:tblCellMar>
            <w:top w:w="0" w:type="dxa"/>
            <w:left w:w="108" w:type="dxa"/>
            <w:bottom w:w="0" w:type="dxa"/>
            <w:right w:w="108" w:type="dxa"/>
          </w:tblCellMar>
        </w:tblPrEx>
        <w:trPr>
          <w:trHeight w:val="90" w:hRule="atLeast"/>
        </w:trPr>
        <w:tc>
          <w:tcPr>
            <w:tcW w:w="2669" w:type="dxa"/>
            <w:gridSpan w:val="2"/>
            <w:vMerge w:val="continue"/>
            <w:tcBorders>
              <w:left w:val="single" w:color="000000" w:sz="4" w:space="0"/>
              <w:right w:val="single" w:color="000000" w:sz="4" w:space="0"/>
            </w:tcBorders>
            <w:vAlign w:val="center"/>
          </w:tcPr>
          <w:p>
            <w:pPr>
              <w:jc w:val="center"/>
              <w:rPr>
                <w:color w:val="auto"/>
                <w:sz w:val="24"/>
              </w:rPr>
            </w:pPr>
          </w:p>
        </w:tc>
        <w:tc>
          <w:tcPr>
            <w:tcW w:w="20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kern w:val="0"/>
                <w:sz w:val="21"/>
                <w:szCs w:val="21"/>
                <w:lang w:bidi="ar"/>
              </w:rPr>
            </w:pPr>
            <w:r>
              <w:rPr>
                <w:color w:val="auto"/>
                <w:kern w:val="0"/>
                <w:sz w:val="21"/>
                <w:szCs w:val="21"/>
                <w:lang w:bidi="ar"/>
              </w:rPr>
              <w:t>TN</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1"/>
                <w:szCs w:val="21"/>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1"/>
                <w:szCs w:val="21"/>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1"/>
                <w:szCs w:val="21"/>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0.0576</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1"/>
                <w:szCs w:val="21"/>
              </w:rPr>
            </w:pPr>
            <w:r>
              <w:rPr>
                <w:color w:val="auto"/>
                <w:kern w:val="0"/>
                <w:sz w:val="21"/>
                <w:szCs w:val="21"/>
                <w:lang w:bidi="ar"/>
              </w:rPr>
              <w:t>0</w:t>
            </w:r>
          </w:p>
        </w:tc>
        <w:tc>
          <w:tcPr>
            <w:tcW w:w="1538" w:type="dxa"/>
            <w:tcBorders>
              <w:top w:val="single" w:color="000000" w:sz="4" w:space="0"/>
              <w:left w:val="single" w:color="000000" w:sz="4" w:space="0"/>
              <w:bottom w:val="single" w:color="000000" w:sz="4" w:space="0"/>
              <w:right w:val="single" w:color="000000" w:sz="4" w:space="0"/>
            </w:tcBorders>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0</w:t>
            </w:r>
          </w:p>
        </w:tc>
        <w:tc>
          <w:tcPr>
            <w:tcW w:w="1538" w:type="dxa"/>
            <w:tcBorders>
              <w:top w:val="single" w:color="000000" w:sz="4" w:space="0"/>
              <w:left w:val="single" w:color="000000" w:sz="4" w:space="0"/>
              <w:bottom w:val="single" w:color="000000" w:sz="4" w:space="0"/>
              <w:right w:val="single" w:color="000000" w:sz="4" w:space="0"/>
            </w:tcBorders>
            <w:vAlign w:val="center"/>
          </w:tcPr>
          <w:p>
            <w:pPr>
              <w:pStyle w:val="13"/>
              <w:tabs>
                <w:tab w:val="left" w:pos="2830"/>
              </w:tabs>
              <w:jc w:val="center"/>
              <w:rPr>
                <w:rFonts w:ascii="Times New Roman" w:hAnsi="Times New Roman"/>
                <w:color w:val="auto"/>
                <w:sz w:val="21"/>
                <w:szCs w:val="21"/>
              </w:rPr>
            </w:pPr>
            <w:r>
              <w:rPr>
                <w:rFonts w:hint="eastAsia" w:ascii="Times New Roman" w:hAnsi="Times New Roman"/>
                <w:color w:val="auto"/>
                <w:sz w:val="21"/>
                <w:szCs w:val="21"/>
              </w:rPr>
              <w:t>+0</w:t>
            </w:r>
          </w:p>
        </w:tc>
      </w:tr>
      <w:tr>
        <w:tblPrEx>
          <w:tblCellMar>
            <w:top w:w="0" w:type="dxa"/>
            <w:left w:w="108" w:type="dxa"/>
            <w:bottom w:w="0" w:type="dxa"/>
            <w:right w:w="108" w:type="dxa"/>
          </w:tblCellMar>
        </w:tblPrEx>
        <w:trPr>
          <w:trHeight w:val="105" w:hRule="atLeast"/>
        </w:trPr>
        <w:tc>
          <w:tcPr>
            <w:tcW w:w="1334"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4"/>
              </w:rPr>
            </w:pPr>
            <w:r>
              <w:rPr>
                <w:color w:val="auto"/>
                <w:kern w:val="0"/>
                <w:sz w:val="24"/>
                <w:lang w:bidi="ar"/>
              </w:rPr>
              <w:t>废气</w:t>
            </w: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4"/>
              </w:rPr>
            </w:pPr>
            <w:r>
              <w:rPr>
                <w:color w:val="auto"/>
                <w:kern w:val="0"/>
                <w:sz w:val="24"/>
                <w:lang w:bidi="ar"/>
              </w:rPr>
              <w:t>有组织</w:t>
            </w:r>
          </w:p>
        </w:tc>
        <w:tc>
          <w:tcPr>
            <w:tcW w:w="20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kern w:val="0"/>
                <w:sz w:val="21"/>
                <w:szCs w:val="21"/>
                <w:lang w:bidi="ar"/>
              </w:rPr>
            </w:pPr>
            <w:r>
              <w:rPr>
                <w:color w:val="auto"/>
                <w:kern w:val="0"/>
                <w:sz w:val="21"/>
                <w:szCs w:val="21"/>
                <w:lang w:bidi="ar"/>
              </w:rPr>
              <w:t>颗粒物</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1"/>
                <w:szCs w:val="21"/>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1"/>
                <w:szCs w:val="21"/>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1"/>
                <w:szCs w:val="21"/>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eastAsia="宋体"/>
                <w:color w:val="auto"/>
                <w:sz w:val="21"/>
                <w:szCs w:val="21"/>
                <w:lang w:val="en-US" w:eastAsia="zh-CN"/>
              </w:rPr>
            </w:pPr>
            <w:r>
              <w:rPr>
                <w:rFonts w:hint="eastAsia"/>
                <w:color w:val="auto"/>
                <w:sz w:val="21"/>
                <w:szCs w:val="21"/>
                <w:lang w:val="en-US" w:eastAsia="zh-CN"/>
              </w:rPr>
              <w:t>0.8218</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1"/>
                <w:szCs w:val="21"/>
              </w:rPr>
            </w:pPr>
            <w:r>
              <w:rPr>
                <w:color w:val="auto"/>
                <w:kern w:val="0"/>
                <w:sz w:val="21"/>
                <w:szCs w:val="21"/>
                <w:lang w:bidi="ar"/>
              </w:rPr>
              <w:t>0</w:t>
            </w:r>
          </w:p>
        </w:tc>
        <w:tc>
          <w:tcPr>
            <w:tcW w:w="153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eastAsia="宋体"/>
                <w:color w:val="auto"/>
                <w:sz w:val="21"/>
                <w:szCs w:val="21"/>
                <w:lang w:val="en-US" w:eastAsia="zh-CN"/>
              </w:rPr>
            </w:pPr>
            <w:r>
              <w:rPr>
                <w:rFonts w:hint="eastAsia"/>
                <w:color w:val="auto"/>
                <w:sz w:val="21"/>
                <w:szCs w:val="21"/>
                <w:lang w:val="en-US" w:eastAsia="zh-CN"/>
              </w:rPr>
              <w:t>0.8218</w:t>
            </w:r>
          </w:p>
        </w:tc>
        <w:tc>
          <w:tcPr>
            <w:tcW w:w="153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eastAsia="宋体"/>
                <w:color w:val="auto"/>
                <w:sz w:val="21"/>
                <w:szCs w:val="21"/>
                <w:lang w:val="en-US" w:eastAsia="zh-CN"/>
              </w:rPr>
            </w:pPr>
            <w:r>
              <w:rPr>
                <w:rFonts w:hint="eastAsia" w:ascii="Times New Roman" w:hAnsi="Times New Roman"/>
                <w:color w:val="auto"/>
                <w:sz w:val="21"/>
                <w:szCs w:val="21"/>
              </w:rPr>
              <w:t>+</w:t>
            </w:r>
            <w:r>
              <w:rPr>
                <w:rFonts w:hint="eastAsia"/>
                <w:color w:val="auto"/>
                <w:sz w:val="21"/>
                <w:szCs w:val="21"/>
                <w:lang w:val="en-US" w:eastAsia="zh-CN"/>
              </w:rPr>
              <w:t>0.8218</w:t>
            </w:r>
          </w:p>
        </w:tc>
      </w:tr>
      <w:tr>
        <w:tblPrEx>
          <w:tblCellMar>
            <w:top w:w="0" w:type="dxa"/>
            <w:left w:w="108" w:type="dxa"/>
            <w:bottom w:w="0" w:type="dxa"/>
            <w:right w:w="108" w:type="dxa"/>
          </w:tblCellMar>
        </w:tblPrEx>
        <w:trPr>
          <w:trHeight w:val="105" w:hRule="atLeast"/>
        </w:trPr>
        <w:tc>
          <w:tcPr>
            <w:tcW w:w="1334" w:type="dxa"/>
            <w:vMerge w:val="continue"/>
            <w:tcBorders>
              <w:left w:val="single" w:color="000000" w:sz="4" w:space="0"/>
              <w:right w:val="single" w:color="000000" w:sz="4" w:space="0"/>
            </w:tcBorders>
            <w:vAlign w:val="center"/>
          </w:tcPr>
          <w:p>
            <w:pPr>
              <w:widowControl/>
              <w:jc w:val="center"/>
              <w:textAlignment w:val="center"/>
              <w:rPr>
                <w:color w:val="auto"/>
                <w:kern w:val="0"/>
                <w:sz w:val="24"/>
                <w:lang w:bidi="ar"/>
              </w:rPr>
            </w:pP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kern w:val="0"/>
                <w:sz w:val="24"/>
                <w:lang w:bidi="ar"/>
              </w:rPr>
            </w:pPr>
            <w:r>
              <w:rPr>
                <w:color w:val="auto"/>
                <w:kern w:val="0"/>
                <w:sz w:val="24"/>
                <w:lang w:bidi="ar"/>
              </w:rPr>
              <w:t>无组织</w:t>
            </w:r>
          </w:p>
        </w:tc>
        <w:tc>
          <w:tcPr>
            <w:tcW w:w="20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kern w:val="0"/>
                <w:sz w:val="21"/>
                <w:szCs w:val="21"/>
                <w:lang w:bidi="ar"/>
              </w:rPr>
            </w:pPr>
            <w:r>
              <w:rPr>
                <w:color w:val="auto"/>
                <w:kern w:val="0"/>
                <w:sz w:val="21"/>
                <w:szCs w:val="21"/>
                <w:lang w:bidi="ar"/>
              </w:rPr>
              <w:t>颗粒物</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kern w:val="0"/>
                <w:sz w:val="21"/>
                <w:szCs w:val="21"/>
                <w:lang w:bidi="ar"/>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kern w:val="0"/>
                <w:sz w:val="21"/>
                <w:szCs w:val="21"/>
                <w:lang w:bidi="ar"/>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kern w:val="0"/>
                <w:sz w:val="21"/>
                <w:szCs w:val="21"/>
                <w:lang w:bidi="ar"/>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宋体" w:cs="Times New Roman"/>
                <w:color w:val="auto"/>
                <w:kern w:val="2"/>
                <w:sz w:val="21"/>
                <w:szCs w:val="21"/>
                <w:lang w:val="en-US" w:eastAsia="zh-CN" w:bidi="ar-SA"/>
              </w:rPr>
            </w:pPr>
            <w:r>
              <w:rPr>
                <w:rFonts w:hint="eastAsia" w:cs="Times New Roman"/>
                <w:color w:val="auto"/>
                <w:kern w:val="2"/>
                <w:sz w:val="21"/>
                <w:szCs w:val="21"/>
                <w:lang w:val="en-US" w:eastAsia="zh-CN" w:bidi="ar-SA"/>
              </w:rPr>
              <w:t>0.9668</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kern w:val="0"/>
                <w:sz w:val="21"/>
                <w:szCs w:val="21"/>
                <w:lang w:bidi="ar"/>
              </w:rPr>
            </w:pPr>
            <w:r>
              <w:rPr>
                <w:color w:val="auto"/>
                <w:kern w:val="0"/>
                <w:sz w:val="21"/>
                <w:szCs w:val="21"/>
                <w:lang w:bidi="ar"/>
              </w:rPr>
              <w:t>0</w:t>
            </w:r>
          </w:p>
        </w:tc>
        <w:tc>
          <w:tcPr>
            <w:tcW w:w="153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eastAsia="宋体"/>
                <w:color w:val="auto"/>
                <w:sz w:val="21"/>
                <w:szCs w:val="21"/>
                <w:lang w:val="en-US" w:eastAsia="zh-CN"/>
              </w:rPr>
            </w:pPr>
            <w:r>
              <w:rPr>
                <w:rFonts w:hint="eastAsia" w:cs="Times New Roman"/>
                <w:color w:val="auto"/>
                <w:kern w:val="2"/>
                <w:sz w:val="21"/>
                <w:szCs w:val="21"/>
                <w:lang w:val="en-US" w:eastAsia="zh-CN" w:bidi="ar-SA"/>
              </w:rPr>
              <w:t>0.9668</w:t>
            </w:r>
          </w:p>
        </w:tc>
        <w:tc>
          <w:tcPr>
            <w:tcW w:w="153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eastAsia="宋体"/>
                <w:color w:val="auto"/>
                <w:sz w:val="21"/>
                <w:szCs w:val="21"/>
                <w:lang w:val="en-US" w:eastAsia="zh-CN"/>
              </w:rPr>
            </w:pPr>
            <w:r>
              <w:rPr>
                <w:rFonts w:hint="eastAsia" w:ascii="Times New Roman" w:hAnsi="Times New Roman"/>
                <w:color w:val="auto"/>
                <w:sz w:val="21"/>
                <w:szCs w:val="21"/>
              </w:rPr>
              <w:t>+</w:t>
            </w:r>
            <w:r>
              <w:rPr>
                <w:rFonts w:hint="eastAsia" w:cs="Times New Roman"/>
                <w:color w:val="auto"/>
                <w:kern w:val="2"/>
                <w:sz w:val="21"/>
                <w:szCs w:val="21"/>
                <w:lang w:val="en-US" w:eastAsia="zh-CN" w:bidi="ar-SA"/>
              </w:rPr>
              <w:t>0.9668</w:t>
            </w:r>
          </w:p>
        </w:tc>
      </w:tr>
      <w:tr>
        <w:tblPrEx>
          <w:tblCellMar>
            <w:top w:w="0" w:type="dxa"/>
            <w:left w:w="108" w:type="dxa"/>
            <w:bottom w:w="0" w:type="dxa"/>
            <w:right w:w="108" w:type="dxa"/>
          </w:tblCellMar>
        </w:tblPrEx>
        <w:trPr>
          <w:trHeight w:val="105" w:hRule="atLeast"/>
        </w:trPr>
        <w:tc>
          <w:tcPr>
            <w:tcW w:w="1334" w:type="dxa"/>
            <w:vMerge w:val="continue"/>
            <w:tcBorders>
              <w:left w:val="single" w:color="000000" w:sz="4" w:space="0"/>
              <w:right w:val="single" w:color="000000" w:sz="4" w:space="0"/>
            </w:tcBorders>
            <w:vAlign w:val="center"/>
          </w:tcPr>
          <w:p>
            <w:pPr>
              <w:widowControl/>
              <w:jc w:val="center"/>
              <w:textAlignment w:val="center"/>
              <w:rPr>
                <w:color w:val="auto"/>
                <w:kern w:val="0"/>
                <w:sz w:val="24"/>
                <w:lang w:bidi="ar"/>
              </w:rPr>
            </w:pP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kern w:val="0"/>
                <w:sz w:val="24"/>
                <w:lang w:bidi="ar"/>
              </w:rPr>
            </w:pPr>
            <w:r>
              <w:rPr>
                <w:color w:val="auto"/>
                <w:kern w:val="0"/>
                <w:sz w:val="24"/>
                <w:lang w:bidi="ar"/>
              </w:rPr>
              <w:t>有组织</w:t>
            </w:r>
          </w:p>
        </w:tc>
        <w:tc>
          <w:tcPr>
            <w:tcW w:w="20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kern w:val="0"/>
                <w:sz w:val="21"/>
                <w:szCs w:val="21"/>
                <w:lang w:bidi="ar"/>
              </w:rPr>
            </w:pPr>
            <w:r>
              <w:rPr>
                <w:color w:val="auto"/>
                <w:kern w:val="0"/>
                <w:sz w:val="21"/>
                <w:szCs w:val="21"/>
                <w:lang w:bidi="ar"/>
              </w:rPr>
              <w:t>非甲烷总烃</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kern w:val="0"/>
                <w:sz w:val="21"/>
                <w:szCs w:val="21"/>
                <w:lang w:bidi="ar"/>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kern w:val="0"/>
                <w:sz w:val="21"/>
                <w:szCs w:val="21"/>
                <w:lang w:bidi="ar"/>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kern w:val="0"/>
                <w:sz w:val="21"/>
                <w:szCs w:val="21"/>
                <w:lang w:bidi="ar"/>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宋体" w:cs="Times New Roman"/>
                <w:color w:val="auto"/>
                <w:kern w:val="2"/>
                <w:sz w:val="21"/>
                <w:szCs w:val="21"/>
                <w:lang w:val="en-US" w:eastAsia="zh-CN" w:bidi="ar-SA"/>
              </w:rPr>
            </w:pPr>
            <w:r>
              <w:rPr>
                <w:rFonts w:hint="eastAsia" w:cs="Times New Roman"/>
                <w:color w:val="auto"/>
                <w:kern w:val="2"/>
                <w:sz w:val="21"/>
                <w:szCs w:val="21"/>
                <w:lang w:val="en-US" w:eastAsia="zh-CN" w:bidi="ar-SA"/>
              </w:rPr>
              <w:t>0.2103</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kern w:val="0"/>
                <w:sz w:val="21"/>
                <w:szCs w:val="21"/>
                <w:lang w:bidi="ar"/>
              </w:rPr>
            </w:pPr>
            <w:r>
              <w:rPr>
                <w:color w:val="auto"/>
                <w:kern w:val="0"/>
                <w:sz w:val="21"/>
                <w:szCs w:val="21"/>
                <w:lang w:bidi="ar"/>
              </w:rPr>
              <w:t>0</w:t>
            </w:r>
          </w:p>
        </w:tc>
        <w:tc>
          <w:tcPr>
            <w:tcW w:w="153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eastAsia="宋体"/>
                <w:color w:val="auto"/>
                <w:sz w:val="21"/>
                <w:szCs w:val="21"/>
                <w:lang w:val="en-US" w:eastAsia="zh-CN"/>
              </w:rPr>
            </w:pPr>
            <w:r>
              <w:rPr>
                <w:rFonts w:hint="eastAsia" w:cs="Times New Roman"/>
                <w:color w:val="auto"/>
                <w:kern w:val="2"/>
                <w:sz w:val="21"/>
                <w:szCs w:val="21"/>
                <w:lang w:val="en-US" w:eastAsia="zh-CN" w:bidi="ar-SA"/>
              </w:rPr>
              <w:t>0.2103</w:t>
            </w:r>
          </w:p>
        </w:tc>
        <w:tc>
          <w:tcPr>
            <w:tcW w:w="153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eastAsia="宋体"/>
                <w:color w:val="auto"/>
                <w:sz w:val="21"/>
                <w:szCs w:val="21"/>
                <w:lang w:val="en-US" w:eastAsia="zh-CN"/>
              </w:rPr>
            </w:pPr>
            <w:r>
              <w:rPr>
                <w:rFonts w:hint="eastAsia" w:ascii="Times New Roman" w:hAnsi="Times New Roman"/>
                <w:color w:val="auto"/>
                <w:sz w:val="21"/>
                <w:szCs w:val="21"/>
              </w:rPr>
              <w:t>+</w:t>
            </w:r>
            <w:r>
              <w:rPr>
                <w:rFonts w:hint="eastAsia" w:cs="Times New Roman"/>
                <w:color w:val="auto"/>
                <w:kern w:val="2"/>
                <w:sz w:val="21"/>
                <w:szCs w:val="21"/>
                <w:lang w:val="en-US" w:eastAsia="zh-CN" w:bidi="ar-SA"/>
              </w:rPr>
              <w:t>0.2103</w:t>
            </w:r>
          </w:p>
        </w:tc>
      </w:tr>
      <w:tr>
        <w:tblPrEx>
          <w:tblCellMar>
            <w:top w:w="0" w:type="dxa"/>
            <w:left w:w="108" w:type="dxa"/>
            <w:bottom w:w="0" w:type="dxa"/>
            <w:right w:w="108" w:type="dxa"/>
          </w:tblCellMar>
        </w:tblPrEx>
        <w:trPr>
          <w:trHeight w:val="90" w:hRule="atLeast"/>
        </w:trPr>
        <w:tc>
          <w:tcPr>
            <w:tcW w:w="1334"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color w:val="auto"/>
                <w:sz w:val="24"/>
              </w:rPr>
            </w:pPr>
          </w:p>
        </w:tc>
        <w:tc>
          <w:tcPr>
            <w:tcW w:w="13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4"/>
              </w:rPr>
            </w:pPr>
            <w:r>
              <w:rPr>
                <w:color w:val="auto"/>
                <w:kern w:val="0"/>
                <w:sz w:val="24"/>
                <w:lang w:bidi="ar"/>
              </w:rPr>
              <w:t>无组织</w:t>
            </w:r>
          </w:p>
        </w:tc>
        <w:tc>
          <w:tcPr>
            <w:tcW w:w="20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kern w:val="0"/>
                <w:sz w:val="21"/>
                <w:szCs w:val="21"/>
                <w:lang w:bidi="ar"/>
              </w:rPr>
            </w:pPr>
            <w:r>
              <w:rPr>
                <w:color w:val="auto"/>
                <w:kern w:val="0"/>
                <w:sz w:val="21"/>
                <w:szCs w:val="21"/>
                <w:lang w:bidi="ar"/>
              </w:rPr>
              <w:t>非甲烷总烃</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1"/>
                <w:szCs w:val="21"/>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1"/>
                <w:szCs w:val="21"/>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1"/>
                <w:szCs w:val="21"/>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宋体" w:cs="Times New Roman"/>
                <w:color w:val="auto"/>
                <w:kern w:val="2"/>
                <w:sz w:val="21"/>
                <w:szCs w:val="21"/>
                <w:lang w:val="en-US" w:eastAsia="zh-CN" w:bidi="ar-SA"/>
              </w:rPr>
            </w:pPr>
            <w:r>
              <w:rPr>
                <w:rFonts w:hint="eastAsia" w:cs="Times New Roman"/>
                <w:color w:val="auto"/>
                <w:kern w:val="2"/>
                <w:sz w:val="21"/>
                <w:szCs w:val="21"/>
                <w:lang w:val="en-US" w:eastAsia="zh-CN" w:bidi="ar-SA"/>
              </w:rPr>
              <w:t>0.117</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1"/>
                <w:szCs w:val="21"/>
              </w:rPr>
            </w:pPr>
            <w:r>
              <w:rPr>
                <w:color w:val="auto"/>
                <w:kern w:val="0"/>
                <w:sz w:val="21"/>
                <w:szCs w:val="21"/>
                <w:lang w:bidi="ar"/>
              </w:rPr>
              <w:t>0</w:t>
            </w:r>
          </w:p>
        </w:tc>
        <w:tc>
          <w:tcPr>
            <w:tcW w:w="153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eastAsia="宋体"/>
                <w:color w:val="auto"/>
                <w:sz w:val="21"/>
                <w:szCs w:val="21"/>
                <w:lang w:val="en-US" w:eastAsia="zh-CN"/>
              </w:rPr>
            </w:pPr>
            <w:r>
              <w:rPr>
                <w:rFonts w:hint="eastAsia" w:cs="Times New Roman"/>
                <w:color w:val="auto"/>
                <w:kern w:val="2"/>
                <w:sz w:val="21"/>
                <w:szCs w:val="21"/>
                <w:lang w:val="en-US" w:eastAsia="zh-CN" w:bidi="ar-SA"/>
              </w:rPr>
              <w:t>0.117</w:t>
            </w:r>
          </w:p>
        </w:tc>
        <w:tc>
          <w:tcPr>
            <w:tcW w:w="153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eastAsia="宋体"/>
                <w:color w:val="auto"/>
                <w:sz w:val="21"/>
                <w:szCs w:val="21"/>
                <w:lang w:val="en-US" w:eastAsia="zh-CN"/>
              </w:rPr>
            </w:pPr>
            <w:r>
              <w:rPr>
                <w:rFonts w:hint="eastAsia" w:ascii="Times New Roman" w:hAnsi="Times New Roman"/>
                <w:color w:val="auto"/>
                <w:sz w:val="21"/>
                <w:szCs w:val="21"/>
              </w:rPr>
              <w:t>+</w:t>
            </w:r>
            <w:r>
              <w:rPr>
                <w:rFonts w:hint="eastAsia" w:cs="Times New Roman"/>
                <w:color w:val="auto"/>
                <w:kern w:val="2"/>
                <w:sz w:val="21"/>
                <w:szCs w:val="21"/>
                <w:lang w:val="en-US" w:eastAsia="zh-CN" w:bidi="ar-SA"/>
              </w:rPr>
              <w:t>0.117</w:t>
            </w:r>
          </w:p>
        </w:tc>
      </w:tr>
      <w:tr>
        <w:tblPrEx>
          <w:tblCellMar>
            <w:top w:w="0" w:type="dxa"/>
            <w:left w:w="108" w:type="dxa"/>
            <w:bottom w:w="0" w:type="dxa"/>
            <w:right w:w="108" w:type="dxa"/>
          </w:tblCellMar>
        </w:tblPrEx>
        <w:trPr>
          <w:trHeight w:val="90" w:hRule="atLeast"/>
        </w:trPr>
        <w:tc>
          <w:tcPr>
            <w:tcW w:w="1334" w:type="dxa"/>
            <w:vMerge w:val="restart"/>
            <w:tcBorders>
              <w:top w:val="single" w:color="000000" w:sz="4" w:space="0"/>
              <w:left w:val="single" w:color="000000" w:sz="4" w:space="0"/>
              <w:right w:val="single" w:color="000000" w:sz="4" w:space="0"/>
            </w:tcBorders>
            <w:vAlign w:val="center"/>
          </w:tcPr>
          <w:p>
            <w:pPr>
              <w:widowControl/>
              <w:jc w:val="center"/>
              <w:textAlignment w:val="center"/>
              <w:rPr>
                <w:color w:val="auto"/>
                <w:sz w:val="24"/>
              </w:rPr>
            </w:pPr>
            <w:r>
              <w:rPr>
                <w:color w:val="auto"/>
                <w:kern w:val="0"/>
                <w:sz w:val="24"/>
                <w:lang w:bidi="ar"/>
              </w:rPr>
              <w:t>固体废物</w:t>
            </w:r>
          </w:p>
        </w:tc>
        <w:tc>
          <w:tcPr>
            <w:tcW w:w="1335" w:type="dxa"/>
            <w:vMerge w:val="restart"/>
            <w:tcBorders>
              <w:top w:val="single" w:color="000000" w:sz="4" w:space="0"/>
              <w:left w:val="single" w:color="000000" w:sz="4" w:space="0"/>
              <w:right w:val="single" w:color="000000" w:sz="4" w:space="0"/>
            </w:tcBorders>
            <w:vAlign w:val="center"/>
          </w:tcPr>
          <w:p>
            <w:pPr>
              <w:widowControl/>
              <w:jc w:val="center"/>
              <w:textAlignment w:val="center"/>
              <w:rPr>
                <w:color w:val="auto"/>
                <w:sz w:val="24"/>
              </w:rPr>
            </w:pPr>
            <w:r>
              <w:rPr>
                <w:color w:val="auto"/>
                <w:kern w:val="0"/>
                <w:sz w:val="24"/>
                <w:lang w:bidi="ar"/>
              </w:rPr>
              <w:t>危险废物</w:t>
            </w:r>
          </w:p>
        </w:tc>
        <w:tc>
          <w:tcPr>
            <w:tcW w:w="202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color w:val="auto"/>
                <w:kern w:val="0"/>
                <w:sz w:val="21"/>
                <w:szCs w:val="21"/>
                <w:lang w:bidi="ar"/>
              </w:rPr>
            </w:pPr>
            <w:r>
              <w:rPr>
                <w:rFonts w:hint="eastAsia"/>
                <w:color w:val="auto"/>
                <w:kern w:val="0"/>
                <w:sz w:val="21"/>
                <w:szCs w:val="21"/>
                <w:lang w:eastAsia="zh-CN" w:bidi="ar"/>
              </w:rPr>
              <w:t>废</w:t>
            </w:r>
            <w:r>
              <w:rPr>
                <w:color w:val="auto"/>
                <w:kern w:val="0"/>
                <w:sz w:val="21"/>
                <w:szCs w:val="21"/>
                <w:lang w:bidi="ar"/>
              </w:rPr>
              <w:t>漆渣</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1"/>
                <w:szCs w:val="21"/>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1"/>
                <w:szCs w:val="21"/>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1"/>
                <w:szCs w:val="21"/>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wordWrap w:val="0"/>
              <w:jc w:val="center"/>
              <w:textAlignment w:val="center"/>
              <w:rPr>
                <w:rFonts w:hint="default" w:eastAsia="宋体"/>
                <w:color w:val="auto"/>
                <w:kern w:val="0"/>
                <w:sz w:val="21"/>
                <w:szCs w:val="21"/>
                <w:lang w:val="en-US" w:eastAsia="zh-CN" w:bidi="ar"/>
              </w:rPr>
            </w:pPr>
            <w:r>
              <w:rPr>
                <w:rFonts w:hint="eastAsia"/>
                <w:bCs/>
                <w:color w:val="auto"/>
                <w:kern w:val="0"/>
                <w:sz w:val="21"/>
                <w:szCs w:val="21"/>
                <w:lang w:val="en-US" w:eastAsia="zh-CN" w:bidi="en-US"/>
              </w:rPr>
              <w:t>2.69</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1"/>
                <w:szCs w:val="21"/>
              </w:rPr>
            </w:pPr>
            <w:r>
              <w:rPr>
                <w:color w:val="auto"/>
                <w:kern w:val="0"/>
                <w:sz w:val="21"/>
                <w:szCs w:val="21"/>
                <w:lang w:bidi="ar"/>
              </w:rPr>
              <w:t>0</w:t>
            </w:r>
          </w:p>
        </w:tc>
        <w:tc>
          <w:tcPr>
            <w:tcW w:w="1538" w:type="dxa"/>
            <w:tcBorders>
              <w:top w:val="single" w:color="000000" w:sz="4" w:space="0"/>
              <w:left w:val="single" w:color="000000" w:sz="4" w:space="0"/>
              <w:bottom w:val="single" w:color="000000" w:sz="4" w:space="0"/>
              <w:right w:val="single" w:color="000000" w:sz="4" w:space="0"/>
            </w:tcBorders>
            <w:vAlign w:val="center"/>
          </w:tcPr>
          <w:p>
            <w:pPr>
              <w:widowControl/>
              <w:wordWrap w:val="0"/>
              <w:jc w:val="center"/>
              <w:textAlignment w:val="center"/>
              <w:rPr>
                <w:rFonts w:hint="default" w:eastAsia="宋体"/>
                <w:color w:val="auto"/>
                <w:sz w:val="21"/>
                <w:szCs w:val="21"/>
                <w:lang w:val="en-US" w:eastAsia="zh-CN"/>
              </w:rPr>
            </w:pPr>
            <w:r>
              <w:rPr>
                <w:rFonts w:hint="eastAsia"/>
                <w:bCs/>
                <w:color w:val="auto"/>
                <w:kern w:val="0"/>
                <w:sz w:val="21"/>
                <w:szCs w:val="21"/>
                <w:lang w:val="en-US" w:eastAsia="zh-CN" w:bidi="en-US"/>
              </w:rPr>
              <w:t>2.69</w:t>
            </w:r>
          </w:p>
        </w:tc>
        <w:tc>
          <w:tcPr>
            <w:tcW w:w="153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1"/>
                <w:szCs w:val="21"/>
              </w:rPr>
            </w:pPr>
            <w:r>
              <w:rPr>
                <w:color w:val="auto"/>
                <w:sz w:val="21"/>
                <w:szCs w:val="21"/>
              </w:rPr>
              <w:t>+0</w:t>
            </w:r>
          </w:p>
        </w:tc>
      </w:tr>
      <w:tr>
        <w:tblPrEx>
          <w:tblCellMar>
            <w:top w:w="0" w:type="dxa"/>
            <w:left w:w="108" w:type="dxa"/>
            <w:bottom w:w="0" w:type="dxa"/>
            <w:right w:w="108" w:type="dxa"/>
          </w:tblCellMar>
        </w:tblPrEx>
        <w:trPr>
          <w:trHeight w:val="90" w:hRule="atLeast"/>
        </w:trPr>
        <w:tc>
          <w:tcPr>
            <w:tcW w:w="1334" w:type="dxa"/>
            <w:vMerge w:val="continue"/>
            <w:tcBorders>
              <w:left w:val="single" w:color="000000" w:sz="4" w:space="0"/>
              <w:right w:val="single" w:color="000000" w:sz="4" w:space="0"/>
            </w:tcBorders>
            <w:vAlign w:val="center"/>
          </w:tcPr>
          <w:p>
            <w:pPr>
              <w:widowControl/>
              <w:jc w:val="center"/>
              <w:textAlignment w:val="center"/>
              <w:rPr>
                <w:color w:val="auto"/>
                <w:kern w:val="0"/>
                <w:sz w:val="24"/>
                <w:lang w:bidi="ar"/>
              </w:rPr>
            </w:pPr>
          </w:p>
        </w:tc>
        <w:tc>
          <w:tcPr>
            <w:tcW w:w="1335" w:type="dxa"/>
            <w:vMerge w:val="continue"/>
            <w:tcBorders>
              <w:left w:val="single" w:color="000000" w:sz="4" w:space="0"/>
              <w:right w:val="single" w:color="000000" w:sz="4" w:space="0"/>
            </w:tcBorders>
            <w:vAlign w:val="center"/>
          </w:tcPr>
          <w:p>
            <w:pPr>
              <w:widowControl/>
              <w:jc w:val="center"/>
              <w:textAlignment w:val="center"/>
              <w:rPr>
                <w:color w:val="auto"/>
                <w:kern w:val="0"/>
                <w:sz w:val="24"/>
                <w:lang w:bidi="ar"/>
              </w:rPr>
            </w:pPr>
          </w:p>
        </w:tc>
        <w:tc>
          <w:tcPr>
            <w:tcW w:w="202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Times New Roman" w:hAnsi="Times New Roman" w:eastAsia="宋体" w:cs="Times New Roman"/>
                <w:color w:val="auto"/>
                <w:kern w:val="0"/>
                <w:sz w:val="21"/>
                <w:szCs w:val="21"/>
                <w:lang w:val="en-US" w:eastAsia="zh-CN" w:bidi="ar"/>
              </w:rPr>
            </w:pPr>
            <w:r>
              <w:rPr>
                <w:color w:val="auto"/>
                <w:kern w:val="0"/>
                <w:sz w:val="21"/>
                <w:szCs w:val="21"/>
                <w:lang w:bidi="ar"/>
              </w:rPr>
              <w:t>废漆桶</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wordWrap w:val="0"/>
              <w:jc w:val="center"/>
              <w:textAlignment w:val="center"/>
              <w:rPr>
                <w:rFonts w:hint="eastAsia" w:ascii="Times New Roman" w:hAnsi="Times New Roman" w:eastAsia="宋体" w:cs="Times New Roman"/>
                <w:color w:val="auto"/>
                <w:kern w:val="0"/>
                <w:sz w:val="21"/>
                <w:szCs w:val="21"/>
                <w:lang w:val="en-US" w:eastAsia="zh-CN" w:bidi="ar"/>
              </w:rPr>
            </w:pPr>
            <w:r>
              <w:rPr>
                <w:rFonts w:hint="eastAsia"/>
                <w:bCs/>
                <w:color w:val="auto"/>
                <w:kern w:val="0"/>
                <w:sz w:val="21"/>
                <w:szCs w:val="21"/>
                <w:lang w:val="en-US" w:eastAsia="zh-CN" w:bidi="en-US"/>
              </w:rPr>
              <w:t>0.4</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kern w:val="0"/>
                <w:sz w:val="21"/>
                <w:szCs w:val="21"/>
                <w:lang w:bidi="ar"/>
              </w:rPr>
              <w:t>0</w:t>
            </w:r>
          </w:p>
        </w:tc>
        <w:tc>
          <w:tcPr>
            <w:tcW w:w="1538" w:type="dxa"/>
            <w:tcBorders>
              <w:top w:val="single" w:color="000000" w:sz="4" w:space="0"/>
              <w:left w:val="single" w:color="000000" w:sz="4" w:space="0"/>
              <w:bottom w:val="single" w:color="000000" w:sz="4" w:space="0"/>
              <w:right w:val="single" w:color="000000" w:sz="4" w:space="0"/>
            </w:tcBorders>
            <w:vAlign w:val="center"/>
          </w:tcPr>
          <w:p>
            <w:pPr>
              <w:widowControl/>
              <w:wordWrap w:val="0"/>
              <w:jc w:val="center"/>
              <w:textAlignment w:val="center"/>
              <w:rPr>
                <w:rFonts w:hint="eastAsia" w:ascii="Times New Roman" w:hAnsi="Times New Roman" w:eastAsia="宋体" w:cs="Times New Roman"/>
                <w:color w:val="auto"/>
                <w:kern w:val="0"/>
                <w:sz w:val="21"/>
                <w:szCs w:val="21"/>
                <w:lang w:val="en-US" w:eastAsia="zh-CN" w:bidi="ar"/>
              </w:rPr>
            </w:pPr>
            <w:r>
              <w:rPr>
                <w:rFonts w:hint="eastAsia"/>
                <w:bCs/>
                <w:color w:val="auto"/>
                <w:kern w:val="0"/>
                <w:sz w:val="21"/>
                <w:szCs w:val="21"/>
                <w:lang w:val="en-US" w:eastAsia="zh-CN" w:bidi="en-US"/>
              </w:rPr>
              <w:t>0.4</w:t>
            </w:r>
          </w:p>
        </w:tc>
        <w:tc>
          <w:tcPr>
            <w:tcW w:w="153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sz w:val="21"/>
                <w:szCs w:val="21"/>
              </w:rPr>
              <w:t>+0</w:t>
            </w:r>
          </w:p>
        </w:tc>
      </w:tr>
      <w:tr>
        <w:tblPrEx>
          <w:tblCellMar>
            <w:top w:w="0" w:type="dxa"/>
            <w:left w:w="108" w:type="dxa"/>
            <w:bottom w:w="0" w:type="dxa"/>
            <w:right w:w="108" w:type="dxa"/>
          </w:tblCellMar>
        </w:tblPrEx>
        <w:trPr>
          <w:trHeight w:val="90" w:hRule="atLeast"/>
        </w:trPr>
        <w:tc>
          <w:tcPr>
            <w:tcW w:w="1334" w:type="dxa"/>
            <w:vMerge w:val="continue"/>
            <w:tcBorders>
              <w:left w:val="single" w:color="000000" w:sz="4" w:space="0"/>
              <w:right w:val="single" w:color="000000" w:sz="4" w:space="0"/>
            </w:tcBorders>
            <w:vAlign w:val="center"/>
          </w:tcPr>
          <w:p>
            <w:pPr>
              <w:widowControl/>
              <w:jc w:val="center"/>
              <w:textAlignment w:val="center"/>
              <w:rPr>
                <w:color w:val="auto"/>
                <w:kern w:val="0"/>
                <w:sz w:val="24"/>
                <w:lang w:bidi="ar"/>
              </w:rPr>
            </w:pPr>
          </w:p>
        </w:tc>
        <w:tc>
          <w:tcPr>
            <w:tcW w:w="1335" w:type="dxa"/>
            <w:vMerge w:val="continue"/>
            <w:tcBorders>
              <w:left w:val="single" w:color="000000" w:sz="4" w:space="0"/>
              <w:right w:val="single" w:color="000000" w:sz="4" w:space="0"/>
            </w:tcBorders>
            <w:vAlign w:val="center"/>
          </w:tcPr>
          <w:p>
            <w:pPr>
              <w:widowControl/>
              <w:jc w:val="center"/>
              <w:textAlignment w:val="center"/>
              <w:rPr>
                <w:color w:val="auto"/>
                <w:kern w:val="0"/>
                <w:sz w:val="24"/>
                <w:lang w:bidi="ar"/>
              </w:rPr>
            </w:pPr>
          </w:p>
        </w:tc>
        <w:tc>
          <w:tcPr>
            <w:tcW w:w="202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kern w:val="0"/>
                <w:sz w:val="21"/>
                <w:szCs w:val="21"/>
                <w:lang w:bidi="ar"/>
              </w:rPr>
              <w:t>废油桶</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wordWrap w:val="0"/>
              <w:jc w:val="center"/>
              <w:textAlignment w:val="center"/>
              <w:rPr>
                <w:rFonts w:hint="eastAsia" w:ascii="Times New Roman" w:hAnsi="Times New Roman" w:eastAsia="宋体" w:cs="Times New Roman"/>
                <w:color w:val="auto"/>
                <w:kern w:val="0"/>
                <w:sz w:val="21"/>
                <w:szCs w:val="21"/>
                <w:lang w:val="en-US" w:eastAsia="zh-CN" w:bidi="ar"/>
              </w:rPr>
            </w:pPr>
            <w:r>
              <w:rPr>
                <w:bCs/>
                <w:color w:val="auto"/>
                <w:kern w:val="0"/>
                <w:sz w:val="21"/>
                <w:szCs w:val="21"/>
                <w:lang w:bidi="en-US"/>
              </w:rPr>
              <w:t>0.2</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kern w:val="0"/>
                <w:sz w:val="21"/>
                <w:szCs w:val="21"/>
                <w:lang w:bidi="ar"/>
              </w:rPr>
              <w:t>0</w:t>
            </w:r>
          </w:p>
        </w:tc>
        <w:tc>
          <w:tcPr>
            <w:tcW w:w="1538" w:type="dxa"/>
            <w:tcBorders>
              <w:top w:val="single" w:color="000000" w:sz="4" w:space="0"/>
              <w:left w:val="single" w:color="000000" w:sz="4" w:space="0"/>
              <w:bottom w:val="single" w:color="000000" w:sz="4" w:space="0"/>
              <w:right w:val="single" w:color="000000" w:sz="4" w:space="0"/>
            </w:tcBorders>
            <w:vAlign w:val="center"/>
          </w:tcPr>
          <w:p>
            <w:pPr>
              <w:widowControl/>
              <w:wordWrap w:val="0"/>
              <w:jc w:val="center"/>
              <w:textAlignment w:val="center"/>
              <w:rPr>
                <w:rFonts w:hint="eastAsia" w:ascii="Times New Roman" w:hAnsi="Times New Roman" w:eastAsia="宋体" w:cs="Times New Roman"/>
                <w:color w:val="auto"/>
                <w:kern w:val="0"/>
                <w:sz w:val="21"/>
                <w:szCs w:val="21"/>
                <w:lang w:val="en-US" w:eastAsia="zh-CN" w:bidi="ar"/>
              </w:rPr>
            </w:pPr>
            <w:r>
              <w:rPr>
                <w:bCs/>
                <w:color w:val="auto"/>
                <w:kern w:val="0"/>
                <w:sz w:val="21"/>
                <w:szCs w:val="21"/>
                <w:lang w:bidi="en-US"/>
              </w:rPr>
              <w:t>0.2</w:t>
            </w:r>
          </w:p>
        </w:tc>
        <w:tc>
          <w:tcPr>
            <w:tcW w:w="153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sz w:val="21"/>
                <w:szCs w:val="21"/>
              </w:rPr>
              <w:t>+0</w:t>
            </w:r>
          </w:p>
        </w:tc>
      </w:tr>
      <w:tr>
        <w:tblPrEx>
          <w:tblCellMar>
            <w:top w:w="0" w:type="dxa"/>
            <w:left w:w="108" w:type="dxa"/>
            <w:bottom w:w="0" w:type="dxa"/>
            <w:right w:w="108" w:type="dxa"/>
          </w:tblCellMar>
        </w:tblPrEx>
        <w:trPr>
          <w:trHeight w:val="90" w:hRule="atLeast"/>
        </w:trPr>
        <w:tc>
          <w:tcPr>
            <w:tcW w:w="1334" w:type="dxa"/>
            <w:vMerge w:val="continue"/>
            <w:tcBorders>
              <w:left w:val="single" w:color="000000" w:sz="4" w:space="0"/>
              <w:right w:val="single" w:color="000000" w:sz="4" w:space="0"/>
            </w:tcBorders>
            <w:vAlign w:val="center"/>
          </w:tcPr>
          <w:p>
            <w:pPr>
              <w:widowControl/>
              <w:jc w:val="center"/>
              <w:textAlignment w:val="center"/>
              <w:rPr>
                <w:color w:val="auto"/>
                <w:kern w:val="0"/>
                <w:sz w:val="24"/>
                <w:lang w:bidi="ar"/>
              </w:rPr>
            </w:pPr>
          </w:p>
        </w:tc>
        <w:tc>
          <w:tcPr>
            <w:tcW w:w="1335" w:type="dxa"/>
            <w:vMerge w:val="continue"/>
            <w:tcBorders>
              <w:left w:val="single" w:color="000000" w:sz="4" w:space="0"/>
              <w:right w:val="single" w:color="000000" w:sz="4" w:space="0"/>
            </w:tcBorders>
            <w:vAlign w:val="center"/>
          </w:tcPr>
          <w:p>
            <w:pPr>
              <w:widowControl/>
              <w:jc w:val="center"/>
              <w:textAlignment w:val="center"/>
              <w:rPr>
                <w:color w:val="auto"/>
                <w:kern w:val="0"/>
                <w:sz w:val="24"/>
                <w:lang w:bidi="ar"/>
              </w:rPr>
            </w:pPr>
          </w:p>
        </w:tc>
        <w:tc>
          <w:tcPr>
            <w:tcW w:w="202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kern w:val="0"/>
                <w:sz w:val="21"/>
                <w:szCs w:val="21"/>
                <w:lang w:bidi="ar"/>
              </w:rPr>
              <w:t>废活性炭</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2"/>
                <w:sz w:val="21"/>
                <w:szCs w:val="21"/>
                <w:lang w:val="en-US" w:eastAsia="zh-CN" w:bidi="ar-SA"/>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2"/>
                <w:sz w:val="21"/>
                <w:szCs w:val="21"/>
                <w:lang w:val="en-US" w:eastAsia="zh-CN" w:bidi="ar-SA"/>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2"/>
                <w:sz w:val="21"/>
                <w:szCs w:val="21"/>
                <w:lang w:val="en-US" w:eastAsia="zh-CN" w:bidi="ar-SA"/>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wordWrap w:val="0"/>
              <w:jc w:val="center"/>
              <w:textAlignment w:val="center"/>
              <w:rPr>
                <w:rFonts w:hint="default" w:ascii="Times New Roman" w:hAnsi="Times New Roman" w:eastAsia="宋体" w:cs="Times New Roman"/>
                <w:color w:val="auto"/>
                <w:kern w:val="0"/>
                <w:sz w:val="21"/>
                <w:szCs w:val="21"/>
                <w:lang w:val="en-US" w:eastAsia="zh-CN" w:bidi="ar"/>
              </w:rPr>
            </w:pPr>
            <w:r>
              <w:rPr>
                <w:rFonts w:hint="eastAsia"/>
                <w:bCs/>
                <w:color w:val="auto"/>
                <w:kern w:val="0"/>
                <w:sz w:val="21"/>
                <w:szCs w:val="21"/>
                <w:lang w:val="en-US" w:eastAsia="zh-CN" w:bidi="en-US"/>
              </w:rPr>
              <w:t>2.5955</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2"/>
                <w:sz w:val="21"/>
                <w:szCs w:val="21"/>
                <w:lang w:val="en-US" w:eastAsia="zh-CN" w:bidi="ar-SA"/>
              </w:rPr>
            </w:pPr>
            <w:r>
              <w:rPr>
                <w:color w:val="auto"/>
                <w:kern w:val="0"/>
                <w:sz w:val="21"/>
                <w:szCs w:val="21"/>
                <w:lang w:bidi="ar"/>
              </w:rPr>
              <w:t>0</w:t>
            </w:r>
          </w:p>
        </w:tc>
        <w:tc>
          <w:tcPr>
            <w:tcW w:w="1538" w:type="dxa"/>
            <w:tcBorders>
              <w:top w:val="single" w:color="000000" w:sz="4" w:space="0"/>
              <w:left w:val="single" w:color="000000" w:sz="4" w:space="0"/>
              <w:bottom w:val="single" w:color="000000" w:sz="4" w:space="0"/>
              <w:right w:val="single" w:color="000000" w:sz="4" w:space="0"/>
            </w:tcBorders>
            <w:vAlign w:val="center"/>
          </w:tcPr>
          <w:p>
            <w:pPr>
              <w:widowControl/>
              <w:wordWrap w:val="0"/>
              <w:jc w:val="center"/>
              <w:textAlignment w:val="center"/>
              <w:rPr>
                <w:rFonts w:ascii="Times New Roman" w:hAnsi="Times New Roman" w:eastAsia="宋体" w:cs="Times New Roman"/>
                <w:color w:val="auto"/>
                <w:kern w:val="2"/>
                <w:sz w:val="21"/>
                <w:szCs w:val="21"/>
                <w:lang w:val="en-US" w:eastAsia="zh-CN" w:bidi="ar-SA"/>
              </w:rPr>
            </w:pPr>
            <w:r>
              <w:rPr>
                <w:rFonts w:hint="eastAsia"/>
                <w:bCs/>
                <w:color w:val="auto"/>
                <w:kern w:val="0"/>
                <w:sz w:val="21"/>
                <w:szCs w:val="21"/>
                <w:lang w:val="en-US" w:eastAsia="zh-CN" w:bidi="en-US"/>
              </w:rPr>
              <w:t>2.5955</w:t>
            </w:r>
          </w:p>
        </w:tc>
        <w:tc>
          <w:tcPr>
            <w:tcW w:w="153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2"/>
                <w:sz w:val="21"/>
                <w:szCs w:val="21"/>
                <w:lang w:val="en-US" w:eastAsia="zh-CN" w:bidi="ar-SA"/>
              </w:rPr>
            </w:pPr>
            <w:r>
              <w:rPr>
                <w:color w:val="auto"/>
                <w:sz w:val="21"/>
                <w:szCs w:val="21"/>
              </w:rPr>
              <w:t>+0</w:t>
            </w:r>
          </w:p>
        </w:tc>
      </w:tr>
      <w:tr>
        <w:tblPrEx>
          <w:tblCellMar>
            <w:top w:w="0" w:type="dxa"/>
            <w:left w:w="108" w:type="dxa"/>
            <w:bottom w:w="0" w:type="dxa"/>
            <w:right w:w="108" w:type="dxa"/>
          </w:tblCellMar>
        </w:tblPrEx>
        <w:trPr>
          <w:trHeight w:val="90" w:hRule="atLeast"/>
        </w:trPr>
        <w:tc>
          <w:tcPr>
            <w:tcW w:w="1334" w:type="dxa"/>
            <w:vMerge w:val="continue"/>
            <w:tcBorders>
              <w:left w:val="single" w:color="000000" w:sz="4" w:space="0"/>
              <w:right w:val="single" w:color="000000" w:sz="4" w:space="0"/>
            </w:tcBorders>
            <w:vAlign w:val="center"/>
          </w:tcPr>
          <w:p>
            <w:pPr>
              <w:widowControl/>
              <w:jc w:val="center"/>
              <w:textAlignment w:val="center"/>
              <w:rPr>
                <w:color w:val="auto"/>
                <w:kern w:val="0"/>
                <w:sz w:val="24"/>
                <w:lang w:bidi="ar"/>
              </w:rPr>
            </w:pPr>
          </w:p>
        </w:tc>
        <w:tc>
          <w:tcPr>
            <w:tcW w:w="1335" w:type="dxa"/>
            <w:vMerge w:val="continue"/>
            <w:tcBorders>
              <w:left w:val="single" w:color="000000" w:sz="4" w:space="0"/>
              <w:right w:val="single" w:color="000000" w:sz="4" w:space="0"/>
            </w:tcBorders>
            <w:vAlign w:val="center"/>
          </w:tcPr>
          <w:p>
            <w:pPr>
              <w:widowControl/>
              <w:jc w:val="center"/>
              <w:textAlignment w:val="center"/>
              <w:rPr>
                <w:color w:val="auto"/>
                <w:kern w:val="0"/>
                <w:sz w:val="24"/>
                <w:lang w:bidi="ar"/>
              </w:rPr>
            </w:pPr>
          </w:p>
        </w:tc>
        <w:tc>
          <w:tcPr>
            <w:tcW w:w="202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kern w:val="0"/>
                <w:sz w:val="21"/>
                <w:szCs w:val="21"/>
                <w:lang w:bidi="ar"/>
              </w:rPr>
              <w:t>废润滑油</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wordWrap w:val="0"/>
              <w:jc w:val="center"/>
              <w:textAlignment w:val="center"/>
              <w:rPr>
                <w:rFonts w:hint="eastAsia" w:ascii="Times New Roman" w:hAnsi="Times New Roman" w:eastAsia="宋体" w:cs="Times New Roman"/>
                <w:color w:val="auto"/>
                <w:kern w:val="0"/>
                <w:sz w:val="21"/>
                <w:szCs w:val="21"/>
                <w:lang w:val="en-US" w:eastAsia="zh-CN" w:bidi="ar"/>
              </w:rPr>
            </w:pPr>
            <w:r>
              <w:rPr>
                <w:bCs/>
                <w:color w:val="auto"/>
                <w:kern w:val="0"/>
                <w:sz w:val="21"/>
                <w:szCs w:val="21"/>
                <w:lang w:bidi="en-US"/>
              </w:rPr>
              <w:t>0.005</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kern w:val="0"/>
                <w:sz w:val="21"/>
                <w:szCs w:val="21"/>
                <w:lang w:bidi="ar"/>
              </w:rPr>
              <w:t>0</w:t>
            </w:r>
          </w:p>
        </w:tc>
        <w:tc>
          <w:tcPr>
            <w:tcW w:w="1538" w:type="dxa"/>
            <w:tcBorders>
              <w:top w:val="single" w:color="000000" w:sz="4" w:space="0"/>
              <w:left w:val="single" w:color="000000" w:sz="4" w:space="0"/>
              <w:bottom w:val="single" w:color="000000" w:sz="4" w:space="0"/>
              <w:right w:val="single" w:color="000000" w:sz="4" w:space="0"/>
            </w:tcBorders>
            <w:vAlign w:val="center"/>
          </w:tcPr>
          <w:p>
            <w:pPr>
              <w:widowControl/>
              <w:wordWrap w:val="0"/>
              <w:jc w:val="center"/>
              <w:textAlignment w:val="center"/>
              <w:rPr>
                <w:rFonts w:hint="eastAsia" w:ascii="Times New Roman" w:hAnsi="Times New Roman" w:eastAsia="宋体" w:cs="Times New Roman"/>
                <w:color w:val="auto"/>
                <w:kern w:val="0"/>
                <w:sz w:val="21"/>
                <w:szCs w:val="21"/>
                <w:lang w:val="en-US" w:eastAsia="zh-CN" w:bidi="ar"/>
              </w:rPr>
            </w:pPr>
            <w:r>
              <w:rPr>
                <w:bCs/>
                <w:color w:val="auto"/>
                <w:kern w:val="0"/>
                <w:sz w:val="21"/>
                <w:szCs w:val="21"/>
                <w:lang w:bidi="en-US"/>
              </w:rPr>
              <w:t>0.005</w:t>
            </w:r>
          </w:p>
        </w:tc>
        <w:tc>
          <w:tcPr>
            <w:tcW w:w="153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sz w:val="21"/>
                <w:szCs w:val="21"/>
              </w:rPr>
              <w:t>+0</w:t>
            </w:r>
          </w:p>
        </w:tc>
      </w:tr>
      <w:tr>
        <w:tblPrEx>
          <w:tblCellMar>
            <w:top w:w="0" w:type="dxa"/>
            <w:left w:w="108" w:type="dxa"/>
            <w:bottom w:w="0" w:type="dxa"/>
            <w:right w:w="108" w:type="dxa"/>
          </w:tblCellMar>
        </w:tblPrEx>
        <w:trPr>
          <w:trHeight w:val="311" w:hRule="atLeast"/>
        </w:trPr>
        <w:tc>
          <w:tcPr>
            <w:tcW w:w="1334" w:type="dxa"/>
            <w:vMerge w:val="continue"/>
            <w:tcBorders>
              <w:left w:val="single" w:color="000000" w:sz="4" w:space="0"/>
              <w:right w:val="single" w:color="000000" w:sz="4" w:space="0"/>
            </w:tcBorders>
            <w:vAlign w:val="center"/>
          </w:tcPr>
          <w:p>
            <w:pPr>
              <w:jc w:val="center"/>
              <w:rPr>
                <w:color w:val="auto"/>
                <w:sz w:val="24"/>
              </w:rPr>
            </w:pPr>
          </w:p>
        </w:tc>
        <w:tc>
          <w:tcPr>
            <w:tcW w:w="1335" w:type="dxa"/>
            <w:vMerge w:val="continue"/>
            <w:tcBorders>
              <w:left w:val="single" w:color="000000" w:sz="4" w:space="0"/>
              <w:right w:val="single" w:color="000000" w:sz="4" w:space="0"/>
            </w:tcBorders>
            <w:vAlign w:val="center"/>
          </w:tcPr>
          <w:p>
            <w:pPr>
              <w:jc w:val="center"/>
              <w:rPr>
                <w:color w:val="auto"/>
                <w:sz w:val="24"/>
              </w:rPr>
            </w:pPr>
          </w:p>
        </w:tc>
        <w:tc>
          <w:tcPr>
            <w:tcW w:w="202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Times New Roman" w:hAnsi="Times New Roman" w:eastAsia="宋体" w:cs="Times New Roman"/>
                <w:color w:val="auto"/>
                <w:kern w:val="0"/>
                <w:sz w:val="21"/>
                <w:szCs w:val="21"/>
                <w:lang w:val="en-US" w:eastAsia="zh-CN" w:bidi="ar"/>
              </w:rPr>
            </w:pPr>
            <w:r>
              <w:rPr>
                <w:rFonts w:hint="eastAsia"/>
                <w:color w:val="auto"/>
                <w:kern w:val="0"/>
                <w:sz w:val="21"/>
                <w:szCs w:val="21"/>
                <w:lang w:eastAsia="zh-CN" w:bidi="ar"/>
              </w:rPr>
              <w:t>废喷枪喷头</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宋体" w:cs="Times New Roman"/>
                <w:color w:val="auto"/>
                <w:kern w:val="0"/>
                <w:sz w:val="21"/>
                <w:szCs w:val="21"/>
                <w:lang w:val="en-US" w:eastAsia="zh-CN" w:bidi="ar"/>
              </w:rPr>
            </w:pPr>
            <w:r>
              <w:rPr>
                <w:rFonts w:hint="eastAsia" w:ascii="Times New Roman" w:hAnsi="Times New Roman" w:eastAsia="宋体" w:cs="Times New Roman"/>
                <w:color w:val="auto"/>
                <w:kern w:val="0"/>
                <w:sz w:val="21"/>
                <w:szCs w:val="21"/>
                <w:lang w:bidi="en-US"/>
              </w:rPr>
              <w:t>0.0006</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Times New Roman" w:hAnsi="Times New Roman" w:eastAsia="宋体" w:cs="Times New Roman"/>
                <w:color w:val="auto"/>
                <w:kern w:val="0"/>
                <w:sz w:val="21"/>
                <w:szCs w:val="21"/>
                <w:lang w:val="en-US" w:eastAsia="zh-CN" w:bidi="ar"/>
              </w:rPr>
            </w:pPr>
            <w:r>
              <w:rPr>
                <w:rFonts w:hint="eastAsia"/>
                <w:color w:val="auto"/>
                <w:kern w:val="0"/>
                <w:sz w:val="21"/>
                <w:szCs w:val="21"/>
                <w:lang w:val="en-US" w:eastAsia="zh-CN" w:bidi="ar"/>
              </w:rPr>
              <w:t>0</w:t>
            </w:r>
          </w:p>
        </w:tc>
        <w:tc>
          <w:tcPr>
            <w:tcW w:w="153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rFonts w:hint="eastAsia" w:ascii="Times New Roman" w:hAnsi="Times New Roman" w:eastAsia="宋体" w:cs="Times New Roman"/>
                <w:color w:val="auto"/>
                <w:kern w:val="0"/>
                <w:sz w:val="21"/>
                <w:szCs w:val="21"/>
                <w:lang w:bidi="en-US"/>
              </w:rPr>
              <w:t>0.0006</w:t>
            </w:r>
          </w:p>
        </w:tc>
        <w:tc>
          <w:tcPr>
            <w:tcW w:w="153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2"/>
                <w:sz w:val="21"/>
                <w:szCs w:val="21"/>
                <w:lang w:val="en-US" w:eastAsia="zh-CN" w:bidi="ar-SA"/>
              </w:rPr>
            </w:pPr>
            <w:r>
              <w:rPr>
                <w:color w:val="auto"/>
                <w:sz w:val="21"/>
                <w:szCs w:val="21"/>
              </w:rPr>
              <w:t>+0</w:t>
            </w:r>
          </w:p>
        </w:tc>
      </w:tr>
      <w:tr>
        <w:tblPrEx>
          <w:tblCellMar>
            <w:top w:w="0" w:type="dxa"/>
            <w:left w:w="108" w:type="dxa"/>
            <w:bottom w:w="0" w:type="dxa"/>
            <w:right w:w="108" w:type="dxa"/>
          </w:tblCellMar>
        </w:tblPrEx>
        <w:trPr>
          <w:trHeight w:val="90" w:hRule="atLeast"/>
        </w:trPr>
        <w:tc>
          <w:tcPr>
            <w:tcW w:w="1334" w:type="dxa"/>
            <w:vMerge w:val="continue"/>
            <w:tcBorders>
              <w:left w:val="single" w:color="000000" w:sz="4" w:space="0"/>
              <w:right w:val="single" w:color="000000" w:sz="4" w:space="0"/>
            </w:tcBorders>
            <w:vAlign w:val="center"/>
          </w:tcPr>
          <w:p>
            <w:pPr>
              <w:jc w:val="center"/>
              <w:rPr>
                <w:color w:val="auto"/>
                <w:sz w:val="24"/>
              </w:rPr>
            </w:pPr>
          </w:p>
        </w:tc>
        <w:tc>
          <w:tcPr>
            <w:tcW w:w="1335" w:type="dxa"/>
            <w:vMerge w:val="continue"/>
            <w:tcBorders>
              <w:left w:val="single" w:color="000000" w:sz="4" w:space="0"/>
              <w:right w:val="single" w:color="000000" w:sz="4" w:space="0"/>
            </w:tcBorders>
            <w:vAlign w:val="center"/>
          </w:tcPr>
          <w:p>
            <w:pPr>
              <w:jc w:val="center"/>
              <w:rPr>
                <w:color w:val="auto"/>
                <w:sz w:val="24"/>
              </w:rPr>
            </w:pPr>
          </w:p>
        </w:tc>
        <w:tc>
          <w:tcPr>
            <w:tcW w:w="202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kern w:val="0"/>
                <w:sz w:val="21"/>
                <w:szCs w:val="21"/>
                <w:lang w:bidi="ar"/>
              </w:rPr>
              <w:t>废过滤棉</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wordWrap w:val="0"/>
              <w:jc w:val="center"/>
              <w:textAlignment w:val="center"/>
              <w:rPr>
                <w:rFonts w:hint="default" w:ascii="Times New Roman" w:hAnsi="Times New Roman" w:eastAsia="宋体" w:cs="Times New Roman"/>
                <w:color w:val="auto"/>
                <w:kern w:val="0"/>
                <w:sz w:val="21"/>
                <w:szCs w:val="21"/>
                <w:lang w:val="en-US" w:eastAsia="zh-CN" w:bidi="ar"/>
              </w:rPr>
            </w:pPr>
            <w:r>
              <w:rPr>
                <w:rFonts w:hint="eastAsia"/>
                <w:bCs/>
                <w:color w:val="auto"/>
                <w:kern w:val="0"/>
                <w:sz w:val="21"/>
                <w:szCs w:val="21"/>
                <w:lang w:val="en-US" w:eastAsia="zh-CN" w:bidi="en-US"/>
              </w:rPr>
              <w:t>6.099</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kern w:val="0"/>
                <w:sz w:val="21"/>
                <w:szCs w:val="21"/>
                <w:lang w:bidi="ar"/>
              </w:rPr>
              <w:t>0</w:t>
            </w:r>
          </w:p>
        </w:tc>
        <w:tc>
          <w:tcPr>
            <w:tcW w:w="1538" w:type="dxa"/>
            <w:tcBorders>
              <w:top w:val="single" w:color="000000" w:sz="4" w:space="0"/>
              <w:left w:val="single" w:color="000000" w:sz="4" w:space="0"/>
              <w:bottom w:val="single" w:color="000000" w:sz="4" w:space="0"/>
              <w:right w:val="single" w:color="000000" w:sz="4" w:space="0"/>
            </w:tcBorders>
            <w:vAlign w:val="center"/>
          </w:tcPr>
          <w:p>
            <w:pPr>
              <w:widowControl/>
              <w:wordWrap w:val="0"/>
              <w:jc w:val="center"/>
              <w:textAlignment w:val="center"/>
              <w:rPr>
                <w:rFonts w:ascii="Times New Roman" w:hAnsi="Times New Roman" w:eastAsia="宋体" w:cs="Times New Roman"/>
                <w:color w:val="auto"/>
                <w:kern w:val="0"/>
                <w:sz w:val="21"/>
                <w:szCs w:val="21"/>
                <w:lang w:val="en-US" w:eastAsia="zh-CN" w:bidi="ar"/>
              </w:rPr>
            </w:pPr>
            <w:r>
              <w:rPr>
                <w:rFonts w:hint="eastAsia"/>
                <w:bCs/>
                <w:color w:val="auto"/>
                <w:kern w:val="0"/>
                <w:sz w:val="21"/>
                <w:szCs w:val="21"/>
                <w:lang w:val="en-US" w:eastAsia="zh-CN" w:bidi="en-US"/>
              </w:rPr>
              <w:t>6.099</w:t>
            </w:r>
          </w:p>
        </w:tc>
        <w:tc>
          <w:tcPr>
            <w:tcW w:w="153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sz w:val="21"/>
                <w:szCs w:val="21"/>
              </w:rPr>
              <w:t>+0</w:t>
            </w:r>
          </w:p>
        </w:tc>
      </w:tr>
      <w:tr>
        <w:tblPrEx>
          <w:tblCellMar>
            <w:top w:w="0" w:type="dxa"/>
            <w:left w:w="108" w:type="dxa"/>
            <w:bottom w:w="0" w:type="dxa"/>
            <w:right w:w="108" w:type="dxa"/>
          </w:tblCellMar>
        </w:tblPrEx>
        <w:trPr>
          <w:trHeight w:val="90" w:hRule="atLeast"/>
        </w:trPr>
        <w:tc>
          <w:tcPr>
            <w:tcW w:w="1334" w:type="dxa"/>
            <w:vMerge w:val="continue"/>
            <w:tcBorders>
              <w:left w:val="single" w:color="000000" w:sz="4" w:space="0"/>
              <w:right w:val="single" w:color="000000" w:sz="4" w:space="0"/>
            </w:tcBorders>
            <w:vAlign w:val="center"/>
          </w:tcPr>
          <w:p>
            <w:pPr>
              <w:jc w:val="center"/>
              <w:rPr>
                <w:color w:val="auto"/>
                <w:sz w:val="24"/>
              </w:rPr>
            </w:pPr>
          </w:p>
        </w:tc>
        <w:tc>
          <w:tcPr>
            <w:tcW w:w="133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4"/>
              </w:rPr>
            </w:pPr>
            <w:r>
              <w:rPr>
                <w:color w:val="auto"/>
                <w:kern w:val="0"/>
                <w:sz w:val="24"/>
                <w:lang w:bidi="ar"/>
              </w:rPr>
              <w:t>一般固废</w:t>
            </w:r>
          </w:p>
        </w:tc>
        <w:tc>
          <w:tcPr>
            <w:tcW w:w="20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kern w:val="0"/>
                <w:sz w:val="21"/>
                <w:szCs w:val="21"/>
                <w:lang w:bidi="ar"/>
              </w:rPr>
            </w:pPr>
            <w:r>
              <w:rPr>
                <w:color w:val="auto"/>
                <w:kern w:val="0"/>
                <w:sz w:val="21"/>
                <w:szCs w:val="21"/>
                <w:lang w:bidi="ar"/>
              </w:rPr>
              <w:t>废边角料</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1"/>
                <w:szCs w:val="21"/>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1"/>
                <w:szCs w:val="21"/>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1"/>
                <w:szCs w:val="21"/>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wordWrap w:val="0"/>
              <w:jc w:val="center"/>
              <w:textAlignment w:val="center"/>
              <w:rPr>
                <w:color w:val="auto"/>
                <w:sz w:val="21"/>
                <w:szCs w:val="21"/>
              </w:rPr>
            </w:pPr>
            <w:r>
              <w:rPr>
                <w:rFonts w:hint="eastAsia"/>
                <w:bCs/>
                <w:color w:val="auto"/>
                <w:kern w:val="0"/>
                <w:sz w:val="21"/>
                <w:szCs w:val="21"/>
                <w:lang w:bidi="en-US"/>
              </w:rPr>
              <w:t>101.5</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1"/>
                <w:szCs w:val="21"/>
              </w:rPr>
            </w:pPr>
            <w:r>
              <w:rPr>
                <w:color w:val="auto"/>
                <w:kern w:val="0"/>
                <w:sz w:val="21"/>
                <w:szCs w:val="21"/>
                <w:lang w:bidi="ar"/>
              </w:rPr>
              <w:t>0</w:t>
            </w:r>
          </w:p>
        </w:tc>
        <w:tc>
          <w:tcPr>
            <w:tcW w:w="1538" w:type="dxa"/>
            <w:tcBorders>
              <w:top w:val="single" w:color="000000" w:sz="4" w:space="0"/>
              <w:left w:val="single" w:color="000000" w:sz="4" w:space="0"/>
              <w:bottom w:val="single" w:color="000000" w:sz="4" w:space="0"/>
              <w:right w:val="single" w:color="000000" w:sz="4" w:space="0"/>
            </w:tcBorders>
            <w:vAlign w:val="center"/>
          </w:tcPr>
          <w:p>
            <w:pPr>
              <w:widowControl/>
              <w:wordWrap w:val="0"/>
              <w:jc w:val="center"/>
              <w:textAlignment w:val="center"/>
              <w:rPr>
                <w:color w:val="auto"/>
                <w:sz w:val="21"/>
                <w:szCs w:val="21"/>
              </w:rPr>
            </w:pPr>
            <w:r>
              <w:rPr>
                <w:rFonts w:hint="eastAsia"/>
                <w:bCs/>
                <w:color w:val="auto"/>
                <w:kern w:val="0"/>
                <w:sz w:val="21"/>
                <w:szCs w:val="21"/>
                <w:lang w:bidi="en-US"/>
              </w:rPr>
              <w:t>101.5</w:t>
            </w:r>
          </w:p>
        </w:tc>
        <w:tc>
          <w:tcPr>
            <w:tcW w:w="153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1"/>
                <w:szCs w:val="21"/>
              </w:rPr>
            </w:pPr>
            <w:r>
              <w:rPr>
                <w:color w:val="auto"/>
                <w:sz w:val="21"/>
                <w:szCs w:val="21"/>
              </w:rPr>
              <w:t>+0</w:t>
            </w:r>
          </w:p>
        </w:tc>
      </w:tr>
      <w:tr>
        <w:tblPrEx>
          <w:tblCellMar>
            <w:top w:w="0" w:type="dxa"/>
            <w:left w:w="108" w:type="dxa"/>
            <w:bottom w:w="0" w:type="dxa"/>
            <w:right w:w="108" w:type="dxa"/>
          </w:tblCellMar>
        </w:tblPrEx>
        <w:trPr>
          <w:trHeight w:val="90" w:hRule="atLeast"/>
        </w:trPr>
        <w:tc>
          <w:tcPr>
            <w:tcW w:w="1334" w:type="dxa"/>
            <w:vMerge w:val="continue"/>
            <w:tcBorders>
              <w:left w:val="single" w:color="000000" w:sz="4" w:space="0"/>
              <w:right w:val="single" w:color="000000" w:sz="4" w:space="0"/>
            </w:tcBorders>
            <w:vAlign w:val="center"/>
          </w:tcPr>
          <w:p>
            <w:pPr>
              <w:jc w:val="center"/>
              <w:rPr>
                <w:color w:val="auto"/>
                <w:sz w:val="24"/>
              </w:rPr>
            </w:pPr>
          </w:p>
        </w:tc>
        <w:tc>
          <w:tcPr>
            <w:tcW w:w="1335" w:type="dxa"/>
            <w:vMerge w:val="continue"/>
            <w:tcBorders>
              <w:left w:val="single" w:color="000000" w:sz="4" w:space="0"/>
              <w:right w:val="single" w:color="000000" w:sz="4" w:space="0"/>
            </w:tcBorders>
            <w:vAlign w:val="center"/>
          </w:tcPr>
          <w:p>
            <w:pPr>
              <w:widowControl/>
              <w:jc w:val="center"/>
              <w:textAlignment w:val="center"/>
              <w:rPr>
                <w:color w:val="auto"/>
                <w:kern w:val="0"/>
                <w:sz w:val="24"/>
                <w:lang w:bidi="ar"/>
              </w:rPr>
            </w:pPr>
          </w:p>
        </w:tc>
        <w:tc>
          <w:tcPr>
            <w:tcW w:w="20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kern w:val="0"/>
                <w:sz w:val="21"/>
                <w:szCs w:val="21"/>
                <w:lang w:bidi="ar"/>
              </w:rPr>
              <w:t>废钢丸</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wordWrap w:val="0"/>
              <w:jc w:val="center"/>
              <w:textAlignment w:val="center"/>
              <w:rPr>
                <w:rFonts w:hint="default" w:ascii="Times New Roman" w:hAnsi="Times New Roman" w:eastAsia="宋体" w:cs="Times New Roman"/>
                <w:color w:val="auto"/>
                <w:kern w:val="2"/>
                <w:sz w:val="21"/>
                <w:szCs w:val="21"/>
                <w:lang w:val="en-US" w:eastAsia="zh-CN" w:bidi="ar-SA"/>
              </w:rPr>
            </w:pPr>
            <w:r>
              <w:rPr>
                <w:bCs/>
                <w:color w:val="auto"/>
                <w:kern w:val="0"/>
                <w:sz w:val="21"/>
                <w:szCs w:val="21"/>
                <w:lang w:bidi="en-US"/>
              </w:rPr>
              <w:t>1.8</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kern w:val="0"/>
                <w:sz w:val="21"/>
                <w:szCs w:val="21"/>
                <w:lang w:bidi="ar"/>
              </w:rPr>
              <w:t>0</w:t>
            </w:r>
          </w:p>
        </w:tc>
        <w:tc>
          <w:tcPr>
            <w:tcW w:w="1538" w:type="dxa"/>
            <w:tcBorders>
              <w:top w:val="single" w:color="000000" w:sz="4" w:space="0"/>
              <w:left w:val="single" w:color="000000" w:sz="4" w:space="0"/>
              <w:bottom w:val="single" w:color="000000" w:sz="4" w:space="0"/>
              <w:right w:val="single" w:color="000000" w:sz="4" w:space="0"/>
            </w:tcBorders>
            <w:vAlign w:val="center"/>
          </w:tcPr>
          <w:p>
            <w:pPr>
              <w:widowControl/>
              <w:wordWrap w:val="0"/>
              <w:jc w:val="center"/>
              <w:textAlignment w:val="center"/>
              <w:rPr>
                <w:rFonts w:ascii="Times New Roman" w:hAnsi="Times New Roman" w:eastAsia="宋体" w:cs="Times New Roman"/>
                <w:color w:val="auto"/>
                <w:kern w:val="2"/>
                <w:sz w:val="21"/>
                <w:szCs w:val="21"/>
                <w:lang w:val="en-US" w:eastAsia="zh-CN" w:bidi="ar-SA"/>
              </w:rPr>
            </w:pPr>
            <w:r>
              <w:rPr>
                <w:bCs/>
                <w:color w:val="auto"/>
                <w:kern w:val="0"/>
                <w:sz w:val="21"/>
                <w:szCs w:val="21"/>
                <w:lang w:bidi="en-US"/>
              </w:rPr>
              <w:t>1.8</w:t>
            </w:r>
          </w:p>
        </w:tc>
        <w:tc>
          <w:tcPr>
            <w:tcW w:w="153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2"/>
                <w:sz w:val="21"/>
                <w:szCs w:val="21"/>
                <w:lang w:val="en-US" w:eastAsia="zh-CN" w:bidi="ar-SA"/>
              </w:rPr>
            </w:pPr>
            <w:r>
              <w:rPr>
                <w:color w:val="auto"/>
                <w:sz w:val="21"/>
                <w:szCs w:val="21"/>
              </w:rPr>
              <w:t>+0</w:t>
            </w:r>
          </w:p>
        </w:tc>
      </w:tr>
      <w:tr>
        <w:tblPrEx>
          <w:tblCellMar>
            <w:top w:w="0" w:type="dxa"/>
            <w:left w:w="108" w:type="dxa"/>
            <w:bottom w:w="0" w:type="dxa"/>
            <w:right w:w="108" w:type="dxa"/>
          </w:tblCellMar>
        </w:tblPrEx>
        <w:trPr>
          <w:trHeight w:val="90" w:hRule="atLeast"/>
        </w:trPr>
        <w:tc>
          <w:tcPr>
            <w:tcW w:w="1334" w:type="dxa"/>
            <w:vMerge w:val="continue"/>
            <w:tcBorders>
              <w:left w:val="single" w:color="000000" w:sz="4" w:space="0"/>
              <w:right w:val="single" w:color="000000" w:sz="4" w:space="0"/>
            </w:tcBorders>
            <w:vAlign w:val="center"/>
          </w:tcPr>
          <w:p>
            <w:pPr>
              <w:jc w:val="center"/>
              <w:rPr>
                <w:color w:val="auto"/>
                <w:sz w:val="24"/>
              </w:rPr>
            </w:pPr>
          </w:p>
        </w:tc>
        <w:tc>
          <w:tcPr>
            <w:tcW w:w="1335" w:type="dxa"/>
            <w:vMerge w:val="continue"/>
            <w:tcBorders>
              <w:left w:val="single" w:color="000000" w:sz="4" w:space="0"/>
              <w:right w:val="single" w:color="000000" w:sz="4" w:space="0"/>
            </w:tcBorders>
            <w:vAlign w:val="center"/>
          </w:tcPr>
          <w:p>
            <w:pPr>
              <w:widowControl/>
              <w:jc w:val="center"/>
              <w:textAlignment w:val="center"/>
              <w:rPr>
                <w:color w:val="auto"/>
                <w:kern w:val="0"/>
                <w:sz w:val="24"/>
                <w:lang w:bidi="ar"/>
              </w:rPr>
            </w:pPr>
          </w:p>
        </w:tc>
        <w:tc>
          <w:tcPr>
            <w:tcW w:w="20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rFonts w:hint="eastAsia"/>
                <w:color w:val="auto"/>
                <w:kern w:val="0"/>
                <w:sz w:val="21"/>
                <w:szCs w:val="21"/>
                <w:lang w:eastAsia="zh-CN" w:bidi="ar"/>
              </w:rPr>
              <w:t>废气处置收集的</w:t>
            </w:r>
            <w:r>
              <w:rPr>
                <w:color w:val="auto"/>
                <w:kern w:val="0"/>
                <w:sz w:val="21"/>
                <w:szCs w:val="21"/>
                <w:lang w:bidi="ar"/>
              </w:rPr>
              <w:t>粉尘</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wordWrap w:val="0"/>
              <w:jc w:val="center"/>
              <w:textAlignment w:val="center"/>
              <w:rPr>
                <w:rFonts w:hint="eastAsia" w:ascii="Times New Roman" w:hAnsi="Times New Roman" w:eastAsia="宋体" w:cs="Times New Roman"/>
                <w:color w:val="auto"/>
                <w:kern w:val="2"/>
                <w:sz w:val="21"/>
                <w:szCs w:val="21"/>
                <w:lang w:val="en-US" w:eastAsia="zh-CN" w:bidi="ar-SA"/>
              </w:rPr>
            </w:pPr>
            <w:r>
              <w:rPr>
                <w:rFonts w:hint="eastAsia"/>
                <w:bCs/>
                <w:color w:val="auto"/>
                <w:kern w:val="0"/>
                <w:sz w:val="21"/>
                <w:szCs w:val="21"/>
                <w:lang w:val="en-US" w:eastAsia="zh-CN" w:bidi="en-US"/>
              </w:rPr>
              <w:t>61.856</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kern w:val="0"/>
                <w:sz w:val="21"/>
                <w:szCs w:val="21"/>
                <w:lang w:bidi="ar"/>
              </w:rPr>
              <w:t>0</w:t>
            </w:r>
          </w:p>
        </w:tc>
        <w:tc>
          <w:tcPr>
            <w:tcW w:w="1538" w:type="dxa"/>
            <w:tcBorders>
              <w:top w:val="single" w:color="000000" w:sz="4" w:space="0"/>
              <w:left w:val="single" w:color="000000" w:sz="4" w:space="0"/>
              <w:bottom w:val="single" w:color="000000" w:sz="4" w:space="0"/>
              <w:right w:val="single" w:color="000000" w:sz="4" w:space="0"/>
            </w:tcBorders>
            <w:vAlign w:val="center"/>
          </w:tcPr>
          <w:p>
            <w:pPr>
              <w:widowControl/>
              <w:wordWrap w:val="0"/>
              <w:jc w:val="center"/>
              <w:textAlignment w:val="center"/>
              <w:rPr>
                <w:rFonts w:ascii="Times New Roman" w:hAnsi="Times New Roman" w:eastAsia="宋体" w:cs="Times New Roman"/>
                <w:color w:val="auto"/>
                <w:kern w:val="2"/>
                <w:sz w:val="21"/>
                <w:szCs w:val="21"/>
                <w:lang w:val="en-US" w:eastAsia="zh-CN" w:bidi="ar-SA"/>
              </w:rPr>
            </w:pPr>
            <w:r>
              <w:rPr>
                <w:rFonts w:hint="eastAsia"/>
                <w:bCs/>
                <w:color w:val="auto"/>
                <w:kern w:val="0"/>
                <w:sz w:val="21"/>
                <w:szCs w:val="21"/>
                <w:lang w:val="en-US" w:eastAsia="zh-CN" w:bidi="en-US"/>
              </w:rPr>
              <w:t>61.856</w:t>
            </w:r>
          </w:p>
        </w:tc>
        <w:tc>
          <w:tcPr>
            <w:tcW w:w="153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2"/>
                <w:sz w:val="21"/>
                <w:szCs w:val="21"/>
                <w:lang w:val="en-US" w:eastAsia="zh-CN" w:bidi="ar-SA"/>
              </w:rPr>
            </w:pPr>
            <w:r>
              <w:rPr>
                <w:color w:val="auto"/>
                <w:sz w:val="21"/>
                <w:szCs w:val="21"/>
              </w:rPr>
              <w:t>+0</w:t>
            </w:r>
          </w:p>
        </w:tc>
      </w:tr>
      <w:tr>
        <w:tblPrEx>
          <w:tblCellMar>
            <w:top w:w="0" w:type="dxa"/>
            <w:left w:w="108" w:type="dxa"/>
            <w:bottom w:w="0" w:type="dxa"/>
            <w:right w:w="108" w:type="dxa"/>
          </w:tblCellMar>
        </w:tblPrEx>
        <w:trPr>
          <w:trHeight w:val="90" w:hRule="atLeast"/>
        </w:trPr>
        <w:tc>
          <w:tcPr>
            <w:tcW w:w="1334" w:type="dxa"/>
            <w:vMerge w:val="continue"/>
            <w:tcBorders>
              <w:left w:val="single" w:color="000000" w:sz="4" w:space="0"/>
              <w:right w:val="single" w:color="000000" w:sz="4" w:space="0"/>
            </w:tcBorders>
            <w:vAlign w:val="center"/>
          </w:tcPr>
          <w:p>
            <w:pPr>
              <w:jc w:val="center"/>
              <w:rPr>
                <w:color w:val="auto"/>
                <w:sz w:val="24"/>
              </w:rPr>
            </w:pPr>
          </w:p>
        </w:tc>
        <w:tc>
          <w:tcPr>
            <w:tcW w:w="1335" w:type="dxa"/>
            <w:vMerge w:val="continue"/>
            <w:tcBorders>
              <w:left w:val="single" w:color="000000" w:sz="4" w:space="0"/>
              <w:right w:val="single" w:color="000000" w:sz="4" w:space="0"/>
            </w:tcBorders>
            <w:vAlign w:val="center"/>
          </w:tcPr>
          <w:p>
            <w:pPr>
              <w:widowControl/>
              <w:jc w:val="center"/>
              <w:textAlignment w:val="center"/>
              <w:rPr>
                <w:color w:val="auto"/>
                <w:kern w:val="0"/>
                <w:sz w:val="24"/>
                <w:lang w:bidi="ar"/>
              </w:rPr>
            </w:pPr>
          </w:p>
        </w:tc>
        <w:tc>
          <w:tcPr>
            <w:tcW w:w="20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kern w:val="0"/>
                <w:sz w:val="21"/>
                <w:szCs w:val="21"/>
                <w:lang w:bidi="ar"/>
              </w:rPr>
              <w:t>废布袋</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wordWrap w:val="0"/>
              <w:jc w:val="center"/>
              <w:textAlignment w:val="center"/>
              <w:rPr>
                <w:rFonts w:hint="eastAsia" w:ascii="Times New Roman" w:hAnsi="Times New Roman" w:eastAsia="宋体" w:cs="Times New Roman"/>
                <w:color w:val="auto"/>
                <w:kern w:val="2"/>
                <w:sz w:val="21"/>
                <w:szCs w:val="21"/>
                <w:lang w:val="en-US" w:eastAsia="zh-CN" w:bidi="ar-SA"/>
              </w:rPr>
            </w:pPr>
            <w:r>
              <w:rPr>
                <w:bCs/>
                <w:color w:val="auto"/>
                <w:kern w:val="0"/>
                <w:sz w:val="21"/>
                <w:szCs w:val="21"/>
                <w:lang w:bidi="en-US"/>
              </w:rPr>
              <w:t>0.5</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kern w:val="0"/>
                <w:sz w:val="21"/>
                <w:szCs w:val="21"/>
                <w:lang w:bidi="ar"/>
              </w:rPr>
              <w:t>0</w:t>
            </w:r>
          </w:p>
        </w:tc>
        <w:tc>
          <w:tcPr>
            <w:tcW w:w="1538" w:type="dxa"/>
            <w:tcBorders>
              <w:top w:val="single" w:color="000000" w:sz="4" w:space="0"/>
              <w:left w:val="single" w:color="000000" w:sz="4" w:space="0"/>
              <w:bottom w:val="single" w:color="000000" w:sz="4" w:space="0"/>
              <w:right w:val="single" w:color="000000" w:sz="4" w:space="0"/>
            </w:tcBorders>
            <w:vAlign w:val="center"/>
          </w:tcPr>
          <w:p>
            <w:pPr>
              <w:widowControl/>
              <w:wordWrap w:val="0"/>
              <w:jc w:val="center"/>
              <w:textAlignment w:val="center"/>
              <w:rPr>
                <w:rFonts w:ascii="Times New Roman" w:hAnsi="Times New Roman" w:eastAsia="宋体" w:cs="Times New Roman"/>
                <w:color w:val="auto"/>
                <w:kern w:val="2"/>
                <w:sz w:val="21"/>
                <w:szCs w:val="21"/>
                <w:lang w:val="en-US" w:eastAsia="zh-CN" w:bidi="ar-SA"/>
              </w:rPr>
            </w:pPr>
            <w:r>
              <w:rPr>
                <w:bCs/>
                <w:color w:val="auto"/>
                <w:kern w:val="0"/>
                <w:sz w:val="21"/>
                <w:szCs w:val="21"/>
                <w:lang w:bidi="en-US"/>
              </w:rPr>
              <w:t>0.5</w:t>
            </w:r>
          </w:p>
        </w:tc>
        <w:tc>
          <w:tcPr>
            <w:tcW w:w="153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2"/>
                <w:sz w:val="21"/>
                <w:szCs w:val="21"/>
                <w:lang w:val="en-US" w:eastAsia="zh-CN" w:bidi="ar-SA"/>
              </w:rPr>
            </w:pPr>
            <w:r>
              <w:rPr>
                <w:color w:val="auto"/>
                <w:sz w:val="21"/>
                <w:szCs w:val="21"/>
              </w:rPr>
              <w:t>+0</w:t>
            </w:r>
          </w:p>
        </w:tc>
      </w:tr>
      <w:tr>
        <w:tblPrEx>
          <w:tblCellMar>
            <w:top w:w="0" w:type="dxa"/>
            <w:left w:w="108" w:type="dxa"/>
            <w:bottom w:w="0" w:type="dxa"/>
            <w:right w:w="108" w:type="dxa"/>
          </w:tblCellMar>
        </w:tblPrEx>
        <w:trPr>
          <w:trHeight w:val="90" w:hRule="atLeast"/>
        </w:trPr>
        <w:tc>
          <w:tcPr>
            <w:tcW w:w="1334" w:type="dxa"/>
            <w:vMerge w:val="continue"/>
            <w:tcBorders>
              <w:left w:val="single" w:color="000000" w:sz="4" w:space="0"/>
              <w:right w:val="single" w:color="000000" w:sz="4" w:space="0"/>
            </w:tcBorders>
            <w:vAlign w:val="center"/>
          </w:tcPr>
          <w:p>
            <w:pPr>
              <w:jc w:val="center"/>
              <w:rPr>
                <w:color w:val="auto"/>
                <w:sz w:val="24"/>
              </w:rPr>
            </w:pPr>
          </w:p>
        </w:tc>
        <w:tc>
          <w:tcPr>
            <w:tcW w:w="1335" w:type="dxa"/>
            <w:vMerge w:val="continue"/>
            <w:tcBorders>
              <w:left w:val="single" w:color="000000" w:sz="4" w:space="0"/>
              <w:right w:val="single" w:color="000000" w:sz="4" w:space="0"/>
            </w:tcBorders>
            <w:vAlign w:val="center"/>
          </w:tcPr>
          <w:p>
            <w:pPr>
              <w:widowControl/>
              <w:jc w:val="center"/>
              <w:textAlignment w:val="center"/>
              <w:rPr>
                <w:color w:val="auto"/>
                <w:kern w:val="0"/>
                <w:sz w:val="24"/>
                <w:lang w:bidi="ar"/>
              </w:rPr>
            </w:pPr>
          </w:p>
        </w:tc>
        <w:tc>
          <w:tcPr>
            <w:tcW w:w="20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kern w:val="0"/>
                <w:sz w:val="21"/>
                <w:szCs w:val="21"/>
                <w:lang w:bidi="ar"/>
              </w:rPr>
              <w:t>废砂轮片</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wordWrap w:val="0"/>
              <w:jc w:val="center"/>
              <w:textAlignment w:val="center"/>
              <w:rPr>
                <w:rFonts w:hint="default" w:ascii="Times New Roman" w:hAnsi="Times New Roman" w:eastAsia="宋体" w:cs="Times New Roman"/>
                <w:color w:val="auto"/>
                <w:kern w:val="2"/>
                <w:sz w:val="21"/>
                <w:szCs w:val="21"/>
                <w:lang w:val="en-US" w:eastAsia="zh-CN" w:bidi="ar-SA"/>
              </w:rPr>
            </w:pPr>
            <w:r>
              <w:rPr>
                <w:bCs/>
                <w:color w:val="auto"/>
                <w:kern w:val="0"/>
                <w:sz w:val="21"/>
                <w:szCs w:val="21"/>
                <w:lang w:bidi="en-US"/>
              </w:rPr>
              <w:t>0.11</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kern w:val="0"/>
                <w:sz w:val="21"/>
                <w:szCs w:val="21"/>
                <w:lang w:bidi="ar"/>
              </w:rPr>
              <w:t>0</w:t>
            </w:r>
          </w:p>
        </w:tc>
        <w:tc>
          <w:tcPr>
            <w:tcW w:w="1538" w:type="dxa"/>
            <w:tcBorders>
              <w:top w:val="single" w:color="000000" w:sz="4" w:space="0"/>
              <w:left w:val="single" w:color="000000" w:sz="4" w:space="0"/>
              <w:bottom w:val="single" w:color="000000" w:sz="4" w:space="0"/>
              <w:right w:val="single" w:color="000000" w:sz="4" w:space="0"/>
            </w:tcBorders>
            <w:vAlign w:val="center"/>
          </w:tcPr>
          <w:p>
            <w:pPr>
              <w:widowControl/>
              <w:wordWrap w:val="0"/>
              <w:jc w:val="center"/>
              <w:textAlignment w:val="center"/>
              <w:rPr>
                <w:rFonts w:ascii="Times New Roman" w:hAnsi="Times New Roman" w:eastAsia="宋体" w:cs="Times New Roman"/>
                <w:color w:val="auto"/>
                <w:kern w:val="2"/>
                <w:sz w:val="21"/>
                <w:szCs w:val="21"/>
                <w:lang w:val="en-US" w:eastAsia="zh-CN" w:bidi="ar-SA"/>
              </w:rPr>
            </w:pPr>
            <w:r>
              <w:rPr>
                <w:bCs/>
                <w:color w:val="auto"/>
                <w:kern w:val="0"/>
                <w:sz w:val="21"/>
                <w:szCs w:val="21"/>
                <w:lang w:bidi="en-US"/>
              </w:rPr>
              <w:t>0.11</w:t>
            </w:r>
          </w:p>
        </w:tc>
        <w:tc>
          <w:tcPr>
            <w:tcW w:w="153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2"/>
                <w:sz w:val="21"/>
                <w:szCs w:val="21"/>
                <w:lang w:val="en-US" w:eastAsia="zh-CN" w:bidi="ar-SA"/>
              </w:rPr>
            </w:pPr>
            <w:r>
              <w:rPr>
                <w:color w:val="auto"/>
                <w:sz w:val="21"/>
                <w:szCs w:val="21"/>
              </w:rPr>
              <w:t>+0</w:t>
            </w:r>
          </w:p>
        </w:tc>
      </w:tr>
      <w:tr>
        <w:tblPrEx>
          <w:tblCellMar>
            <w:top w:w="0" w:type="dxa"/>
            <w:left w:w="108" w:type="dxa"/>
            <w:bottom w:w="0" w:type="dxa"/>
            <w:right w:w="108" w:type="dxa"/>
          </w:tblCellMar>
        </w:tblPrEx>
        <w:trPr>
          <w:trHeight w:val="90" w:hRule="atLeast"/>
        </w:trPr>
        <w:tc>
          <w:tcPr>
            <w:tcW w:w="1334" w:type="dxa"/>
            <w:vMerge w:val="continue"/>
            <w:tcBorders>
              <w:left w:val="single" w:color="000000" w:sz="4" w:space="0"/>
              <w:right w:val="single" w:color="000000" w:sz="4" w:space="0"/>
            </w:tcBorders>
            <w:vAlign w:val="center"/>
          </w:tcPr>
          <w:p>
            <w:pPr>
              <w:jc w:val="center"/>
              <w:rPr>
                <w:color w:val="auto"/>
                <w:sz w:val="24"/>
              </w:rPr>
            </w:pPr>
          </w:p>
        </w:tc>
        <w:tc>
          <w:tcPr>
            <w:tcW w:w="1335" w:type="dxa"/>
            <w:vMerge w:val="continue"/>
            <w:tcBorders>
              <w:left w:val="single" w:color="000000" w:sz="4" w:space="0"/>
              <w:right w:val="single" w:color="000000" w:sz="4" w:space="0"/>
            </w:tcBorders>
            <w:vAlign w:val="center"/>
          </w:tcPr>
          <w:p>
            <w:pPr>
              <w:widowControl/>
              <w:jc w:val="center"/>
              <w:textAlignment w:val="center"/>
              <w:rPr>
                <w:color w:val="auto"/>
                <w:kern w:val="0"/>
                <w:sz w:val="24"/>
                <w:lang w:bidi="ar"/>
              </w:rPr>
            </w:pPr>
          </w:p>
        </w:tc>
        <w:tc>
          <w:tcPr>
            <w:tcW w:w="20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kern w:val="0"/>
                <w:sz w:val="21"/>
                <w:szCs w:val="21"/>
                <w:lang w:bidi="ar"/>
              </w:rPr>
            </w:pPr>
            <w:r>
              <w:rPr>
                <w:rFonts w:hint="eastAsia"/>
                <w:color w:val="auto"/>
                <w:kern w:val="0"/>
                <w:sz w:val="21"/>
                <w:szCs w:val="21"/>
                <w:lang w:eastAsia="zh-CN" w:bidi="ar"/>
              </w:rPr>
              <w:t>废</w:t>
            </w:r>
            <w:r>
              <w:rPr>
                <w:color w:val="auto"/>
                <w:kern w:val="0"/>
                <w:sz w:val="21"/>
                <w:szCs w:val="21"/>
                <w:lang w:bidi="ar"/>
              </w:rPr>
              <w:t>焊渣</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kern w:val="0"/>
                <w:sz w:val="21"/>
                <w:szCs w:val="21"/>
                <w:lang w:bidi="ar"/>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kern w:val="0"/>
                <w:sz w:val="21"/>
                <w:szCs w:val="21"/>
                <w:lang w:bidi="ar"/>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kern w:val="0"/>
                <w:sz w:val="21"/>
                <w:szCs w:val="21"/>
                <w:lang w:bidi="ar"/>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wordWrap w:val="0"/>
              <w:jc w:val="center"/>
              <w:textAlignment w:val="center"/>
              <w:rPr>
                <w:color w:val="auto"/>
                <w:sz w:val="21"/>
                <w:szCs w:val="21"/>
              </w:rPr>
            </w:pPr>
            <w:r>
              <w:rPr>
                <w:bCs/>
                <w:color w:val="auto"/>
                <w:kern w:val="0"/>
                <w:sz w:val="21"/>
                <w:szCs w:val="21"/>
                <w:lang w:bidi="en-US"/>
              </w:rPr>
              <w:t>1.47</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kern w:val="0"/>
                <w:sz w:val="21"/>
                <w:szCs w:val="21"/>
                <w:lang w:bidi="ar"/>
              </w:rPr>
            </w:pPr>
            <w:r>
              <w:rPr>
                <w:color w:val="auto"/>
                <w:kern w:val="0"/>
                <w:sz w:val="21"/>
                <w:szCs w:val="21"/>
                <w:lang w:bidi="ar"/>
              </w:rPr>
              <w:t>0</w:t>
            </w:r>
          </w:p>
        </w:tc>
        <w:tc>
          <w:tcPr>
            <w:tcW w:w="1538" w:type="dxa"/>
            <w:tcBorders>
              <w:top w:val="single" w:color="000000" w:sz="4" w:space="0"/>
              <w:left w:val="single" w:color="000000" w:sz="4" w:space="0"/>
              <w:bottom w:val="single" w:color="000000" w:sz="4" w:space="0"/>
              <w:right w:val="single" w:color="000000" w:sz="4" w:space="0"/>
            </w:tcBorders>
            <w:vAlign w:val="center"/>
          </w:tcPr>
          <w:p>
            <w:pPr>
              <w:widowControl/>
              <w:wordWrap w:val="0"/>
              <w:jc w:val="center"/>
              <w:textAlignment w:val="center"/>
              <w:rPr>
                <w:color w:val="auto"/>
                <w:sz w:val="21"/>
                <w:szCs w:val="21"/>
              </w:rPr>
            </w:pPr>
            <w:r>
              <w:rPr>
                <w:bCs/>
                <w:color w:val="auto"/>
                <w:kern w:val="0"/>
                <w:sz w:val="21"/>
                <w:szCs w:val="21"/>
                <w:lang w:bidi="en-US"/>
              </w:rPr>
              <w:t>1.47</w:t>
            </w:r>
          </w:p>
        </w:tc>
        <w:tc>
          <w:tcPr>
            <w:tcW w:w="153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1"/>
                <w:szCs w:val="21"/>
              </w:rPr>
            </w:pPr>
            <w:r>
              <w:rPr>
                <w:color w:val="auto"/>
                <w:sz w:val="21"/>
                <w:szCs w:val="21"/>
              </w:rPr>
              <w:t>+0</w:t>
            </w:r>
          </w:p>
        </w:tc>
      </w:tr>
      <w:tr>
        <w:tblPrEx>
          <w:tblCellMar>
            <w:top w:w="0" w:type="dxa"/>
            <w:left w:w="108" w:type="dxa"/>
            <w:bottom w:w="0" w:type="dxa"/>
            <w:right w:w="108" w:type="dxa"/>
          </w:tblCellMar>
        </w:tblPrEx>
        <w:trPr>
          <w:trHeight w:val="90" w:hRule="atLeast"/>
        </w:trPr>
        <w:tc>
          <w:tcPr>
            <w:tcW w:w="1334" w:type="dxa"/>
            <w:vMerge w:val="continue"/>
            <w:tcBorders>
              <w:left w:val="single" w:color="000000" w:sz="4" w:space="0"/>
              <w:right w:val="single" w:color="000000" w:sz="4" w:space="0"/>
            </w:tcBorders>
            <w:vAlign w:val="center"/>
          </w:tcPr>
          <w:p>
            <w:pPr>
              <w:jc w:val="center"/>
              <w:rPr>
                <w:color w:val="auto"/>
                <w:sz w:val="24"/>
              </w:rPr>
            </w:pPr>
          </w:p>
        </w:tc>
        <w:tc>
          <w:tcPr>
            <w:tcW w:w="1335" w:type="dxa"/>
            <w:vMerge w:val="continue"/>
            <w:tcBorders>
              <w:left w:val="single" w:color="000000" w:sz="4" w:space="0"/>
              <w:right w:val="single" w:color="000000" w:sz="4" w:space="0"/>
            </w:tcBorders>
            <w:vAlign w:val="center"/>
          </w:tcPr>
          <w:p>
            <w:pPr>
              <w:widowControl/>
              <w:jc w:val="center"/>
              <w:textAlignment w:val="center"/>
              <w:rPr>
                <w:color w:val="auto"/>
                <w:kern w:val="0"/>
                <w:sz w:val="24"/>
                <w:lang w:bidi="ar"/>
              </w:rPr>
            </w:pPr>
          </w:p>
        </w:tc>
        <w:tc>
          <w:tcPr>
            <w:tcW w:w="20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Times New Roman" w:hAnsi="Times New Roman" w:eastAsia="宋体" w:cs="Times New Roman"/>
                <w:color w:val="auto"/>
                <w:kern w:val="0"/>
                <w:sz w:val="21"/>
                <w:szCs w:val="21"/>
                <w:lang w:val="en-US" w:eastAsia="zh-CN" w:bidi="ar"/>
              </w:rPr>
            </w:pPr>
            <w:r>
              <w:rPr>
                <w:rFonts w:hint="eastAsia"/>
                <w:color w:val="auto"/>
                <w:kern w:val="0"/>
                <w:sz w:val="21"/>
                <w:szCs w:val="21"/>
                <w:lang w:eastAsia="zh-CN" w:bidi="ar"/>
              </w:rPr>
              <w:t>废金属屑</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wordWrap w:val="0"/>
              <w:jc w:val="center"/>
              <w:textAlignment w:val="center"/>
              <w:rPr>
                <w:rFonts w:hint="default" w:ascii="Times New Roman" w:hAnsi="Times New Roman" w:eastAsia="宋体" w:cs="Times New Roman"/>
                <w:color w:val="auto"/>
                <w:kern w:val="2"/>
                <w:sz w:val="21"/>
                <w:szCs w:val="21"/>
                <w:lang w:val="en-US" w:eastAsia="zh-CN" w:bidi="ar-SA"/>
              </w:rPr>
            </w:pPr>
            <w:r>
              <w:rPr>
                <w:rFonts w:hint="eastAsia"/>
                <w:bCs/>
                <w:color w:val="auto"/>
                <w:kern w:val="0"/>
                <w:sz w:val="21"/>
                <w:szCs w:val="21"/>
                <w:lang w:val="en-US" w:eastAsia="zh-CN" w:bidi="en-US"/>
              </w:rPr>
              <w:t>6.2162</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kern w:val="0"/>
                <w:sz w:val="21"/>
                <w:szCs w:val="21"/>
                <w:lang w:bidi="ar"/>
              </w:rPr>
              <w:t>0</w:t>
            </w:r>
          </w:p>
        </w:tc>
        <w:tc>
          <w:tcPr>
            <w:tcW w:w="1538" w:type="dxa"/>
            <w:tcBorders>
              <w:top w:val="single" w:color="000000" w:sz="4" w:space="0"/>
              <w:left w:val="single" w:color="000000" w:sz="4" w:space="0"/>
              <w:bottom w:val="single" w:color="000000" w:sz="4" w:space="0"/>
              <w:right w:val="single" w:color="000000" w:sz="4" w:space="0"/>
            </w:tcBorders>
            <w:vAlign w:val="center"/>
          </w:tcPr>
          <w:p>
            <w:pPr>
              <w:widowControl/>
              <w:wordWrap w:val="0"/>
              <w:jc w:val="center"/>
              <w:textAlignment w:val="center"/>
              <w:rPr>
                <w:rFonts w:ascii="Times New Roman" w:hAnsi="Times New Roman" w:eastAsia="宋体" w:cs="Times New Roman"/>
                <w:color w:val="auto"/>
                <w:kern w:val="2"/>
                <w:sz w:val="21"/>
                <w:szCs w:val="21"/>
                <w:lang w:val="en-US" w:eastAsia="zh-CN" w:bidi="ar-SA"/>
              </w:rPr>
            </w:pPr>
            <w:r>
              <w:rPr>
                <w:rFonts w:hint="eastAsia"/>
                <w:bCs/>
                <w:color w:val="auto"/>
                <w:kern w:val="0"/>
                <w:sz w:val="21"/>
                <w:szCs w:val="21"/>
                <w:lang w:val="en-US" w:eastAsia="zh-CN" w:bidi="en-US"/>
              </w:rPr>
              <w:t>6.2162</w:t>
            </w:r>
          </w:p>
        </w:tc>
        <w:tc>
          <w:tcPr>
            <w:tcW w:w="153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2"/>
                <w:sz w:val="21"/>
                <w:szCs w:val="21"/>
                <w:lang w:val="en-US" w:eastAsia="zh-CN" w:bidi="ar-SA"/>
              </w:rPr>
            </w:pPr>
            <w:r>
              <w:rPr>
                <w:color w:val="auto"/>
                <w:sz w:val="21"/>
                <w:szCs w:val="21"/>
              </w:rPr>
              <w:t>+0</w:t>
            </w:r>
          </w:p>
        </w:tc>
      </w:tr>
      <w:tr>
        <w:tblPrEx>
          <w:tblCellMar>
            <w:top w:w="0" w:type="dxa"/>
            <w:left w:w="108" w:type="dxa"/>
            <w:bottom w:w="0" w:type="dxa"/>
            <w:right w:w="108" w:type="dxa"/>
          </w:tblCellMar>
        </w:tblPrEx>
        <w:trPr>
          <w:trHeight w:val="112" w:hRule="atLeast"/>
        </w:trPr>
        <w:tc>
          <w:tcPr>
            <w:tcW w:w="1334" w:type="dxa"/>
            <w:vMerge w:val="continue"/>
            <w:tcBorders>
              <w:left w:val="single" w:color="000000" w:sz="4" w:space="0"/>
              <w:right w:val="single" w:color="000000" w:sz="4" w:space="0"/>
            </w:tcBorders>
            <w:vAlign w:val="center"/>
          </w:tcPr>
          <w:p>
            <w:pPr>
              <w:jc w:val="center"/>
              <w:rPr>
                <w:color w:val="auto"/>
                <w:sz w:val="24"/>
              </w:rPr>
            </w:pPr>
          </w:p>
        </w:tc>
        <w:tc>
          <w:tcPr>
            <w:tcW w:w="1335" w:type="dxa"/>
            <w:vMerge w:val="restart"/>
            <w:tcBorders>
              <w:top w:val="single" w:color="000000" w:sz="4" w:space="0"/>
              <w:left w:val="single" w:color="000000" w:sz="4" w:space="0"/>
              <w:right w:val="single" w:color="000000" w:sz="4" w:space="0"/>
            </w:tcBorders>
            <w:vAlign w:val="center"/>
          </w:tcPr>
          <w:p>
            <w:pPr>
              <w:widowControl/>
              <w:jc w:val="center"/>
              <w:textAlignment w:val="center"/>
              <w:rPr>
                <w:color w:val="auto"/>
                <w:sz w:val="24"/>
              </w:rPr>
            </w:pPr>
            <w:r>
              <w:rPr>
                <w:color w:val="auto"/>
                <w:kern w:val="0"/>
                <w:sz w:val="24"/>
                <w:lang w:bidi="ar"/>
              </w:rPr>
              <w:t>生活垃圾</w:t>
            </w:r>
          </w:p>
        </w:tc>
        <w:tc>
          <w:tcPr>
            <w:tcW w:w="20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kern w:val="0"/>
                <w:sz w:val="21"/>
                <w:szCs w:val="21"/>
                <w:lang w:bidi="ar"/>
              </w:rPr>
            </w:pPr>
            <w:r>
              <w:rPr>
                <w:color w:val="auto"/>
                <w:kern w:val="0"/>
                <w:sz w:val="21"/>
                <w:szCs w:val="21"/>
                <w:lang w:bidi="ar"/>
              </w:rPr>
              <w:t>生活垃圾</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1"/>
                <w:szCs w:val="21"/>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1"/>
                <w:szCs w:val="21"/>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1"/>
                <w:szCs w:val="21"/>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1"/>
                <w:szCs w:val="21"/>
              </w:rPr>
            </w:pPr>
            <w:r>
              <w:rPr>
                <w:color w:val="auto"/>
                <w:sz w:val="21"/>
                <w:szCs w:val="21"/>
              </w:rPr>
              <w:t>7.56</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1"/>
                <w:szCs w:val="21"/>
              </w:rPr>
            </w:pPr>
            <w:r>
              <w:rPr>
                <w:color w:val="auto"/>
                <w:kern w:val="0"/>
                <w:sz w:val="21"/>
                <w:szCs w:val="21"/>
                <w:lang w:bidi="ar"/>
              </w:rPr>
              <w:t>0</w:t>
            </w:r>
          </w:p>
        </w:tc>
        <w:tc>
          <w:tcPr>
            <w:tcW w:w="153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1"/>
                <w:szCs w:val="21"/>
              </w:rPr>
            </w:pPr>
            <w:r>
              <w:rPr>
                <w:color w:val="auto"/>
                <w:sz w:val="21"/>
                <w:szCs w:val="21"/>
              </w:rPr>
              <w:t>7.56</w:t>
            </w:r>
          </w:p>
        </w:tc>
        <w:tc>
          <w:tcPr>
            <w:tcW w:w="153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auto"/>
                <w:sz w:val="21"/>
                <w:szCs w:val="21"/>
              </w:rPr>
            </w:pPr>
            <w:r>
              <w:rPr>
                <w:color w:val="auto"/>
                <w:sz w:val="21"/>
                <w:szCs w:val="21"/>
              </w:rPr>
              <w:t>+0</w:t>
            </w:r>
          </w:p>
        </w:tc>
      </w:tr>
      <w:tr>
        <w:tblPrEx>
          <w:tblCellMar>
            <w:top w:w="0" w:type="dxa"/>
            <w:left w:w="108" w:type="dxa"/>
            <w:bottom w:w="0" w:type="dxa"/>
            <w:right w:w="108" w:type="dxa"/>
          </w:tblCellMar>
        </w:tblPrEx>
        <w:trPr>
          <w:trHeight w:val="112" w:hRule="atLeast"/>
        </w:trPr>
        <w:tc>
          <w:tcPr>
            <w:tcW w:w="1334" w:type="dxa"/>
            <w:vMerge w:val="continue"/>
            <w:tcBorders>
              <w:left w:val="single" w:color="000000" w:sz="4" w:space="0"/>
              <w:bottom w:val="single" w:color="000000" w:sz="4" w:space="0"/>
              <w:right w:val="single" w:color="000000" w:sz="4" w:space="0"/>
            </w:tcBorders>
            <w:vAlign w:val="center"/>
          </w:tcPr>
          <w:p>
            <w:pPr>
              <w:jc w:val="center"/>
              <w:rPr>
                <w:color w:val="auto"/>
                <w:sz w:val="24"/>
              </w:rPr>
            </w:pPr>
          </w:p>
        </w:tc>
        <w:tc>
          <w:tcPr>
            <w:tcW w:w="1335" w:type="dxa"/>
            <w:vMerge w:val="continue"/>
            <w:tcBorders>
              <w:left w:val="single" w:color="000000" w:sz="4" w:space="0"/>
              <w:bottom w:val="single" w:color="000000" w:sz="4" w:space="0"/>
              <w:right w:val="single" w:color="000000" w:sz="4" w:space="0"/>
            </w:tcBorders>
            <w:vAlign w:val="center"/>
          </w:tcPr>
          <w:p>
            <w:pPr>
              <w:widowControl/>
              <w:jc w:val="center"/>
              <w:textAlignment w:val="center"/>
              <w:rPr>
                <w:color w:val="auto"/>
                <w:kern w:val="0"/>
                <w:sz w:val="24"/>
                <w:lang w:bidi="ar"/>
              </w:rPr>
            </w:pPr>
          </w:p>
        </w:tc>
        <w:tc>
          <w:tcPr>
            <w:tcW w:w="20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color w:val="auto"/>
                <w:kern w:val="0"/>
                <w:sz w:val="21"/>
                <w:szCs w:val="21"/>
                <w:lang w:bidi="ar"/>
              </w:rPr>
              <w:t>化粪池污泥</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2"/>
                <w:sz w:val="21"/>
                <w:szCs w:val="21"/>
                <w:lang w:val="en-US" w:eastAsia="zh-CN" w:bidi="ar-SA"/>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2"/>
                <w:sz w:val="21"/>
                <w:szCs w:val="21"/>
                <w:lang w:val="en-US" w:eastAsia="zh-CN" w:bidi="ar-SA"/>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2"/>
                <w:sz w:val="21"/>
                <w:szCs w:val="21"/>
                <w:lang w:val="en-US" w:eastAsia="zh-CN" w:bidi="ar-SA"/>
              </w:rPr>
            </w:pPr>
            <w:r>
              <w:rPr>
                <w:color w:val="auto"/>
                <w:kern w:val="0"/>
                <w:sz w:val="21"/>
                <w:szCs w:val="21"/>
                <w:lang w:bidi="ar"/>
              </w:rPr>
              <w:t>0</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2"/>
                <w:sz w:val="21"/>
                <w:szCs w:val="21"/>
                <w:lang w:val="en-US" w:eastAsia="zh-CN" w:bidi="ar-SA"/>
              </w:rPr>
            </w:pPr>
            <w:r>
              <w:rPr>
                <w:color w:val="auto"/>
                <w:sz w:val="21"/>
                <w:szCs w:val="21"/>
              </w:rPr>
              <w:t>0.7</w:t>
            </w:r>
          </w:p>
        </w:tc>
        <w:tc>
          <w:tcPr>
            <w:tcW w:w="13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2"/>
                <w:sz w:val="21"/>
                <w:szCs w:val="21"/>
                <w:lang w:val="en-US" w:eastAsia="zh-CN" w:bidi="ar-SA"/>
              </w:rPr>
            </w:pPr>
            <w:r>
              <w:rPr>
                <w:color w:val="auto"/>
                <w:kern w:val="0"/>
                <w:sz w:val="21"/>
                <w:szCs w:val="21"/>
                <w:lang w:bidi="ar"/>
              </w:rPr>
              <w:t>0</w:t>
            </w:r>
          </w:p>
        </w:tc>
        <w:tc>
          <w:tcPr>
            <w:tcW w:w="153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2"/>
                <w:sz w:val="21"/>
                <w:szCs w:val="21"/>
                <w:lang w:val="en-US" w:eastAsia="zh-CN" w:bidi="ar-SA"/>
              </w:rPr>
            </w:pPr>
            <w:r>
              <w:rPr>
                <w:color w:val="auto"/>
                <w:sz w:val="21"/>
                <w:szCs w:val="21"/>
              </w:rPr>
              <w:t>0.7</w:t>
            </w:r>
          </w:p>
        </w:tc>
        <w:tc>
          <w:tcPr>
            <w:tcW w:w="153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auto"/>
                <w:kern w:val="2"/>
                <w:sz w:val="21"/>
                <w:szCs w:val="21"/>
                <w:lang w:val="en-US" w:eastAsia="zh-CN" w:bidi="ar-SA"/>
              </w:rPr>
            </w:pPr>
            <w:r>
              <w:rPr>
                <w:color w:val="auto"/>
                <w:sz w:val="21"/>
                <w:szCs w:val="21"/>
              </w:rPr>
              <w:t>+0</w:t>
            </w:r>
          </w:p>
        </w:tc>
      </w:tr>
    </w:tbl>
    <w:p>
      <w:pPr>
        <w:wordWrap w:val="0"/>
        <w:spacing w:before="120" w:beforeLines="50" w:line="360" w:lineRule="auto"/>
        <w:ind w:left="105" w:leftChars="50"/>
        <w:rPr>
          <w:color w:val="auto"/>
          <w:sz w:val="24"/>
        </w:rPr>
        <w:sectPr>
          <w:pgSz w:w="16838" w:h="11905" w:orient="landscape"/>
          <w:pgMar w:top="1400" w:right="1440" w:bottom="1400" w:left="1383" w:header="851" w:footer="850" w:gutter="0"/>
          <w:pgBorders>
            <w:top w:val="none" w:sz="0" w:space="0"/>
            <w:left w:val="none" w:sz="0" w:space="0"/>
            <w:bottom w:val="none" w:sz="0" w:space="0"/>
            <w:right w:val="none" w:sz="0" w:space="0"/>
          </w:pgBorders>
          <w:cols w:space="720" w:num="1"/>
          <w:docGrid w:linePitch="312" w:charSpace="0"/>
        </w:sectPr>
      </w:pPr>
      <w:r>
        <w:rPr>
          <w:snapToGrid w:val="0"/>
          <w:color w:val="auto"/>
          <w:kern w:val="21"/>
          <w:sz w:val="24"/>
        </w:rPr>
        <w:t>注：</w:t>
      </w:r>
      <w:r>
        <w:rPr>
          <w:snapToGrid w:val="0"/>
          <w:color w:val="auto"/>
          <w:spacing w:val="-16"/>
          <w:kern w:val="21"/>
          <w:sz w:val="24"/>
        </w:rPr>
        <w:fldChar w:fldCharType="begin"/>
      </w:r>
      <w:r>
        <w:rPr>
          <w:snapToGrid w:val="0"/>
          <w:color w:val="auto"/>
          <w:spacing w:val="-16"/>
          <w:kern w:val="21"/>
          <w:sz w:val="24"/>
        </w:rPr>
        <w:instrText xml:space="preserve"> = 6 \* GB3 \* MERGEFORMAT </w:instrText>
      </w:r>
      <w:r>
        <w:rPr>
          <w:snapToGrid w:val="0"/>
          <w:color w:val="auto"/>
          <w:spacing w:val="-16"/>
          <w:kern w:val="21"/>
          <w:sz w:val="24"/>
        </w:rPr>
        <w:fldChar w:fldCharType="separate"/>
      </w:r>
      <w:r>
        <w:rPr>
          <w:color w:val="auto"/>
          <w:sz w:val="24"/>
        </w:rPr>
        <w:t>⑥</w:t>
      </w:r>
      <w:r>
        <w:rPr>
          <w:snapToGrid w:val="0"/>
          <w:color w:val="auto"/>
          <w:spacing w:val="-16"/>
          <w:kern w:val="21"/>
          <w:sz w:val="24"/>
        </w:rPr>
        <w:fldChar w:fldCharType="end"/>
      </w:r>
      <w:r>
        <w:rPr>
          <w:snapToGrid w:val="0"/>
          <w:color w:val="auto"/>
          <w:spacing w:val="-16"/>
          <w:kern w:val="21"/>
          <w:sz w:val="24"/>
        </w:rPr>
        <w:t>=</w:t>
      </w:r>
      <w:r>
        <w:rPr>
          <w:snapToGrid w:val="0"/>
          <w:color w:val="auto"/>
          <w:spacing w:val="-6"/>
          <w:kern w:val="21"/>
          <w:sz w:val="24"/>
        </w:rPr>
        <w:fldChar w:fldCharType="begin"/>
      </w:r>
      <w:r>
        <w:rPr>
          <w:snapToGrid w:val="0"/>
          <w:color w:val="auto"/>
          <w:spacing w:val="-6"/>
          <w:kern w:val="21"/>
          <w:sz w:val="24"/>
        </w:rPr>
        <w:instrText xml:space="preserve"> = 1 \* GB3 \* MERGEFORMAT </w:instrText>
      </w:r>
      <w:r>
        <w:rPr>
          <w:snapToGrid w:val="0"/>
          <w:color w:val="auto"/>
          <w:spacing w:val="-6"/>
          <w:kern w:val="21"/>
          <w:sz w:val="24"/>
        </w:rPr>
        <w:fldChar w:fldCharType="separate"/>
      </w:r>
      <w:r>
        <w:rPr>
          <w:color w:val="auto"/>
          <w:sz w:val="24"/>
        </w:rPr>
        <w:t>①</w:t>
      </w:r>
      <w:r>
        <w:rPr>
          <w:snapToGrid w:val="0"/>
          <w:color w:val="auto"/>
          <w:spacing w:val="-6"/>
          <w:kern w:val="21"/>
          <w:sz w:val="24"/>
        </w:rPr>
        <w:fldChar w:fldCharType="end"/>
      </w:r>
      <w:r>
        <w:rPr>
          <w:snapToGrid w:val="0"/>
          <w:color w:val="auto"/>
          <w:spacing w:val="-6"/>
          <w:kern w:val="21"/>
          <w:sz w:val="24"/>
        </w:rPr>
        <w:t>+</w:t>
      </w:r>
      <w:r>
        <w:rPr>
          <w:snapToGrid w:val="0"/>
          <w:color w:val="auto"/>
          <w:spacing w:val="-6"/>
          <w:kern w:val="21"/>
          <w:sz w:val="24"/>
        </w:rPr>
        <w:fldChar w:fldCharType="begin"/>
      </w:r>
      <w:r>
        <w:rPr>
          <w:snapToGrid w:val="0"/>
          <w:color w:val="auto"/>
          <w:spacing w:val="-6"/>
          <w:kern w:val="21"/>
          <w:sz w:val="24"/>
        </w:rPr>
        <w:instrText xml:space="preserve"> = 3 \* GB3 \* MERGEFORMAT </w:instrText>
      </w:r>
      <w:r>
        <w:rPr>
          <w:snapToGrid w:val="0"/>
          <w:color w:val="auto"/>
          <w:spacing w:val="-6"/>
          <w:kern w:val="21"/>
          <w:sz w:val="24"/>
        </w:rPr>
        <w:fldChar w:fldCharType="separate"/>
      </w:r>
      <w:r>
        <w:rPr>
          <w:color w:val="auto"/>
          <w:sz w:val="24"/>
        </w:rPr>
        <w:t>③</w:t>
      </w:r>
      <w:r>
        <w:rPr>
          <w:snapToGrid w:val="0"/>
          <w:color w:val="auto"/>
          <w:spacing w:val="-6"/>
          <w:kern w:val="21"/>
          <w:sz w:val="24"/>
        </w:rPr>
        <w:fldChar w:fldCharType="end"/>
      </w:r>
      <w:r>
        <w:rPr>
          <w:snapToGrid w:val="0"/>
          <w:color w:val="auto"/>
          <w:spacing w:val="-6"/>
          <w:kern w:val="21"/>
          <w:sz w:val="24"/>
        </w:rPr>
        <w:t>+</w:t>
      </w:r>
      <w:r>
        <w:rPr>
          <w:snapToGrid w:val="0"/>
          <w:color w:val="auto"/>
          <w:spacing w:val="-6"/>
          <w:kern w:val="21"/>
          <w:sz w:val="24"/>
        </w:rPr>
        <w:fldChar w:fldCharType="begin"/>
      </w:r>
      <w:r>
        <w:rPr>
          <w:snapToGrid w:val="0"/>
          <w:color w:val="auto"/>
          <w:spacing w:val="-6"/>
          <w:kern w:val="21"/>
          <w:sz w:val="24"/>
        </w:rPr>
        <w:instrText xml:space="preserve"> = 4 \* GB3 \* MERGEFORMAT </w:instrText>
      </w:r>
      <w:r>
        <w:rPr>
          <w:snapToGrid w:val="0"/>
          <w:color w:val="auto"/>
          <w:spacing w:val="-6"/>
          <w:kern w:val="21"/>
          <w:sz w:val="24"/>
        </w:rPr>
        <w:fldChar w:fldCharType="separate"/>
      </w:r>
      <w:r>
        <w:rPr>
          <w:color w:val="auto"/>
          <w:sz w:val="24"/>
        </w:rPr>
        <w:t>④</w:t>
      </w:r>
      <w:r>
        <w:rPr>
          <w:snapToGrid w:val="0"/>
          <w:color w:val="auto"/>
          <w:spacing w:val="-6"/>
          <w:kern w:val="21"/>
          <w:sz w:val="24"/>
        </w:rPr>
        <w:fldChar w:fldCharType="end"/>
      </w:r>
      <w:r>
        <w:rPr>
          <w:snapToGrid w:val="0"/>
          <w:color w:val="auto"/>
          <w:spacing w:val="-6"/>
          <w:kern w:val="21"/>
          <w:sz w:val="24"/>
        </w:rPr>
        <w:t>-</w:t>
      </w:r>
      <w:r>
        <w:rPr>
          <w:snapToGrid w:val="0"/>
          <w:color w:val="auto"/>
          <w:spacing w:val="-16"/>
          <w:kern w:val="21"/>
          <w:sz w:val="24"/>
        </w:rPr>
        <w:fldChar w:fldCharType="begin"/>
      </w:r>
      <w:r>
        <w:rPr>
          <w:snapToGrid w:val="0"/>
          <w:color w:val="auto"/>
          <w:spacing w:val="-16"/>
          <w:kern w:val="21"/>
          <w:sz w:val="24"/>
        </w:rPr>
        <w:instrText xml:space="preserve"> = 5 \* GB3 \* MERGEFORMAT </w:instrText>
      </w:r>
      <w:r>
        <w:rPr>
          <w:snapToGrid w:val="0"/>
          <w:color w:val="auto"/>
          <w:spacing w:val="-16"/>
          <w:kern w:val="21"/>
          <w:sz w:val="24"/>
        </w:rPr>
        <w:fldChar w:fldCharType="separate"/>
      </w:r>
      <w:r>
        <w:rPr>
          <w:color w:val="auto"/>
          <w:sz w:val="24"/>
        </w:rPr>
        <w:t>⑤</w:t>
      </w:r>
      <w:r>
        <w:rPr>
          <w:snapToGrid w:val="0"/>
          <w:color w:val="auto"/>
          <w:spacing w:val="-16"/>
          <w:kern w:val="21"/>
          <w:sz w:val="24"/>
        </w:rPr>
        <w:fldChar w:fldCharType="end"/>
      </w:r>
      <w:r>
        <w:rPr>
          <w:snapToGrid w:val="0"/>
          <w:color w:val="auto"/>
          <w:spacing w:val="-16"/>
          <w:kern w:val="21"/>
          <w:sz w:val="24"/>
        </w:rPr>
        <w:t>；</w:t>
      </w:r>
      <w:r>
        <w:rPr>
          <w:snapToGrid w:val="0"/>
          <w:color w:val="auto"/>
          <w:spacing w:val="-6"/>
          <w:kern w:val="21"/>
          <w:sz w:val="24"/>
        </w:rPr>
        <w:fldChar w:fldCharType="begin"/>
      </w:r>
      <w:r>
        <w:rPr>
          <w:snapToGrid w:val="0"/>
          <w:color w:val="auto"/>
          <w:spacing w:val="-6"/>
          <w:kern w:val="21"/>
          <w:sz w:val="24"/>
        </w:rPr>
        <w:instrText xml:space="preserve"> = 7 \* GB3 \* MERGEFORMAT </w:instrText>
      </w:r>
      <w:r>
        <w:rPr>
          <w:snapToGrid w:val="0"/>
          <w:color w:val="auto"/>
          <w:spacing w:val="-6"/>
          <w:kern w:val="21"/>
          <w:sz w:val="24"/>
        </w:rPr>
        <w:fldChar w:fldCharType="separate"/>
      </w:r>
      <w:r>
        <w:rPr>
          <w:color w:val="auto"/>
          <w:sz w:val="24"/>
        </w:rPr>
        <w:t>⑦</w:t>
      </w:r>
      <w:r>
        <w:rPr>
          <w:snapToGrid w:val="0"/>
          <w:color w:val="auto"/>
          <w:spacing w:val="-6"/>
          <w:kern w:val="21"/>
          <w:sz w:val="24"/>
        </w:rPr>
        <w:fldChar w:fldCharType="end"/>
      </w:r>
      <w:r>
        <w:rPr>
          <w:snapToGrid w:val="0"/>
          <w:color w:val="auto"/>
          <w:spacing w:val="-6"/>
          <w:kern w:val="21"/>
          <w:sz w:val="24"/>
        </w:rPr>
        <w:t>=</w:t>
      </w:r>
      <w:r>
        <w:rPr>
          <w:snapToGrid w:val="0"/>
          <w:color w:val="auto"/>
          <w:spacing w:val="-16"/>
          <w:kern w:val="21"/>
          <w:sz w:val="24"/>
        </w:rPr>
        <w:fldChar w:fldCharType="begin"/>
      </w:r>
      <w:r>
        <w:rPr>
          <w:snapToGrid w:val="0"/>
          <w:color w:val="auto"/>
          <w:spacing w:val="-16"/>
          <w:kern w:val="21"/>
          <w:sz w:val="24"/>
        </w:rPr>
        <w:instrText xml:space="preserve"> = 6 \* GB3 \* MERGEFORMAT </w:instrText>
      </w:r>
      <w:r>
        <w:rPr>
          <w:snapToGrid w:val="0"/>
          <w:color w:val="auto"/>
          <w:spacing w:val="-16"/>
          <w:kern w:val="21"/>
          <w:sz w:val="24"/>
        </w:rPr>
        <w:fldChar w:fldCharType="separate"/>
      </w:r>
      <w:r>
        <w:rPr>
          <w:color w:val="auto"/>
          <w:sz w:val="24"/>
        </w:rPr>
        <w:t>⑥</w:t>
      </w:r>
      <w:r>
        <w:rPr>
          <w:snapToGrid w:val="0"/>
          <w:color w:val="auto"/>
          <w:spacing w:val="-16"/>
          <w:kern w:val="21"/>
          <w:sz w:val="24"/>
        </w:rPr>
        <w:fldChar w:fldCharType="end"/>
      </w:r>
      <w:r>
        <w:rPr>
          <w:snapToGrid w:val="0"/>
          <w:color w:val="auto"/>
          <w:spacing w:val="-16"/>
          <w:kern w:val="21"/>
          <w:sz w:val="24"/>
        </w:rPr>
        <w:t>-</w:t>
      </w:r>
      <w:r>
        <w:rPr>
          <w:snapToGrid w:val="0"/>
          <w:color w:val="auto"/>
          <w:spacing w:val="-6"/>
          <w:kern w:val="21"/>
          <w:sz w:val="24"/>
        </w:rPr>
        <w:fldChar w:fldCharType="begin"/>
      </w:r>
      <w:r>
        <w:rPr>
          <w:snapToGrid w:val="0"/>
          <w:color w:val="auto"/>
          <w:spacing w:val="-6"/>
          <w:kern w:val="21"/>
          <w:sz w:val="24"/>
        </w:rPr>
        <w:instrText xml:space="preserve"> = 1 \* GB3 \* MERGEFORMAT </w:instrText>
      </w:r>
      <w:r>
        <w:rPr>
          <w:snapToGrid w:val="0"/>
          <w:color w:val="auto"/>
          <w:spacing w:val="-6"/>
          <w:kern w:val="21"/>
          <w:sz w:val="24"/>
        </w:rPr>
        <w:fldChar w:fldCharType="separate"/>
      </w:r>
      <w:r>
        <w:rPr>
          <w:color w:val="auto"/>
          <w:sz w:val="24"/>
        </w:rPr>
        <w:t>①</w:t>
      </w:r>
      <w:r>
        <w:rPr>
          <w:snapToGrid w:val="0"/>
          <w:color w:val="auto"/>
          <w:spacing w:val="-6"/>
          <w:kern w:val="21"/>
          <w:sz w:val="24"/>
        </w:rPr>
        <w:fldChar w:fldCharType="end"/>
      </w:r>
      <w:r>
        <w:rPr>
          <w:color w:val="auto"/>
          <w:sz w:val="24"/>
        </w:rPr>
        <w:t xml:space="preserve">； </w:t>
      </w:r>
    </w:p>
    <w:p>
      <w:pPr>
        <w:wordWrap w:val="0"/>
        <w:spacing w:line="440" w:lineRule="exact"/>
        <w:outlineLvl w:val="0"/>
        <w:rPr>
          <w:b/>
          <w:bCs/>
          <w:color w:val="auto"/>
          <w:sz w:val="24"/>
        </w:rPr>
      </w:pPr>
      <w:bookmarkStart w:id="48" w:name="_Toc26493"/>
      <w:r>
        <w:rPr>
          <w:b/>
          <w:bCs/>
          <w:color w:val="auto"/>
          <w:sz w:val="24"/>
        </w:rPr>
        <w:t>附件清单：</w:t>
      </w:r>
      <w:bookmarkEnd w:id="48"/>
    </w:p>
    <w:p>
      <w:pPr>
        <w:wordWrap w:val="0"/>
        <w:spacing w:line="440" w:lineRule="exact"/>
        <w:ind w:firstLine="480" w:firstLineChars="200"/>
        <w:jc w:val="left"/>
        <w:rPr>
          <w:bCs/>
          <w:color w:val="auto"/>
          <w:sz w:val="24"/>
        </w:rPr>
      </w:pPr>
      <w:r>
        <w:rPr>
          <w:bCs/>
          <w:color w:val="auto"/>
          <w:sz w:val="24"/>
        </w:rPr>
        <w:t>附件1 江苏省生态环境分区管控综合查询报告书</w:t>
      </w:r>
    </w:p>
    <w:p>
      <w:pPr>
        <w:wordWrap w:val="0"/>
        <w:spacing w:line="440" w:lineRule="exact"/>
        <w:ind w:firstLine="480" w:firstLineChars="200"/>
        <w:jc w:val="left"/>
        <w:rPr>
          <w:bCs/>
          <w:color w:val="auto"/>
          <w:sz w:val="24"/>
        </w:rPr>
      </w:pPr>
      <w:r>
        <w:rPr>
          <w:bCs/>
          <w:color w:val="auto"/>
          <w:sz w:val="24"/>
        </w:rPr>
        <w:t>附件2 备案证</w:t>
      </w:r>
    </w:p>
    <w:p>
      <w:pPr>
        <w:wordWrap w:val="0"/>
        <w:spacing w:line="440" w:lineRule="exact"/>
        <w:ind w:firstLine="480" w:firstLineChars="200"/>
        <w:jc w:val="left"/>
        <w:rPr>
          <w:bCs/>
          <w:color w:val="auto"/>
          <w:sz w:val="24"/>
        </w:rPr>
      </w:pPr>
      <w:r>
        <w:rPr>
          <w:bCs/>
          <w:color w:val="auto"/>
          <w:sz w:val="24"/>
        </w:rPr>
        <w:t>附件3 营业执照</w:t>
      </w:r>
    </w:p>
    <w:p>
      <w:pPr>
        <w:wordWrap w:val="0"/>
        <w:spacing w:line="440" w:lineRule="exact"/>
        <w:ind w:firstLine="480" w:firstLineChars="200"/>
        <w:jc w:val="left"/>
        <w:rPr>
          <w:bCs/>
          <w:color w:val="auto"/>
          <w:sz w:val="24"/>
        </w:rPr>
      </w:pPr>
      <w:r>
        <w:rPr>
          <w:bCs/>
          <w:color w:val="auto"/>
          <w:sz w:val="24"/>
        </w:rPr>
        <w:t>附件4环评委托书</w:t>
      </w:r>
    </w:p>
    <w:p>
      <w:pPr>
        <w:wordWrap w:val="0"/>
        <w:spacing w:line="440" w:lineRule="exact"/>
        <w:ind w:firstLine="480" w:firstLineChars="200"/>
        <w:jc w:val="left"/>
        <w:rPr>
          <w:bCs/>
          <w:color w:val="auto"/>
          <w:sz w:val="24"/>
        </w:rPr>
      </w:pPr>
      <w:r>
        <w:rPr>
          <w:bCs/>
          <w:color w:val="auto"/>
          <w:sz w:val="24"/>
        </w:rPr>
        <w:t>附件5 工程师现场勘探照片</w:t>
      </w:r>
    </w:p>
    <w:p>
      <w:pPr>
        <w:wordWrap w:val="0"/>
        <w:spacing w:line="440" w:lineRule="exact"/>
        <w:ind w:firstLine="480" w:firstLineChars="200"/>
        <w:jc w:val="left"/>
        <w:rPr>
          <w:bCs/>
          <w:color w:val="auto"/>
          <w:sz w:val="24"/>
        </w:rPr>
      </w:pPr>
      <w:r>
        <w:rPr>
          <w:bCs/>
          <w:color w:val="auto"/>
          <w:sz w:val="24"/>
        </w:rPr>
        <w:t>附件6 水性漆MSDS报告</w:t>
      </w:r>
    </w:p>
    <w:p>
      <w:pPr>
        <w:wordWrap w:val="0"/>
        <w:spacing w:line="440" w:lineRule="exact"/>
        <w:ind w:firstLine="480" w:firstLineChars="200"/>
        <w:jc w:val="left"/>
        <w:rPr>
          <w:bCs/>
          <w:color w:val="auto"/>
          <w:sz w:val="24"/>
        </w:rPr>
      </w:pPr>
      <w:r>
        <w:rPr>
          <w:bCs/>
          <w:color w:val="auto"/>
          <w:sz w:val="24"/>
        </w:rPr>
        <w:t>附件7 VOC监测报告</w:t>
      </w:r>
    </w:p>
    <w:p>
      <w:pPr>
        <w:wordWrap w:val="0"/>
        <w:spacing w:line="440" w:lineRule="exact"/>
        <w:ind w:firstLine="480" w:firstLineChars="200"/>
        <w:jc w:val="left"/>
        <w:rPr>
          <w:bCs/>
          <w:color w:val="auto"/>
          <w:sz w:val="24"/>
        </w:rPr>
      </w:pPr>
      <w:r>
        <w:rPr>
          <w:bCs/>
          <w:color w:val="auto"/>
          <w:sz w:val="24"/>
        </w:rPr>
        <w:t>附件8 大气环境质量现状监测报告(引用)</w:t>
      </w:r>
    </w:p>
    <w:p>
      <w:pPr>
        <w:wordWrap w:val="0"/>
        <w:spacing w:line="440" w:lineRule="exact"/>
        <w:ind w:firstLine="480" w:firstLineChars="200"/>
        <w:jc w:val="left"/>
        <w:rPr>
          <w:bCs/>
          <w:color w:val="auto"/>
          <w:sz w:val="24"/>
        </w:rPr>
      </w:pPr>
      <w:r>
        <w:rPr>
          <w:bCs/>
          <w:color w:val="auto"/>
          <w:sz w:val="24"/>
        </w:rPr>
        <w:t>附件9 建设项目</w:t>
      </w:r>
      <w:r>
        <w:rPr>
          <w:rFonts w:hint="eastAsia"/>
          <w:bCs/>
          <w:color w:val="auto"/>
          <w:sz w:val="24"/>
          <w:lang w:eastAsia="zh-CN"/>
        </w:rPr>
        <w:t>承诺</w:t>
      </w:r>
      <w:r>
        <w:rPr>
          <w:bCs/>
          <w:color w:val="auto"/>
          <w:sz w:val="24"/>
        </w:rPr>
        <w:t>书</w:t>
      </w:r>
    </w:p>
    <w:p>
      <w:pPr>
        <w:wordWrap w:val="0"/>
        <w:spacing w:line="440" w:lineRule="exact"/>
        <w:ind w:firstLine="480" w:firstLineChars="200"/>
        <w:jc w:val="left"/>
        <w:rPr>
          <w:color w:val="auto"/>
        </w:rPr>
      </w:pPr>
      <w:r>
        <w:rPr>
          <w:bCs/>
          <w:color w:val="auto"/>
          <w:sz w:val="24"/>
        </w:rPr>
        <w:t>附件10 建设单位</w:t>
      </w:r>
      <w:r>
        <w:rPr>
          <w:rFonts w:hint="eastAsia"/>
          <w:bCs/>
          <w:color w:val="auto"/>
          <w:sz w:val="24"/>
          <w:lang w:eastAsia="zh-CN"/>
        </w:rPr>
        <w:t>委托</w:t>
      </w:r>
      <w:r>
        <w:rPr>
          <w:bCs/>
          <w:color w:val="auto"/>
          <w:sz w:val="24"/>
        </w:rPr>
        <w:t>书</w:t>
      </w:r>
    </w:p>
    <w:p>
      <w:pPr>
        <w:wordWrap w:val="0"/>
        <w:spacing w:line="440" w:lineRule="exact"/>
        <w:ind w:firstLine="480" w:firstLineChars="200"/>
        <w:jc w:val="left"/>
        <w:rPr>
          <w:bCs/>
          <w:color w:val="auto"/>
          <w:sz w:val="24"/>
        </w:rPr>
      </w:pPr>
      <w:r>
        <w:rPr>
          <w:bCs/>
          <w:color w:val="auto"/>
          <w:sz w:val="24"/>
        </w:rPr>
        <w:t>附件11 危废处置承诺书</w:t>
      </w:r>
    </w:p>
    <w:p>
      <w:pPr>
        <w:wordWrap w:val="0"/>
        <w:spacing w:line="440" w:lineRule="exact"/>
        <w:ind w:firstLine="480" w:firstLineChars="200"/>
        <w:jc w:val="left"/>
        <w:rPr>
          <w:rFonts w:hint="eastAsia"/>
          <w:bCs/>
          <w:color w:val="auto"/>
          <w:sz w:val="24"/>
          <w:lang w:eastAsia="zh-CN"/>
        </w:rPr>
      </w:pPr>
      <w:r>
        <w:rPr>
          <w:bCs/>
          <w:color w:val="auto"/>
          <w:sz w:val="24"/>
        </w:rPr>
        <w:t>附件1</w:t>
      </w:r>
      <w:r>
        <w:rPr>
          <w:rFonts w:hint="eastAsia"/>
          <w:bCs/>
          <w:color w:val="auto"/>
          <w:sz w:val="24"/>
          <w:lang w:val="en-US" w:eastAsia="zh-CN"/>
        </w:rPr>
        <w:t xml:space="preserve">2 </w:t>
      </w:r>
      <w:r>
        <w:rPr>
          <w:rFonts w:hint="eastAsia"/>
          <w:bCs/>
          <w:color w:val="auto"/>
          <w:sz w:val="24"/>
          <w:lang w:eastAsia="zh-CN"/>
        </w:rPr>
        <w:t>地块情况说明</w:t>
      </w:r>
    </w:p>
    <w:p>
      <w:pPr>
        <w:wordWrap w:val="0"/>
        <w:spacing w:line="440" w:lineRule="exact"/>
        <w:ind w:firstLine="480" w:firstLineChars="200"/>
        <w:jc w:val="left"/>
        <w:rPr>
          <w:rFonts w:hint="eastAsia"/>
          <w:bCs/>
          <w:color w:val="auto"/>
          <w:sz w:val="24"/>
          <w:lang w:eastAsia="zh-CN"/>
        </w:rPr>
      </w:pPr>
      <w:r>
        <w:rPr>
          <w:rFonts w:hint="eastAsia"/>
          <w:bCs/>
          <w:color w:val="auto"/>
          <w:sz w:val="24"/>
          <w:lang w:eastAsia="zh-CN"/>
        </w:rPr>
        <w:t>附件13 附近公众参与调查照片</w:t>
      </w:r>
    </w:p>
    <w:p>
      <w:pPr>
        <w:wordWrap w:val="0"/>
        <w:spacing w:line="440" w:lineRule="exact"/>
        <w:ind w:firstLine="480" w:firstLineChars="200"/>
        <w:jc w:val="left"/>
        <w:rPr>
          <w:rFonts w:hint="default"/>
          <w:bCs/>
          <w:color w:val="auto"/>
          <w:sz w:val="24"/>
          <w:lang w:val="en-US" w:eastAsia="zh-CN"/>
        </w:rPr>
      </w:pPr>
      <w:r>
        <w:rPr>
          <w:rFonts w:hint="default"/>
          <w:bCs/>
          <w:color w:val="auto"/>
          <w:sz w:val="24"/>
          <w:lang w:val="en-US" w:eastAsia="zh-CN"/>
        </w:rPr>
        <w:t>附件14 市政府关于淮安市清江浦区武墩街道单元详细规划等规划编制修改的批复</w:t>
      </w:r>
    </w:p>
    <w:p>
      <w:pPr>
        <w:wordWrap w:val="0"/>
        <w:spacing w:line="440" w:lineRule="exact"/>
        <w:ind w:firstLine="480" w:firstLineChars="200"/>
        <w:jc w:val="left"/>
        <w:rPr>
          <w:rFonts w:hint="default"/>
          <w:bCs/>
          <w:color w:val="auto"/>
          <w:sz w:val="24"/>
          <w:lang w:val="en-US" w:eastAsia="zh-CN"/>
        </w:rPr>
      </w:pPr>
      <w:r>
        <w:rPr>
          <w:rFonts w:hint="default"/>
          <w:bCs/>
          <w:color w:val="auto"/>
          <w:sz w:val="24"/>
          <w:lang w:val="en-US" w:eastAsia="zh-CN"/>
        </w:rPr>
        <w:t>附件15 建设项目现场察看通知单</w:t>
      </w:r>
    </w:p>
    <w:p>
      <w:pPr>
        <w:wordWrap w:val="0"/>
        <w:spacing w:line="440" w:lineRule="exact"/>
        <w:outlineLvl w:val="0"/>
        <w:rPr>
          <w:b/>
          <w:bCs/>
          <w:color w:val="auto"/>
          <w:sz w:val="24"/>
        </w:rPr>
      </w:pPr>
      <w:bookmarkStart w:id="49" w:name="_Toc6962"/>
      <w:r>
        <w:rPr>
          <w:b/>
          <w:bCs/>
          <w:color w:val="auto"/>
          <w:sz w:val="24"/>
        </w:rPr>
        <w:t>附图清单：</w:t>
      </w:r>
      <w:bookmarkEnd w:id="49"/>
    </w:p>
    <w:p>
      <w:pPr>
        <w:wordWrap w:val="0"/>
        <w:spacing w:line="440" w:lineRule="exact"/>
        <w:ind w:firstLine="480" w:firstLineChars="200"/>
        <w:jc w:val="left"/>
        <w:rPr>
          <w:bCs/>
          <w:color w:val="auto"/>
          <w:sz w:val="24"/>
        </w:rPr>
      </w:pPr>
      <w:r>
        <w:rPr>
          <w:bCs/>
          <w:color w:val="auto"/>
          <w:sz w:val="24"/>
        </w:rPr>
        <w:t>附图1建设项目所在地理位置图</w:t>
      </w:r>
    </w:p>
    <w:p>
      <w:pPr>
        <w:wordWrap w:val="0"/>
        <w:spacing w:line="440" w:lineRule="exact"/>
        <w:ind w:firstLine="480" w:firstLineChars="200"/>
        <w:jc w:val="left"/>
        <w:rPr>
          <w:bCs/>
          <w:color w:val="auto"/>
          <w:sz w:val="24"/>
        </w:rPr>
      </w:pPr>
      <w:r>
        <w:rPr>
          <w:bCs/>
          <w:color w:val="auto"/>
          <w:sz w:val="24"/>
        </w:rPr>
        <w:t>附图2 建设项目周边</w:t>
      </w:r>
      <w:r>
        <w:rPr>
          <w:rFonts w:hint="eastAsia"/>
          <w:bCs/>
          <w:color w:val="auto"/>
          <w:sz w:val="24"/>
          <w:lang w:val="en-US" w:eastAsia="zh-CN"/>
        </w:rPr>
        <w:t>500米概况</w:t>
      </w:r>
      <w:r>
        <w:rPr>
          <w:bCs/>
          <w:color w:val="auto"/>
          <w:sz w:val="24"/>
        </w:rPr>
        <w:t>图</w:t>
      </w:r>
    </w:p>
    <w:p>
      <w:pPr>
        <w:wordWrap w:val="0"/>
        <w:spacing w:line="440" w:lineRule="exact"/>
        <w:ind w:firstLine="480" w:firstLineChars="200"/>
        <w:jc w:val="left"/>
        <w:rPr>
          <w:bCs/>
          <w:color w:val="auto"/>
          <w:sz w:val="24"/>
        </w:rPr>
      </w:pPr>
      <w:r>
        <w:rPr>
          <w:bCs/>
          <w:color w:val="auto"/>
          <w:sz w:val="24"/>
        </w:rPr>
        <w:t>附图3 建设项目厂区平面布置图</w:t>
      </w:r>
    </w:p>
    <w:p>
      <w:pPr>
        <w:wordWrap w:val="0"/>
        <w:spacing w:line="440" w:lineRule="exact"/>
        <w:ind w:firstLine="480" w:firstLineChars="200"/>
        <w:jc w:val="left"/>
        <w:rPr>
          <w:bCs/>
          <w:color w:val="auto"/>
          <w:sz w:val="24"/>
        </w:rPr>
      </w:pPr>
      <w:r>
        <w:rPr>
          <w:bCs/>
          <w:color w:val="auto"/>
          <w:sz w:val="24"/>
        </w:rPr>
        <w:t>附图4 建设项目与江苏省生态空间保护区域关系示意图</w:t>
      </w:r>
    </w:p>
    <w:p>
      <w:pPr>
        <w:wordWrap w:val="0"/>
        <w:spacing w:line="440" w:lineRule="exact"/>
        <w:ind w:firstLine="480" w:firstLineChars="200"/>
        <w:jc w:val="left"/>
        <w:rPr>
          <w:bCs/>
          <w:color w:val="auto"/>
          <w:sz w:val="24"/>
        </w:rPr>
      </w:pPr>
      <w:r>
        <w:rPr>
          <w:bCs/>
          <w:color w:val="auto"/>
          <w:sz w:val="24"/>
        </w:rPr>
        <w:t>附图5 建设项目与淮安市环境管控单元位置关系图</w:t>
      </w:r>
    </w:p>
    <w:p>
      <w:pPr>
        <w:wordWrap w:val="0"/>
        <w:spacing w:line="440" w:lineRule="exact"/>
        <w:ind w:firstLine="480" w:firstLineChars="200"/>
        <w:jc w:val="left"/>
        <w:rPr>
          <w:bCs/>
          <w:color w:val="auto"/>
          <w:sz w:val="24"/>
        </w:rPr>
      </w:pPr>
      <w:r>
        <w:rPr>
          <w:bCs/>
          <w:color w:val="auto"/>
          <w:sz w:val="24"/>
        </w:rPr>
        <w:t>附图6 建设项目与</w:t>
      </w:r>
      <w:r>
        <w:rPr>
          <w:rFonts w:hint="eastAsia"/>
          <w:bCs/>
          <w:color w:val="auto"/>
          <w:sz w:val="24"/>
          <w:lang w:eastAsia="zh-CN"/>
        </w:rPr>
        <w:t>古清口用</w:t>
      </w:r>
      <w:r>
        <w:rPr>
          <w:bCs/>
          <w:color w:val="auto"/>
          <w:sz w:val="24"/>
        </w:rPr>
        <w:t>地规划位置关系图</w:t>
      </w:r>
    </w:p>
    <w:p>
      <w:pPr>
        <w:wordWrap w:val="0"/>
        <w:spacing w:line="440" w:lineRule="exact"/>
        <w:ind w:firstLine="420" w:firstLineChars="200"/>
        <w:jc w:val="left"/>
        <w:rPr>
          <w:color w:val="auto"/>
        </w:rPr>
      </w:pPr>
    </w:p>
    <w:sectPr>
      <w:pgSz w:w="11905" w:h="16838"/>
      <w:pgMar w:top="720" w:right="720" w:bottom="720" w:left="720" w:header="851" w:footer="850" w:gutter="0"/>
      <w:pgBorders>
        <w:top w:val="none" w:sz="0" w:space="0"/>
        <w:left w:val="none" w:sz="0" w:space="0"/>
        <w:bottom w:val="none" w:sz="0" w:space="0"/>
        <w:right w:val="none" w:sz="0" w:space="0"/>
      </w:pgBorders>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MingLiU">
    <w:panose1 w:val="02020509000000000000"/>
    <w:charset w:val="88"/>
    <w:family w:val="modern"/>
    <w:pitch w:val="default"/>
    <w:sig w:usb0="A00002FF" w:usb1="28CFFCFA" w:usb2="00000016" w:usb3="00000000" w:csb0="00100001"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enter" w:pos="4153"/>
        <w:tab w:val="right" w:pos="8306"/>
      </w:tabs>
      <w:ind w:right="360"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fldChar w:fldCharType="begin"/>
    </w:r>
    <w:r>
      <w:instrText xml:space="preserve">PAGE   \* MERGEFORMAT</w:instrText>
    </w:r>
    <w:r>
      <w:fldChar w:fldCharType="separate"/>
    </w:r>
    <w:r>
      <w:rPr>
        <w:lang w:val="zh-CN"/>
      </w:rPr>
      <w:t>1</w:t>
    </w:r>
    <w:r>
      <w:fldChar w:fldCharType="end"/>
    </w:r>
  </w:p>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enter" w:pos="4153"/>
        <w:tab w:val="right" w:pos="8306"/>
      </w:tabs>
      <w:ind w:right="360" w:firstLine="360"/>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-9525</wp:posOffset>
              </wp:positionV>
              <wp:extent cx="153035" cy="14097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53035" cy="140970"/>
                      </a:xfrm>
                      <a:prstGeom prst="rect">
                        <a:avLst/>
                      </a:prstGeom>
                      <a:noFill/>
                      <a:ln>
                        <a:noFill/>
                      </a:ln>
                    </wps:spPr>
                    <wps:txbx>
                      <w:txbxContent>
                        <w:p>
                          <w:pPr>
                            <w:pStyle w:val="9"/>
                          </w:pPr>
                          <w:r>
                            <w:fldChar w:fldCharType="begin"/>
                          </w:r>
                          <w:r>
                            <w:instrText xml:space="preserve"> PAGE  \* MERGEFORMAT </w:instrText>
                          </w:r>
                          <w:r>
                            <w:fldChar w:fldCharType="separate"/>
                          </w:r>
                          <w:r>
                            <w:t>38</w:t>
                          </w:r>
                          <w:r>
                            <w:fldChar w:fldCharType="end"/>
                          </w:r>
                        </w:p>
                      </w:txbxContent>
                    </wps:txbx>
                    <wps:bodyPr lIns="0" tIns="0" rIns="0" bIns="0"/>
                  </wps:wsp>
                </a:graphicData>
              </a:graphic>
            </wp:anchor>
          </w:drawing>
        </mc:Choice>
        <mc:Fallback>
          <w:pict>
            <v:shape id="_x0000_s1026" o:spid="_x0000_s1026" o:spt="202" type="#_x0000_t202" style="position:absolute;left:0pt;margin-top:-0.75pt;height:11.1pt;width:12.05pt;mso-position-horizontal:center;mso-position-horizontal-relative:margin;z-index:251660288;mso-width-relative:page;mso-height-relative:page;" filled="f" stroked="f" coordsize="21600,21600" o:gfxdata="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W&#10;8Ra+1QAAAAUBAAAPAAAAAAAAAAEAIAAAACIAAABkcnMvZG93bnJldi54bWxQSwECFAAUAAAACACH&#10;TuJAC8cOjLUBAABnAwAADgAAAAAAAAABACAAAAAkAQAAZHJzL2Uyb0RvYy54bWxQSwUGAAAAAAYA&#10;BgBZAQAASwUAAAAA&#10;">
              <v:fill on="f" focussize="0,0"/>
              <v:stroke on="f"/>
              <v:imagedata o:title=""/>
              <o:lock v:ext="edit" aspectratio="f"/>
              <v:textbox inset="0mm,0mm,0mm,0mm">
                <w:txbxContent>
                  <w:p>
                    <w:pPr>
                      <w:pStyle w:val="9"/>
                    </w:pPr>
                    <w:r>
                      <w:fldChar w:fldCharType="begin"/>
                    </w:r>
                    <w:r>
                      <w:instrText xml:space="preserve"> PAGE  \* MERGEFORMAT </w:instrText>
                    </w:r>
                    <w:r>
                      <w:fldChar w:fldCharType="separate"/>
                    </w:r>
                    <w:r>
                      <w:t>38</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enter" w:pos="4153"/>
        <w:tab w:val="right" w:pos="8306"/>
      </w:tabs>
      <w:ind w:right="360" w:firstLine="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220980" cy="131445"/>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220980" cy="131445"/>
                      </a:xfrm>
                      <a:prstGeom prst="rect">
                        <a:avLst/>
                      </a:prstGeom>
                      <a:noFill/>
                      <a:ln>
                        <a:noFill/>
                      </a:ln>
                    </wps:spPr>
                    <wps:txbx>
                      <w:txbxContent>
                        <w:p>
                          <w:pPr>
                            <w:pStyle w:val="9"/>
                          </w:pPr>
                          <w:r>
                            <w:fldChar w:fldCharType="begin"/>
                          </w:r>
                          <w:r>
                            <w:instrText xml:space="preserve"> PAGE  \* MERGEFORMAT </w:instrText>
                          </w:r>
                          <w:r>
                            <w:fldChar w:fldCharType="separate"/>
                          </w:r>
                          <w:r>
                            <w:t>102</w:t>
                          </w:r>
                          <w:r>
                            <w:fldChar w:fldCharType="end"/>
                          </w:r>
                        </w:p>
                      </w:txbxContent>
                    </wps:txbx>
                    <wps:bodyPr lIns="0" tIns="0" rIns="0" bIns="0">
                      <a:spAutoFit/>
                    </wps:bodyPr>
                  </wps:wsp>
                </a:graphicData>
              </a:graphic>
            </wp:anchor>
          </w:drawing>
        </mc:Choice>
        <mc:Fallback>
          <w:pict>
            <v:shape id="_x0000_s1026" o:spid="_x0000_s1026" o:spt="202" type="#_x0000_t202" style="position:absolute;left:0pt;margin-top:0pt;height:10.35pt;width:17.4pt;mso-position-horizontal:center;mso-position-horizontal-relative:margin;z-index:251659264;mso-width-relative:page;mso-height-relative:page;" filled="f" stroked="f" coordsize="21600,21600" o:gfxdata="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90FxZNIAAAADAQAADwAAAAAAAAABACAAAAAiAAAAZHJzL2Rvd25yZXYueG1sUEsBAhQA&#10;FAAAAAgAh07iQFPVodW/AQAAgQMAAA4AAAAAAAAAAQAgAAAAIQEAAGRycy9lMm9Eb2MueG1sUEsF&#10;BgAAAAAGAAYAWQEAAFIFAAAAAA==&#10;">
              <v:fill on="f" focussize="0,0"/>
              <v:stroke on="f"/>
              <v:imagedata o:title=""/>
              <o:lock v:ext="edit" aspectratio="f"/>
              <v:textbox inset="0mm,0mm,0mm,0mm" style="mso-fit-shape-to-text:t;">
                <w:txbxContent>
                  <w:p>
                    <w:pPr>
                      <w:pStyle w:val="9"/>
                    </w:pPr>
                    <w:r>
                      <w:fldChar w:fldCharType="begin"/>
                    </w:r>
                    <w:r>
                      <w:instrText xml:space="preserve"> PAGE  \* MERGEFORMAT </w:instrText>
                    </w:r>
                    <w:r>
                      <w:fldChar w:fldCharType="separate"/>
                    </w:r>
                    <w:r>
                      <w:t>102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B65A81"/>
    <w:multiLevelType w:val="singleLevel"/>
    <w:tmpl w:val="90B65A81"/>
    <w:lvl w:ilvl="0" w:tentative="0">
      <w:start w:val="3"/>
      <w:numFmt w:val="decimal"/>
      <w:suff w:val="nothing"/>
      <w:lvlText w:val="%1、"/>
      <w:lvlJc w:val="left"/>
    </w:lvl>
  </w:abstractNum>
  <w:abstractNum w:abstractNumId="1">
    <w:nsid w:val="088EDAB6"/>
    <w:multiLevelType w:val="singleLevel"/>
    <w:tmpl w:val="088EDAB6"/>
    <w:lvl w:ilvl="0" w:tentative="0">
      <w:start w:val="8"/>
      <w:numFmt w:val="decimal"/>
      <w:suff w:val="nothing"/>
      <w:lvlText w:val="%1、"/>
      <w:lvlJc w:val="left"/>
    </w:lvl>
  </w:abstractNum>
  <w:abstractNum w:abstractNumId="2">
    <w:nsid w:val="222B938C"/>
    <w:multiLevelType w:val="singleLevel"/>
    <w:tmpl w:val="222B938C"/>
    <w:lvl w:ilvl="0" w:tentative="0">
      <w:start w:val="2"/>
      <w:numFmt w:val="decimal"/>
      <w:suff w:val="nothing"/>
      <w:lvlText w:val="（%1）"/>
      <w:lvlJc w:val="left"/>
    </w:lvl>
  </w:abstractNum>
  <w:abstractNum w:abstractNumId="3">
    <w:nsid w:val="30A8308D"/>
    <w:multiLevelType w:val="singleLevel"/>
    <w:tmpl w:val="30A8308D"/>
    <w:lvl w:ilvl="0" w:tentative="0">
      <w:start w:val="1"/>
      <w:numFmt w:val="decimal"/>
      <w:suff w:val="nothing"/>
      <w:lvlText w:val="（%1）"/>
      <w:lvlJc w:val="left"/>
    </w:lvl>
  </w:abstractNum>
  <w:abstractNum w:abstractNumId="4">
    <w:nsid w:val="39285A68"/>
    <w:multiLevelType w:val="singleLevel"/>
    <w:tmpl w:val="39285A68"/>
    <w:lvl w:ilvl="0" w:tentative="0">
      <w:start w:val="1"/>
      <w:numFmt w:val="bullet"/>
      <w:pStyle w:val="3"/>
      <w:lvlText w:val=""/>
      <w:lvlJc w:val="left"/>
      <w:pPr>
        <w:tabs>
          <w:tab w:val="left" w:pos="2040"/>
        </w:tabs>
        <w:ind w:left="2040" w:hanging="360"/>
      </w:pPr>
      <w:rPr>
        <w:rFonts w:hint="default" w:ascii="Wingdings" w:hAnsi="Wingdings"/>
      </w:rPr>
    </w:lvl>
  </w:abstractNum>
  <w:abstractNum w:abstractNumId="5">
    <w:nsid w:val="76880CA6"/>
    <w:multiLevelType w:val="singleLevel"/>
    <w:tmpl w:val="76880CA6"/>
    <w:lvl w:ilvl="0" w:tentative="0">
      <w:start w:val="1"/>
      <w:numFmt w:val="decimal"/>
      <w:suff w:val="nothing"/>
      <w:lvlText w:val="（%1）"/>
      <w:lvlJc w:val="left"/>
    </w:lvl>
  </w:abstractNum>
  <w:num w:numId="1">
    <w:abstractNumId w:val="4"/>
  </w:num>
  <w:num w:numId="2">
    <w:abstractNumId w:val="1"/>
  </w:num>
  <w:num w:numId="3">
    <w:abstractNumId w:val="5"/>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0OGYzOTI3NzkyZmY2MjZiMmUwYWVkZGIzMmM4ZmMifQ=="/>
  </w:docVars>
  <w:rsids>
    <w:rsidRoot w:val="79996193"/>
    <w:rsid w:val="001147F7"/>
    <w:rsid w:val="00121BF5"/>
    <w:rsid w:val="00191B76"/>
    <w:rsid w:val="001C079E"/>
    <w:rsid w:val="0025648F"/>
    <w:rsid w:val="003276F3"/>
    <w:rsid w:val="004B4AB6"/>
    <w:rsid w:val="00533B97"/>
    <w:rsid w:val="006229FA"/>
    <w:rsid w:val="007B27DE"/>
    <w:rsid w:val="007C0231"/>
    <w:rsid w:val="00821F86"/>
    <w:rsid w:val="009A415F"/>
    <w:rsid w:val="00A3687E"/>
    <w:rsid w:val="00AC0BAB"/>
    <w:rsid w:val="00C4378E"/>
    <w:rsid w:val="00C654BF"/>
    <w:rsid w:val="00D62B05"/>
    <w:rsid w:val="00D84E4C"/>
    <w:rsid w:val="00E33B6D"/>
    <w:rsid w:val="00EC6D51"/>
    <w:rsid w:val="00FB67BA"/>
    <w:rsid w:val="01AD7086"/>
    <w:rsid w:val="022C24DE"/>
    <w:rsid w:val="029A4513"/>
    <w:rsid w:val="02B0537A"/>
    <w:rsid w:val="031F3187"/>
    <w:rsid w:val="032F04D8"/>
    <w:rsid w:val="03327FC8"/>
    <w:rsid w:val="035E0DBD"/>
    <w:rsid w:val="03B629A7"/>
    <w:rsid w:val="0422003D"/>
    <w:rsid w:val="043C7B9D"/>
    <w:rsid w:val="04696897"/>
    <w:rsid w:val="05AF5900"/>
    <w:rsid w:val="05C0366A"/>
    <w:rsid w:val="05FF71AF"/>
    <w:rsid w:val="061D286A"/>
    <w:rsid w:val="06347F2F"/>
    <w:rsid w:val="06C93DF7"/>
    <w:rsid w:val="06E67100"/>
    <w:rsid w:val="07247C62"/>
    <w:rsid w:val="07481B68"/>
    <w:rsid w:val="07C63F0E"/>
    <w:rsid w:val="07D04CBD"/>
    <w:rsid w:val="082D649D"/>
    <w:rsid w:val="08716E9D"/>
    <w:rsid w:val="0A6F1B02"/>
    <w:rsid w:val="0B223ED3"/>
    <w:rsid w:val="0B495EAF"/>
    <w:rsid w:val="0BCB228A"/>
    <w:rsid w:val="0BD460C1"/>
    <w:rsid w:val="0C305D31"/>
    <w:rsid w:val="0DA16476"/>
    <w:rsid w:val="0DD01643"/>
    <w:rsid w:val="0DD70146"/>
    <w:rsid w:val="0E715E49"/>
    <w:rsid w:val="0EB2020F"/>
    <w:rsid w:val="0F2F1860"/>
    <w:rsid w:val="0F4D3135"/>
    <w:rsid w:val="0F503CB0"/>
    <w:rsid w:val="10302212"/>
    <w:rsid w:val="10765998"/>
    <w:rsid w:val="109127D2"/>
    <w:rsid w:val="10E313AB"/>
    <w:rsid w:val="114D3447"/>
    <w:rsid w:val="114F1D45"/>
    <w:rsid w:val="118D57F1"/>
    <w:rsid w:val="11A622AD"/>
    <w:rsid w:val="11E13000"/>
    <w:rsid w:val="120E39AF"/>
    <w:rsid w:val="127C6B6A"/>
    <w:rsid w:val="12A5135A"/>
    <w:rsid w:val="13651CF4"/>
    <w:rsid w:val="139B4676"/>
    <w:rsid w:val="13D60DA7"/>
    <w:rsid w:val="140B594A"/>
    <w:rsid w:val="14151024"/>
    <w:rsid w:val="14DE1D5E"/>
    <w:rsid w:val="15051E29"/>
    <w:rsid w:val="15284D87"/>
    <w:rsid w:val="1560771A"/>
    <w:rsid w:val="15B85DD3"/>
    <w:rsid w:val="15CA5E3E"/>
    <w:rsid w:val="15FA4976"/>
    <w:rsid w:val="164B3423"/>
    <w:rsid w:val="16795115"/>
    <w:rsid w:val="17045380"/>
    <w:rsid w:val="171D069E"/>
    <w:rsid w:val="1776002C"/>
    <w:rsid w:val="17C71196"/>
    <w:rsid w:val="18BC1320"/>
    <w:rsid w:val="18BE7B6B"/>
    <w:rsid w:val="18C43019"/>
    <w:rsid w:val="18DC0363"/>
    <w:rsid w:val="198D5B01"/>
    <w:rsid w:val="19B968F6"/>
    <w:rsid w:val="1A0A7151"/>
    <w:rsid w:val="1AA50C28"/>
    <w:rsid w:val="1AB8095B"/>
    <w:rsid w:val="1AE6371B"/>
    <w:rsid w:val="1AF137A8"/>
    <w:rsid w:val="1AF35E37"/>
    <w:rsid w:val="1B1C4D29"/>
    <w:rsid w:val="1C2C7361"/>
    <w:rsid w:val="1C6A4EB3"/>
    <w:rsid w:val="1CE0488E"/>
    <w:rsid w:val="1CFC0FF0"/>
    <w:rsid w:val="1D8611E5"/>
    <w:rsid w:val="1D905BC0"/>
    <w:rsid w:val="1E2A6014"/>
    <w:rsid w:val="1EC01001"/>
    <w:rsid w:val="1F095C2A"/>
    <w:rsid w:val="1FE204EA"/>
    <w:rsid w:val="2116446F"/>
    <w:rsid w:val="21577120"/>
    <w:rsid w:val="21AE532C"/>
    <w:rsid w:val="21F754B0"/>
    <w:rsid w:val="22264384"/>
    <w:rsid w:val="22620486"/>
    <w:rsid w:val="229C1498"/>
    <w:rsid w:val="22C95DFC"/>
    <w:rsid w:val="22DB74CE"/>
    <w:rsid w:val="22F4099F"/>
    <w:rsid w:val="247D705C"/>
    <w:rsid w:val="24A46477"/>
    <w:rsid w:val="24D82326"/>
    <w:rsid w:val="24D922FA"/>
    <w:rsid w:val="25496D80"/>
    <w:rsid w:val="2589133A"/>
    <w:rsid w:val="25C428AA"/>
    <w:rsid w:val="260A0864"/>
    <w:rsid w:val="269D4C1B"/>
    <w:rsid w:val="26B46EB0"/>
    <w:rsid w:val="26DC3C24"/>
    <w:rsid w:val="2734580E"/>
    <w:rsid w:val="27484CC0"/>
    <w:rsid w:val="274B35A2"/>
    <w:rsid w:val="281A7D04"/>
    <w:rsid w:val="288976CC"/>
    <w:rsid w:val="28C037FD"/>
    <w:rsid w:val="29341AF5"/>
    <w:rsid w:val="293A15CE"/>
    <w:rsid w:val="29B03445"/>
    <w:rsid w:val="2A45365D"/>
    <w:rsid w:val="2A663F30"/>
    <w:rsid w:val="2A672865"/>
    <w:rsid w:val="2A8B3997"/>
    <w:rsid w:val="2B3554E5"/>
    <w:rsid w:val="2B5C130C"/>
    <w:rsid w:val="2B6B113D"/>
    <w:rsid w:val="2B7C545B"/>
    <w:rsid w:val="2BF35A47"/>
    <w:rsid w:val="2C444745"/>
    <w:rsid w:val="2C9378AD"/>
    <w:rsid w:val="2CCC5FCD"/>
    <w:rsid w:val="2D287BC3"/>
    <w:rsid w:val="2DFE2826"/>
    <w:rsid w:val="2E0E0B66"/>
    <w:rsid w:val="2E2465DC"/>
    <w:rsid w:val="2EEF5A6B"/>
    <w:rsid w:val="2F1228D8"/>
    <w:rsid w:val="308E7D67"/>
    <w:rsid w:val="309D2676"/>
    <w:rsid w:val="30DD197C"/>
    <w:rsid w:val="30E65DCB"/>
    <w:rsid w:val="31147C36"/>
    <w:rsid w:val="313308E4"/>
    <w:rsid w:val="31607850"/>
    <w:rsid w:val="31A4665A"/>
    <w:rsid w:val="32862C4B"/>
    <w:rsid w:val="329A3093"/>
    <w:rsid w:val="33484B1B"/>
    <w:rsid w:val="33653CAF"/>
    <w:rsid w:val="33975B93"/>
    <w:rsid w:val="33F83F58"/>
    <w:rsid w:val="33FB5172"/>
    <w:rsid w:val="3524349A"/>
    <w:rsid w:val="35C10415"/>
    <w:rsid w:val="36494420"/>
    <w:rsid w:val="369B1405"/>
    <w:rsid w:val="369F090F"/>
    <w:rsid w:val="371B760F"/>
    <w:rsid w:val="37B564F7"/>
    <w:rsid w:val="38013CF3"/>
    <w:rsid w:val="38765BBC"/>
    <w:rsid w:val="395A3CD2"/>
    <w:rsid w:val="3A0C0CE3"/>
    <w:rsid w:val="3AA12D62"/>
    <w:rsid w:val="3AB962FE"/>
    <w:rsid w:val="3ADB720C"/>
    <w:rsid w:val="3B0B6E7C"/>
    <w:rsid w:val="3B4756B8"/>
    <w:rsid w:val="3B5417A9"/>
    <w:rsid w:val="3BFA097C"/>
    <w:rsid w:val="3C8841DA"/>
    <w:rsid w:val="3CC45F67"/>
    <w:rsid w:val="3CE858AB"/>
    <w:rsid w:val="3CEF6007"/>
    <w:rsid w:val="3E397623"/>
    <w:rsid w:val="3E467EA9"/>
    <w:rsid w:val="3EE65D0D"/>
    <w:rsid w:val="3FFB7D85"/>
    <w:rsid w:val="404A0902"/>
    <w:rsid w:val="40575F38"/>
    <w:rsid w:val="407225E2"/>
    <w:rsid w:val="40AE7F87"/>
    <w:rsid w:val="41DB68B9"/>
    <w:rsid w:val="42010CB6"/>
    <w:rsid w:val="42DA1507"/>
    <w:rsid w:val="44686350"/>
    <w:rsid w:val="449776B0"/>
    <w:rsid w:val="44B30262"/>
    <w:rsid w:val="44D73F50"/>
    <w:rsid w:val="45215E85"/>
    <w:rsid w:val="45251833"/>
    <w:rsid w:val="452C28EE"/>
    <w:rsid w:val="45322F35"/>
    <w:rsid w:val="45553101"/>
    <w:rsid w:val="45F4468E"/>
    <w:rsid w:val="463B1466"/>
    <w:rsid w:val="47125FF4"/>
    <w:rsid w:val="481F23C7"/>
    <w:rsid w:val="48353E60"/>
    <w:rsid w:val="48833375"/>
    <w:rsid w:val="48AB0554"/>
    <w:rsid w:val="48FF75D2"/>
    <w:rsid w:val="49994F9F"/>
    <w:rsid w:val="49D44F3E"/>
    <w:rsid w:val="4B5A047D"/>
    <w:rsid w:val="4CF616AE"/>
    <w:rsid w:val="4D063625"/>
    <w:rsid w:val="4D0D4B54"/>
    <w:rsid w:val="4D27359B"/>
    <w:rsid w:val="4D4E1E90"/>
    <w:rsid w:val="4DA42E3E"/>
    <w:rsid w:val="4DD76D6F"/>
    <w:rsid w:val="4EB250E6"/>
    <w:rsid w:val="4EBE3A8B"/>
    <w:rsid w:val="4EF34CEB"/>
    <w:rsid w:val="4FDE035A"/>
    <w:rsid w:val="4FF43E31"/>
    <w:rsid w:val="500D0F7C"/>
    <w:rsid w:val="501823FA"/>
    <w:rsid w:val="50265D8C"/>
    <w:rsid w:val="508820AE"/>
    <w:rsid w:val="516A3A56"/>
    <w:rsid w:val="517C43C3"/>
    <w:rsid w:val="517F7502"/>
    <w:rsid w:val="51DA74EF"/>
    <w:rsid w:val="523227C6"/>
    <w:rsid w:val="526C7183"/>
    <w:rsid w:val="534722A1"/>
    <w:rsid w:val="54B15CF7"/>
    <w:rsid w:val="54ED50CA"/>
    <w:rsid w:val="560A3C5D"/>
    <w:rsid w:val="56335103"/>
    <w:rsid w:val="56874ECF"/>
    <w:rsid w:val="56981066"/>
    <w:rsid w:val="57B51470"/>
    <w:rsid w:val="57C9597B"/>
    <w:rsid w:val="58183A3D"/>
    <w:rsid w:val="58355079"/>
    <w:rsid w:val="58535244"/>
    <w:rsid w:val="587666F5"/>
    <w:rsid w:val="58CA7BFC"/>
    <w:rsid w:val="58F9524E"/>
    <w:rsid w:val="59E7033A"/>
    <w:rsid w:val="5A517EA9"/>
    <w:rsid w:val="5C11457D"/>
    <w:rsid w:val="5D342320"/>
    <w:rsid w:val="5E4A0E97"/>
    <w:rsid w:val="5F941F89"/>
    <w:rsid w:val="5F9F3465"/>
    <w:rsid w:val="600F1ACB"/>
    <w:rsid w:val="60BB7E2A"/>
    <w:rsid w:val="61637BA0"/>
    <w:rsid w:val="61700C15"/>
    <w:rsid w:val="61730705"/>
    <w:rsid w:val="61DE6668"/>
    <w:rsid w:val="62326857"/>
    <w:rsid w:val="626443DC"/>
    <w:rsid w:val="62FD0BCE"/>
    <w:rsid w:val="63267BA3"/>
    <w:rsid w:val="63583255"/>
    <w:rsid w:val="636702EF"/>
    <w:rsid w:val="637B7231"/>
    <w:rsid w:val="63887FBA"/>
    <w:rsid w:val="63C63E12"/>
    <w:rsid w:val="645318AE"/>
    <w:rsid w:val="64A07A63"/>
    <w:rsid w:val="66570776"/>
    <w:rsid w:val="67277FC8"/>
    <w:rsid w:val="675E7762"/>
    <w:rsid w:val="677423BE"/>
    <w:rsid w:val="67780823"/>
    <w:rsid w:val="681F306F"/>
    <w:rsid w:val="68F76BF9"/>
    <w:rsid w:val="69003642"/>
    <w:rsid w:val="69023952"/>
    <w:rsid w:val="690507DD"/>
    <w:rsid w:val="693E784B"/>
    <w:rsid w:val="6A276405"/>
    <w:rsid w:val="6A4964A7"/>
    <w:rsid w:val="6A54177C"/>
    <w:rsid w:val="6A9B0F82"/>
    <w:rsid w:val="6AAD4C88"/>
    <w:rsid w:val="6AB2229E"/>
    <w:rsid w:val="6C2152D1"/>
    <w:rsid w:val="6C376EFF"/>
    <w:rsid w:val="6C4D3CBC"/>
    <w:rsid w:val="6C9C16F7"/>
    <w:rsid w:val="6CEB6BE6"/>
    <w:rsid w:val="6CF51523"/>
    <w:rsid w:val="6D313FFB"/>
    <w:rsid w:val="6D8433DC"/>
    <w:rsid w:val="6DB41F36"/>
    <w:rsid w:val="6DC84384"/>
    <w:rsid w:val="6DCB032B"/>
    <w:rsid w:val="6DCB7370"/>
    <w:rsid w:val="6DDD7632"/>
    <w:rsid w:val="6E1A568D"/>
    <w:rsid w:val="6E2434B3"/>
    <w:rsid w:val="6E7206C2"/>
    <w:rsid w:val="6EEB1378"/>
    <w:rsid w:val="6F176B74"/>
    <w:rsid w:val="6F452281"/>
    <w:rsid w:val="6FEA4288"/>
    <w:rsid w:val="70AB3A18"/>
    <w:rsid w:val="70E1568B"/>
    <w:rsid w:val="710772AB"/>
    <w:rsid w:val="71B41B2B"/>
    <w:rsid w:val="725337DC"/>
    <w:rsid w:val="73601FA0"/>
    <w:rsid w:val="73B21561"/>
    <w:rsid w:val="73B250BD"/>
    <w:rsid w:val="73CF020B"/>
    <w:rsid w:val="75134281"/>
    <w:rsid w:val="75153A85"/>
    <w:rsid w:val="75273889"/>
    <w:rsid w:val="756B3942"/>
    <w:rsid w:val="757E7666"/>
    <w:rsid w:val="75E92403"/>
    <w:rsid w:val="76004806"/>
    <w:rsid w:val="7794726C"/>
    <w:rsid w:val="77B12371"/>
    <w:rsid w:val="78C10072"/>
    <w:rsid w:val="791D122B"/>
    <w:rsid w:val="793E07A1"/>
    <w:rsid w:val="79823784"/>
    <w:rsid w:val="798E5FD0"/>
    <w:rsid w:val="79996193"/>
    <w:rsid w:val="79A633BA"/>
    <w:rsid w:val="7A1E34AC"/>
    <w:rsid w:val="7A4D5B40"/>
    <w:rsid w:val="7ACF0EC2"/>
    <w:rsid w:val="7AD87AFF"/>
    <w:rsid w:val="7C1A7A83"/>
    <w:rsid w:val="7C803E87"/>
    <w:rsid w:val="7C9234C2"/>
    <w:rsid w:val="7CC71B9F"/>
    <w:rsid w:val="7D8F021D"/>
    <w:rsid w:val="7DBB54B6"/>
    <w:rsid w:val="7DD30A52"/>
    <w:rsid w:val="7DD87E16"/>
    <w:rsid w:val="7E576F8D"/>
    <w:rsid w:val="7F1B445E"/>
    <w:rsid w:val="7F3B6A95"/>
    <w:rsid w:val="7F8A2579"/>
    <w:rsid w:val="7FD91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2">
    <w:name w:val="Default Paragraph Font"/>
    <w:autoRedefine/>
    <w:semiHidden/>
    <w:unhideWhenUsed/>
    <w:qFormat/>
    <w:uiPriority w:val="1"/>
  </w:style>
  <w:style w:type="table" w:default="1" w:styleId="2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autoRedefine/>
    <w:qFormat/>
    <w:uiPriority w:val="0"/>
    <w:pPr>
      <w:widowControl/>
      <w:snapToGrid w:val="0"/>
      <w:spacing w:before="60" w:after="160" w:line="259" w:lineRule="auto"/>
      <w:ind w:right="113"/>
    </w:pPr>
    <w:rPr>
      <w:kern w:val="0"/>
      <w:sz w:val="18"/>
      <w:szCs w:val="20"/>
    </w:rPr>
  </w:style>
  <w:style w:type="paragraph" w:styleId="3">
    <w:name w:val="List Bullet 5"/>
    <w:basedOn w:val="1"/>
    <w:autoRedefine/>
    <w:qFormat/>
    <w:uiPriority w:val="0"/>
    <w:pPr>
      <w:numPr>
        <w:ilvl w:val="0"/>
        <w:numId w:val="1"/>
      </w:numPr>
    </w:pPr>
  </w:style>
  <w:style w:type="paragraph" w:styleId="4">
    <w:name w:val="Normal Indent"/>
    <w:basedOn w:val="1"/>
    <w:next w:val="5"/>
    <w:autoRedefine/>
    <w:qFormat/>
    <w:uiPriority w:val="0"/>
    <w:pPr>
      <w:ind w:firstLine="420"/>
    </w:pPr>
    <w:rPr>
      <w:kern w:val="0"/>
      <w:sz w:val="20"/>
      <w:szCs w:val="20"/>
    </w:rPr>
  </w:style>
  <w:style w:type="paragraph" w:customStyle="1" w:styleId="5">
    <w:name w:val="正文1"/>
    <w:autoRedefine/>
    <w:qFormat/>
    <w:uiPriority w:val="0"/>
    <w:pPr>
      <w:jc w:val="both"/>
    </w:pPr>
    <w:rPr>
      <w:rFonts w:ascii="Times New Roman" w:hAnsi="Times New Roman" w:eastAsia="宋体" w:cs="Times New Roman"/>
      <w:kern w:val="2"/>
      <w:sz w:val="21"/>
      <w:szCs w:val="21"/>
      <w:lang w:val="en-US" w:eastAsia="zh-CN" w:bidi="ar-SA"/>
    </w:rPr>
  </w:style>
  <w:style w:type="paragraph" w:styleId="6">
    <w:name w:val="toa heading"/>
    <w:basedOn w:val="1"/>
    <w:next w:val="1"/>
    <w:autoRedefine/>
    <w:unhideWhenUsed/>
    <w:qFormat/>
    <w:uiPriority w:val="0"/>
    <w:pPr>
      <w:tabs>
        <w:tab w:val="left" w:pos="0"/>
      </w:tabs>
      <w:spacing w:before="120"/>
      <w:ind w:left="6930" w:hanging="2310"/>
      <w:jc w:val="center"/>
    </w:pPr>
    <w:rPr>
      <w:rFonts w:ascii="Arial" w:hAnsi="Arial" w:cs="Arial"/>
      <w:b/>
    </w:rPr>
  </w:style>
  <w:style w:type="paragraph" w:styleId="7">
    <w:name w:val="annotation text"/>
    <w:basedOn w:val="1"/>
    <w:link w:val="51"/>
    <w:autoRedefine/>
    <w:semiHidden/>
    <w:qFormat/>
    <w:uiPriority w:val="0"/>
    <w:pPr>
      <w:jc w:val="left"/>
    </w:pPr>
    <w:rPr>
      <w:kern w:val="0"/>
      <w:sz w:val="24"/>
      <w:szCs w:val="20"/>
    </w:rPr>
  </w:style>
  <w:style w:type="paragraph" w:styleId="8">
    <w:name w:val="Body Text Indent"/>
    <w:basedOn w:val="1"/>
    <w:next w:val="4"/>
    <w:autoRedefine/>
    <w:qFormat/>
    <w:uiPriority w:val="0"/>
    <w:pPr>
      <w:spacing w:after="120"/>
      <w:ind w:left="420" w:leftChars="200"/>
    </w:pPr>
    <w:rPr>
      <w:kern w:val="0"/>
      <w:sz w:val="24"/>
      <w:szCs w:val="20"/>
    </w:rPr>
  </w:style>
  <w:style w:type="paragraph" w:styleId="9">
    <w:name w:val="footer"/>
    <w:basedOn w:val="1"/>
    <w:autoRedefine/>
    <w:qFormat/>
    <w:uiPriority w:val="99"/>
    <w:pPr>
      <w:snapToGrid w:val="0"/>
      <w:jc w:val="left"/>
    </w:pPr>
    <w:rPr>
      <w:kern w:val="0"/>
      <w:sz w:val="18"/>
      <w:szCs w:val="18"/>
    </w:rPr>
  </w:style>
  <w:style w:type="paragraph" w:styleId="10">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toc 1"/>
    <w:basedOn w:val="1"/>
    <w:next w:val="1"/>
    <w:autoRedefine/>
    <w:qFormat/>
    <w:uiPriority w:val="39"/>
  </w:style>
  <w:style w:type="paragraph" w:styleId="12">
    <w:name w:val="Body Text Indent 3"/>
    <w:basedOn w:val="1"/>
    <w:autoRedefine/>
    <w:qFormat/>
    <w:uiPriority w:val="0"/>
    <w:pPr>
      <w:spacing w:after="120"/>
      <w:ind w:left="420" w:leftChars="200"/>
    </w:pPr>
    <w:rPr>
      <w:sz w:val="16"/>
      <w:szCs w:val="16"/>
    </w:rPr>
  </w:style>
  <w:style w:type="paragraph" w:styleId="13">
    <w:name w:val="Normal (Web)"/>
    <w:basedOn w:val="1"/>
    <w:autoRedefine/>
    <w:qFormat/>
    <w:uiPriority w:val="0"/>
    <w:pPr>
      <w:widowControl/>
      <w:spacing w:before="100" w:beforeAutospacing="1" w:after="100" w:afterAutospacing="1"/>
      <w:jc w:val="left"/>
    </w:pPr>
    <w:rPr>
      <w:rFonts w:ascii="宋体" w:hAnsi="宋体"/>
      <w:kern w:val="0"/>
      <w:sz w:val="24"/>
      <w:szCs w:val="20"/>
    </w:rPr>
  </w:style>
  <w:style w:type="paragraph" w:styleId="14">
    <w:name w:val="annotation subject"/>
    <w:basedOn w:val="7"/>
    <w:next w:val="7"/>
    <w:link w:val="52"/>
    <w:autoRedefine/>
    <w:qFormat/>
    <w:uiPriority w:val="0"/>
    <w:rPr>
      <w:b/>
      <w:bCs/>
      <w:kern w:val="2"/>
      <w:sz w:val="21"/>
      <w:szCs w:val="24"/>
    </w:rPr>
  </w:style>
  <w:style w:type="paragraph" w:styleId="15">
    <w:name w:val="Body Text First Indent"/>
    <w:basedOn w:val="2"/>
    <w:next w:val="1"/>
    <w:autoRedefine/>
    <w:qFormat/>
    <w:uiPriority w:val="0"/>
    <w:pPr>
      <w:widowControl w:val="0"/>
      <w:snapToGrid/>
      <w:spacing w:before="0" w:after="120" w:line="240" w:lineRule="auto"/>
      <w:ind w:right="0" w:firstLine="420" w:firstLineChars="100"/>
    </w:pPr>
    <w:rPr>
      <w:kern w:val="2"/>
      <w:sz w:val="21"/>
    </w:rPr>
  </w:style>
  <w:style w:type="paragraph" w:styleId="16">
    <w:name w:val="Body Text First Indent 2"/>
    <w:basedOn w:val="8"/>
    <w:next w:val="17"/>
    <w:autoRedefine/>
    <w:qFormat/>
    <w:uiPriority w:val="0"/>
    <w:pPr>
      <w:ind w:firstLine="420" w:firstLineChars="200"/>
    </w:pPr>
    <w:rPr>
      <w:rFonts w:ascii="Calibri" w:hAnsi="Calibri"/>
      <w:sz w:val="21"/>
      <w:szCs w:val="22"/>
    </w:rPr>
  </w:style>
  <w:style w:type="paragraph" w:customStyle="1" w:styleId="17">
    <w:name w:val="Default"/>
    <w:basedOn w:val="18"/>
    <w:next w:val="16"/>
    <w:autoRedefine/>
    <w:qFormat/>
    <w:uiPriority w:val="0"/>
    <w:pPr>
      <w:autoSpaceDE w:val="0"/>
      <w:autoSpaceDN w:val="0"/>
      <w:adjustRightInd w:val="0"/>
    </w:pPr>
    <w:rPr>
      <w:rFonts w:ascii="宋体" w:eastAsia="宋体" w:cs="宋体"/>
      <w:color w:val="000000"/>
      <w:sz w:val="24"/>
    </w:rPr>
  </w:style>
  <w:style w:type="paragraph" w:customStyle="1" w:styleId="18">
    <w:name w:val="标题 段落4级"/>
    <w:basedOn w:val="19"/>
    <w:next w:val="7"/>
    <w:autoRedefine/>
    <w:qFormat/>
    <w:uiPriority w:val="0"/>
    <w:pPr>
      <w:outlineLvl w:val="3"/>
    </w:pPr>
    <w:rPr>
      <w:rFonts w:cs="Calibri"/>
      <w:b/>
    </w:rPr>
  </w:style>
  <w:style w:type="paragraph" w:customStyle="1" w:styleId="19">
    <w:name w:val="正文 文本"/>
    <w:autoRedefine/>
    <w:qFormat/>
    <w:uiPriority w:val="0"/>
    <w:pPr>
      <w:widowControl w:val="0"/>
      <w:snapToGrid w:val="0"/>
      <w:spacing w:line="500" w:lineRule="exact"/>
      <w:ind w:firstLine="200" w:firstLineChars="200"/>
      <w:jc w:val="both"/>
    </w:pPr>
    <w:rPr>
      <w:rFonts w:ascii="Times New Roman" w:hAnsi="Times New Roman" w:eastAsia="仿宋_GB2312" w:cs="Times New Roman"/>
      <w:kern w:val="2"/>
      <w:sz w:val="28"/>
      <w:szCs w:val="24"/>
      <w:lang w:val="en-US" w:eastAsia="zh-CN" w:bidi="ar-SA"/>
    </w:rPr>
  </w:style>
  <w:style w:type="table" w:styleId="21">
    <w:name w:val="Table Grid"/>
    <w:basedOn w:val="20"/>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basedOn w:val="22"/>
    <w:autoRedefine/>
    <w:qFormat/>
    <w:uiPriority w:val="99"/>
    <w:rPr>
      <w:color w:val="0000FF"/>
      <w:u w:val="single"/>
    </w:rPr>
  </w:style>
  <w:style w:type="character" w:styleId="24">
    <w:name w:val="annotation reference"/>
    <w:autoRedefine/>
    <w:semiHidden/>
    <w:qFormat/>
    <w:uiPriority w:val="0"/>
    <w:rPr>
      <w:sz w:val="21"/>
    </w:rPr>
  </w:style>
  <w:style w:type="paragraph" w:customStyle="1" w:styleId="25">
    <w:name w:val="xl27"/>
    <w:basedOn w:val="1"/>
    <w:autoRedefine/>
    <w:qFormat/>
    <w:uiPriority w:val="0"/>
    <w:pPr>
      <w:widowControl/>
      <w:pBdr>
        <w:bottom w:val="single" w:color="auto" w:sz="12" w:space="0"/>
      </w:pBdr>
      <w:spacing w:before="100" w:after="100"/>
      <w:jc w:val="center"/>
    </w:pPr>
    <w:rPr>
      <w:rFonts w:ascii="宋体" w:hAnsi="宋体"/>
      <w:kern w:val="0"/>
      <w:szCs w:val="20"/>
    </w:rPr>
  </w:style>
  <w:style w:type="paragraph" w:customStyle="1" w:styleId="26">
    <w:name w:val="纯文本1"/>
    <w:basedOn w:val="1"/>
    <w:autoRedefine/>
    <w:unhideWhenUsed/>
    <w:qFormat/>
    <w:uiPriority w:val="0"/>
    <w:pPr>
      <w:adjustRightInd w:val="0"/>
    </w:pPr>
    <w:rPr>
      <w:rFonts w:hint="eastAsia" w:ascii="宋体" w:hAnsi="Courier New"/>
      <w:sz w:val="24"/>
    </w:rPr>
  </w:style>
  <w:style w:type="paragraph" w:customStyle="1" w:styleId="27">
    <w:name w:val="3"/>
    <w:basedOn w:val="1"/>
    <w:autoRedefine/>
    <w:qFormat/>
    <w:uiPriority w:val="0"/>
    <w:pPr>
      <w:adjustRightInd w:val="0"/>
      <w:snapToGrid w:val="0"/>
      <w:jc w:val="center"/>
    </w:pPr>
    <w:rPr>
      <w:b/>
      <w:bCs/>
      <w:spacing w:val="-8"/>
      <w:szCs w:val="21"/>
    </w:rPr>
  </w:style>
  <w:style w:type="paragraph" w:customStyle="1" w:styleId="28">
    <w:name w:val="Table Paragraph"/>
    <w:basedOn w:val="1"/>
    <w:autoRedefine/>
    <w:qFormat/>
    <w:uiPriority w:val="1"/>
    <w:pPr>
      <w:jc w:val="left"/>
    </w:pPr>
    <w:rPr>
      <w:rFonts w:ascii="Calibri" w:hAnsi="Calibri"/>
      <w:kern w:val="0"/>
      <w:sz w:val="22"/>
      <w:szCs w:val="22"/>
      <w:lang w:eastAsia="en-US"/>
    </w:rPr>
  </w:style>
  <w:style w:type="paragraph" w:customStyle="1" w:styleId="29">
    <w:name w:val="表格内容"/>
    <w:basedOn w:val="1"/>
    <w:autoRedefine/>
    <w:qFormat/>
    <w:uiPriority w:val="99"/>
    <w:pPr>
      <w:overflowPunct w:val="0"/>
      <w:spacing w:line="240" w:lineRule="atLeast"/>
      <w:jc w:val="center"/>
      <w:textAlignment w:val="baseline"/>
    </w:pPr>
    <w:rPr>
      <w:color w:val="000000"/>
      <w:szCs w:val="21"/>
      <w:lang w:val="zh-CN"/>
    </w:rPr>
  </w:style>
  <w:style w:type="paragraph" w:customStyle="1" w:styleId="30">
    <w:name w:val="【正文】"/>
    <w:basedOn w:val="1"/>
    <w:autoRedefine/>
    <w:qFormat/>
    <w:uiPriority w:val="0"/>
    <w:pPr>
      <w:spacing w:line="440" w:lineRule="exact"/>
      <w:ind w:firstLine="544" w:firstLineChars="200"/>
    </w:pPr>
    <w:rPr>
      <w:sz w:val="24"/>
    </w:rPr>
  </w:style>
  <w:style w:type="paragraph" w:customStyle="1" w:styleId="31">
    <w:name w:val="1"/>
    <w:basedOn w:val="1"/>
    <w:autoRedefine/>
    <w:qFormat/>
    <w:uiPriority w:val="0"/>
    <w:pPr>
      <w:widowControl/>
      <w:snapToGrid w:val="0"/>
      <w:spacing w:line="360" w:lineRule="auto"/>
      <w:ind w:firstLine="720" w:firstLineChars="200"/>
    </w:pPr>
    <w:rPr>
      <w:kern w:val="0"/>
      <w:szCs w:val="20"/>
    </w:rPr>
  </w:style>
  <w:style w:type="paragraph" w:customStyle="1" w:styleId="32">
    <w:name w:val="表格"/>
    <w:basedOn w:val="1"/>
    <w:next w:val="1"/>
    <w:autoRedefine/>
    <w:qFormat/>
    <w:uiPriority w:val="0"/>
    <w:pPr>
      <w:adjustRightInd w:val="0"/>
      <w:snapToGrid w:val="0"/>
      <w:spacing w:beforeLines="10" w:afterLines="10" w:line="259" w:lineRule="auto"/>
      <w:jc w:val="center"/>
    </w:pPr>
    <w:rPr>
      <w:rFonts w:ascii="宋体"/>
      <w:kern w:val="0"/>
      <w:szCs w:val="20"/>
    </w:rPr>
  </w:style>
  <w:style w:type="paragraph" w:customStyle="1" w:styleId="33">
    <w:name w:val="表格或图"/>
    <w:basedOn w:val="1"/>
    <w:autoRedefine/>
    <w:unhideWhenUsed/>
    <w:qFormat/>
    <w:uiPriority w:val="0"/>
    <w:pPr>
      <w:jc w:val="center"/>
    </w:pPr>
    <w:rPr>
      <w:szCs w:val="32"/>
    </w:rPr>
  </w:style>
  <w:style w:type="paragraph" w:customStyle="1" w:styleId="34">
    <w:name w:val="表内加粗"/>
    <w:basedOn w:val="35"/>
    <w:autoRedefine/>
    <w:unhideWhenUsed/>
    <w:qFormat/>
    <w:uiPriority w:val="0"/>
    <w:rPr>
      <w:b/>
    </w:rPr>
  </w:style>
  <w:style w:type="paragraph" w:customStyle="1" w:styleId="35">
    <w:name w:val="表内正文"/>
    <w:basedOn w:val="15"/>
    <w:autoRedefine/>
    <w:unhideWhenUsed/>
    <w:qFormat/>
    <w:uiPriority w:val="0"/>
    <w:pPr>
      <w:spacing w:after="0" w:line="500" w:lineRule="exact"/>
      <w:ind w:firstLine="200" w:firstLineChars="200"/>
    </w:pPr>
    <w:rPr>
      <w:rFonts w:eastAsia="仿宋_GB2312"/>
      <w:kern w:val="44"/>
      <w:sz w:val="28"/>
      <w:szCs w:val="24"/>
    </w:rPr>
  </w:style>
  <w:style w:type="paragraph" w:customStyle="1" w:styleId="36">
    <w:name w:val="报告表正文"/>
    <w:basedOn w:val="37"/>
    <w:autoRedefine/>
    <w:unhideWhenUsed/>
    <w:qFormat/>
    <w:uiPriority w:val="0"/>
    <w:pPr>
      <w:ind w:firstLine="200" w:firstLineChars="200"/>
      <w:jc w:val="left"/>
    </w:pPr>
    <w:rPr>
      <w:rFonts w:hint="default" w:ascii="Times New Roman" w:hAnsi="Times New Roman" w:eastAsia="仿宋_GB2312"/>
      <w:szCs w:val="24"/>
    </w:rPr>
  </w:style>
  <w:style w:type="paragraph" w:customStyle="1" w:styleId="37">
    <w:name w:val="列表1"/>
    <w:basedOn w:val="1"/>
    <w:autoRedefine/>
    <w:unhideWhenUsed/>
    <w:qFormat/>
    <w:uiPriority w:val="0"/>
    <w:pPr>
      <w:spacing w:line="400" w:lineRule="exact"/>
      <w:jc w:val="center"/>
    </w:pPr>
    <w:rPr>
      <w:rFonts w:hint="eastAsia" w:ascii="宋体" w:hAnsi="宋体"/>
      <w:sz w:val="24"/>
      <w:szCs w:val="20"/>
    </w:rPr>
  </w:style>
  <w:style w:type="paragraph" w:customStyle="1" w:styleId="38">
    <w:name w:val="表格标题"/>
    <w:basedOn w:val="37"/>
    <w:autoRedefine/>
    <w:unhideWhenUsed/>
    <w:qFormat/>
    <w:uiPriority w:val="0"/>
    <w:pPr>
      <w:spacing w:line="360" w:lineRule="auto"/>
    </w:pPr>
    <w:rPr>
      <w:rFonts w:hint="default"/>
      <w:b/>
      <w:szCs w:val="24"/>
    </w:rPr>
  </w:style>
  <w:style w:type="paragraph" w:customStyle="1" w:styleId="39">
    <w:name w:val="表头"/>
    <w:basedOn w:val="40"/>
    <w:next w:val="1"/>
    <w:autoRedefine/>
    <w:unhideWhenUsed/>
    <w:qFormat/>
    <w:uiPriority w:val="0"/>
    <w:pPr>
      <w:spacing w:line="240" w:lineRule="auto"/>
      <w:ind w:firstLine="0"/>
      <w:jc w:val="center"/>
    </w:pPr>
    <w:rPr>
      <w:rFonts w:ascii="Times New Roman" w:eastAsia="仿宋_GB2312"/>
      <w:b/>
      <w:szCs w:val="24"/>
    </w:rPr>
  </w:style>
  <w:style w:type="paragraph" w:customStyle="1" w:styleId="40">
    <w:name w:val="文本"/>
    <w:basedOn w:val="4"/>
    <w:autoRedefine/>
    <w:qFormat/>
    <w:uiPriority w:val="0"/>
    <w:pPr>
      <w:widowControl/>
      <w:spacing w:line="480" w:lineRule="exact"/>
      <w:ind w:firstLine="480" w:firstLineChars="200"/>
      <w:jc w:val="left"/>
    </w:pPr>
    <w:rPr>
      <w:rFonts w:ascii="宋体"/>
      <w:sz w:val="24"/>
    </w:rPr>
  </w:style>
  <w:style w:type="paragraph" w:customStyle="1" w:styleId="41">
    <w:name w:val="表格文字"/>
    <w:basedOn w:val="1"/>
    <w:next w:val="1"/>
    <w:autoRedefine/>
    <w:qFormat/>
    <w:uiPriority w:val="0"/>
    <w:pPr>
      <w:textAlignment w:val="center"/>
    </w:pPr>
    <w:rPr>
      <w:kern w:val="0"/>
      <w:sz w:val="24"/>
      <w:szCs w:val="20"/>
    </w:rPr>
  </w:style>
  <w:style w:type="paragraph" w:customStyle="1" w:styleId="42">
    <w:name w:val="List Paragraph2"/>
    <w:basedOn w:val="1"/>
    <w:autoRedefine/>
    <w:qFormat/>
    <w:uiPriority w:val="0"/>
    <w:pPr>
      <w:ind w:firstLine="420" w:firstLineChars="200"/>
    </w:pPr>
  </w:style>
  <w:style w:type="paragraph" w:customStyle="1" w:styleId="43">
    <w:name w:val="谏壁正文chen"/>
    <w:autoRedefine/>
    <w:unhideWhenUsed/>
    <w:qFormat/>
    <w:uiPriority w:val="99"/>
    <w:pPr>
      <w:widowControl w:val="0"/>
      <w:spacing w:line="360" w:lineRule="auto"/>
      <w:ind w:firstLine="200" w:firstLineChars="200"/>
      <w:jc w:val="both"/>
    </w:pPr>
    <w:rPr>
      <w:rFonts w:hint="eastAsia" w:ascii="Times New Roman" w:hAnsi="Times New Roman" w:eastAsia="Times New Roman" w:cs="Times New Roman"/>
      <w:kern w:val="2"/>
      <w:sz w:val="24"/>
      <w:szCs w:val="24"/>
      <w:lang w:val="en-US" w:eastAsia="zh-CN" w:bidi="ar-SA"/>
    </w:rPr>
  </w:style>
  <w:style w:type="paragraph" w:customStyle="1" w:styleId="44">
    <w:name w:val="B正文"/>
    <w:basedOn w:val="1"/>
    <w:autoRedefine/>
    <w:qFormat/>
    <w:uiPriority w:val="0"/>
    <w:pPr>
      <w:spacing w:line="360" w:lineRule="auto"/>
      <w:ind w:firstLine="200" w:firstLineChars="200"/>
    </w:pPr>
    <w:rPr>
      <w:kern w:val="0"/>
      <w:sz w:val="24"/>
    </w:rPr>
  </w:style>
  <w:style w:type="paragraph" w:customStyle="1" w:styleId="45">
    <w:name w:val="01正文"/>
    <w:basedOn w:val="1"/>
    <w:autoRedefine/>
    <w:qFormat/>
    <w:uiPriority w:val="0"/>
    <w:pPr>
      <w:autoSpaceDE w:val="0"/>
      <w:autoSpaceDN w:val="0"/>
      <w:adjustRightInd w:val="0"/>
      <w:snapToGrid w:val="0"/>
      <w:spacing w:line="360" w:lineRule="auto"/>
      <w:ind w:firstLine="480" w:firstLineChars="200"/>
    </w:pPr>
    <w:rPr>
      <w:sz w:val="24"/>
      <w:lang w:val="zh-CN"/>
    </w:rPr>
  </w:style>
  <w:style w:type="paragraph" w:customStyle="1" w:styleId="46">
    <w:name w:val="Other|1"/>
    <w:basedOn w:val="1"/>
    <w:autoRedefine/>
    <w:qFormat/>
    <w:uiPriority w:val="0"/>
    <w:rPr>
      <w:rFonts w:ascii="MingLiU" w:hAnsi="MingLiU" w:eastAsia="MingLiU" w:cs="MingLiU"/>
      <w:sz w:val="20"/>
      <w:szCs w:val="20"/>
      <w:lang w:val="zh-TW" w:eastAsia="zh-TW" w:bidi="zh-TW"/>
    </w:rPr>
  </w:style>
  <w:style w:type="paragraph" w:customStyle="1" w:styleId="47">
    <w:name w:val="表头4"/>
    <w:basedOn w:val="1"/>
    <w:autoRedefine/>
    <w:qFormat/>
    <w:uiPriority w:val="0"/>
    <w:pPr>
      <w:widowControl/>
      <w:snapToGrid w:val="0"/>
      <w:ind w:left="200" w:leftChars="200"/>
      <w:jc w:val="center"/>
    </w:pPr>
    <w:rPr>
      <w:rFonts w:hint="eastAsia"/>
      <w:b/>
      <w:kern w:val="0"/>
      <w:szCs w:val="20"/>
    </w:rPr>
  </w:style>
  <w:style w:type="paragraph" w:customStyle="1" w:styleId="48">
    <w:name w:val="Default1"/>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49">
    <w:name w:val="Table Text"/>
    <w:basedOn w:val="1"/>
    <w:autoRedefine/>
    <w:qFormat/>
    <w:uiPriority w:val="0"/>
    <w:pPr>
      <w:spacing w:before="30" w:after="30"/>
    </w:pPr>
    <w:rPr>
      <w:rFonts w:ascii="Arial" w:hAnsi="Arial"/>
      <w:snapToGrid w:val="0"/>
      <w:kern w:val="0"/>
      <w:sz w:val="16"/>
      <w:szCs w:val="20"/>
      <w:lang w:eastAsia="en-US"/>
    </w:rPr>
  </w:style>
  <w:style w:type="table" w:customStyle="1" w:styleId="50">
    <w:name w:val="Table Normal"/>
    <w:autoRedefine/>
    <w:semiHidden/>
    <w:unhideWhenUsed/>
    <w:qFormat/>
    <w:uiPriority w:val="0"/>
    <w:tblPr>
      <w:tblCellMar>
        <w:top w:w="0" w:type="dxa"/>
        <w:left w:w="0" w:type="dxa"/>
        <w:bottom w:w="0" w:type="dxa"/>
        <w:right w:w="0" w:type="dxa"/>
      </w:tblCellMar>
    </w:tblPr>
  </w:style>
  <w:style w:type="character" w:customStyle="1" w:styleId="51">
    <w:name w:val="批注文字 字符"/>
    <w:basedOn w:val="22"/>
    <w:link w:val="7"/>
    <w:autoRedefine/>
    <w:semiHidden/>
    <w:qFormat/>
    <w:uiPriority w:val="0"/>
    <w:rPr>
      <w:sz w:val="24"/>
    </w:rPr>
  </w:style>
  <w:style w:type="character" w:customStyle="1" w:styleId="52">
    <w:name w:val="批注主题 字符"/>
    <w:basedOn w:val="51"/>
    <w:link w:val="14"/>
    <w:autoRedefine/>
    <w:qFormat/>
    <w:uiPriority w:val="0"/>
    <w:rPr>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14.png"/><Relationship Id="rId23" Type="http://schemas.openxmlformats.org/officeDocument/2006/relationships/image" Target="media/image13.wmf"/><Relationship Id="rId22" Type="http://schemas.openxmlformats.org/officeDocument/2006/relationships/image" Target="media/image12.wmf"/><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emf"/><Relationship Id="rId18" Type="http://schemas.openxmlformats.org/officeDocument/2006/relationships/oleObject" Target="embeddings/oleObject3.bin"/><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emf"/><Relationship Id="rId11" Type="http://schemas.openxmlformats.org/officeDocument/2006/relationships/oleObject" Target="embeddings/oleObject2.bin"/><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103</Pages>
  <Words>23466</Words>
  <Characters>25079</Characters>
  <Lines>588</Lines>
  <Paragraphs>165</Paragraphs>
  <TotalTime>28</TotalTime>
  <ScaleCrop>false</ScaleCrop>
  <LinksUpToDate>false</LinksUpToDate>
  <CharactersWithSpaces>25158</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2024-09-24T01:09:00Z</dcterms:created>
  <dc:creator>蛇蛇</dc:creator>
  <cp:lastModifiedBy>   小  Mi.</cp:lastModifiedBy>
  <cp:lastPrinted>2025-01-21T07:59:00Z</cp:lastPrinted>
  <dcterms:modified xsi:type="dcterms:W3CDTF">2025-02-21T01:30:20Z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1AED6B71F0A14B118D3EF55FF57A219F_13</vt:lpwstr>
  </property>
</Properties>
</file>