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B7A3C">
      <w:pPr>
        <w:widowControl/>
        <w:spacing w:line="560" w:lineRule="exact"/>
        <w:jc w:val="center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关于推进科技创新引领高质量发展的</w:t>
      </w:r>
    </w:p>
    <w:p w14:paraId="3FEA1AD0">
      <w:pPr>
        <w:overflowPunct w:val="0"/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若 干 政 策</w:t>
      </w:r>
    </w:p>
    <w:p w14:paraId="02A7DD61">
      <w:pPr>
        <w:widowControl/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（征求意见稿）</w:t>
      </w:r>
      <w:bookmarkStart w:id="0" w:name="_GoBack"/>
      <w:bookmarkEnd w:id="0"/>
    </w:p>
    <w:p w14:paraId="7516467D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为深入贯彻习近平新时代中国特色社会主义思想，贯彻党的二十大和二十届三中全会精神，落实国家和省、市关于科技创新的有关政策要求，全面聚焦我区“双百”建设，提升自主创新能力，加速培育和发展新质生产力，结合我区实际情况，特制定本政策。</w:t>
      </w:r>
    </w:p>
    <w:p w14:paraId="6123362E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培优</w:t>
      </w:r>
      <w:r>
        <w:rPr>
          <w:rFonts w:ascii="Times New Roman" w:hAnsi="Times New Roman" w:eastAsia="方正黑体_GBK" w:cs="Times New Roman"/>
          <w:color w:val="auto"/>
          <w:sz w:val="32"/>
          <w:szCs w:val="32"/>
          <w:lang w:eastAsia="zh-CN"/>
        </w:rPr>
        <w:t>育强科技创新主体</w:t>
      </w:r>
    </w:p>
    <w:p w14:paraId="5547E560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 xml:space="preserve">1. 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推动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企业加大创新投入。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符合研发费用申报条件的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企业研发费用总量及增量分级分档给予基础补贴和增量补贴，分别最高补贴80万元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企业在建设期内被列入规模以上统计的，当年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按研发支出一定比例给予奖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鼓励企业建立研发准备金制度，开展研发管理规范化建设，对通过省研发管理体系贯标的企业给予最高10万元补贴。对申请省科技创新券补贴的企业按照省定比例进行配套补贴，对提供科研设施与仪器等科技资源开放共享服务的服务机构，根据绩效择优给予补贴。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（责任单位：区科技局、区财政局、区统计局、区税务局）</w:t>
      </w:r>
    </w:p>
    <w:p w14:paraId="125D41CF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2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drawing>
          <wp:inline distT="0" distB="0" distL="0" distR="0">
            <wp:extent cx="29845" cy="22225"/>
            <wp:effectExtent l="0" t="0" r="8255" b="635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14" cy="2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加强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科技企业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梯次培育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首次认定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高新技术企业，最高奖励50万元；重新认定的，最高奖励25万元。市高新技术企业培育库入库企业，最高奖励5万元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对入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科技型中小企业评价库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的企业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最高奖励0.2万元。首次认定的省创新型领军企业、技术先进型服务企业、研发型企业最高奖励100万元。新获批的国家、省技术创新示范企业，分别最高奖励100万元、50万元。首次入选省瞪羚企业、潜在独角兽企业、独角兽企业，按照其上年度研发投入规模，分别最高奖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100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万元、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2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00万元、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4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00万元。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（责任单位：区科技局、区工信局）</w:t>
      </w:r>
    </w:p>
    <w:p w14:paraId="0A971EB9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3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drawing>
          <wp:inline distT="0" distB="0" distL="0" distR="0">
            <wp:extent cx="38735" cy="22225"/>
            <wp:effectExtent l="0" t="0" r="18415" b="635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7" cy="2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强化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科技项目招引。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对创新创业大赛获奖项目并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来淮创业的企业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，符合“淮上英才计划”支持条件的，直接立项，最高补贴500万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元。区财政在此基础上，第一年最高补贴20万元、第二年最高补贴20万元、第三年最高补贴10万元。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对在建设期内通过市竣工考核验收的亿元以下科技型企业或符合市“淮上英才计划”创业类项目申报条件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且实际运营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的企业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最高享受3000平方米创业场地或每年最高补贴15万元，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最高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期限为3年（36个月）。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区委人才办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、区科技局、区财政局、区国资办）</w:t>
      </w:r>
    </w:p>
    <w:p w14:paraId="39B14BD2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统筹建设创新平台载体</w:t>
      </w:r>
    </w:p>
    <w:p w14:paraId="774E842F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4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drawing>
          <wp:inline distT="0" distB="0" distL="0" distR="0">
            <wp:extent cx="30480" cy="22225"/>
            <wp:effectExtent l="0" t="0" r="7620" b="635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21" cy="2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构建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科技创新载体。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新获批的全国重点实验室、省重点实验室（省工程技术联合实验室）分别奖励500万元、200万元。新建的国家、省重大科研设施分别奖励1000万元、500万元。新获批的国家、省技术创新中心（产业创新中心、制造业创新中心）分别奖励500万元、200万元。新获批的省级院士工作站奖励100万元。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区发改委、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区科技局、区工信局）</w:t>
      </w:r>
    </w:p>
    <w:p w14:paraId="0A7A39A8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5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drawing>
          <wp:inline distT="0" distB="0" distL="0" distR="0">
            <wp:extent cx="37465" cy="22225"/>
            <wp:effectExtent l="0" t="0" r="635" b="635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93" cy="2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建立新型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研发机构。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新获批的国家、省工程技术研究中心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（企业技术中心、工程研究中心）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分别最高奖励200万元、30万元。大院名校与我区共建新型研发机构的，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根据实际情况给予相应支持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。企业与大院名校共建市场化新型研发机构的，最高补贴200万元。对绩效评价优秀的新型研发机构最高补贴50万元；对获得省绩效评价奖补的按1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1配套最高补贴100万元。与江苏省产业技术研究院共建专业研究所的，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根据实际情况给予相应支持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；共建企业联合创新中心的，最高补贴50万元。新获批的国家级博士后科研工作站、省级博士后创新实践基地分别最高奖励50万元、30万元。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（责任单位：区发改委、区科技局、区工信局、区人社局）</w:t>
      </w:r>
    </w:p>
    <w:p w14:paraId="1C40CF66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6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drawing>
          <wp:inline distT="0" distB="0" distL="0" distR="0">
            <wp:extent cx="31115" cy="22225"/>
            <wp:effectExtent l="0" t="0" r="6985" b="635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9" cy="2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打造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创新生态系统。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新认定的国家级、省级科技企业孵化器（加速器），分别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最高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奖励100万元、60万元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新备案的国家级、省级众创空间（星创天地），分别奖励50万元、30万元。新认定的国家火炬特色产业基地、软件产业基地、双创基地，分别奖励100万元。对绩效评价优秀或入选省标杆科技企业孵化器的，最高奖励50万元。新建离岸孵化器（科创飞地）的，最高补贴30万元，并同等享受科创载体相关奖励政策。对获批建设国际科技创新合作载体的，最高奖励50万元。对新认定的省外国专家工作室，奖励10万元；对建设期满后绩效考核优秀的，补贴20万元。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（责任单位：区科技局、区工信局、区发改委）</w:t>
      </w:r>
    </w:p>
    <w:p w14:paraId="584A8234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助力推动</w:t>
      </w:r>
      <w:r>
        <w:rPr>
          <w:rFonts w:ascii="Times New Roman" w:hAnsi="Times New Roman" w:eastAsia="方正黑体_GBK" w:cs="Times New Roman"/>
          <w:color w:val="auto"/>
          <w:sz w:val="32"/>
          <w:szCs w:val="32"/>
          <w:lang w:eastAsia="zh-CN"/>
        </w:rPr>
        <w:t>科技成果转化</w:t>
      </w:r>
    </w:p>
    <w:p w14:paraId="509708D7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7. 提升基础研究和应用基础研究能力。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对新获批的国家自然科学基金中杰出青年科学基金项目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优秀青年科学基金项目、面上项目分别最高配套支持60万元、30万元、10万元；对新获批的省基础研究专项资金（自然科学基金）中攀登项目、杰出青年基金项目、优秀青年基金项目分别最高配套支持60万元、30万元、10万元。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（责任单位：区科技局、区财政局、区人社局）</w:t>
      </w:r>
    </w:p>
    <w:p w14:paraId="28CF29B9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 xml:space="preserve">8. 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布局支持中试平台建设</w:t>
      </w:r>
      <w:r>
        <w:rPr>
          <w:rFonts w:hint="eastAsia" w:ascii="Times New Roman" w:hAnsi="Times New Roman" w:eastAsia="方正楷体_GBK" w:cs="Times New Roman"/>
          <w:snapToGrid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对符合“3+X”产业体系的新一代信息技术、新型装备制造、新能源等制造业中试平台，视其工作绩效，最高享受5000平方米满足入住条件的场地或每年最高补贴100万元，期限为3年（36个月）。新获批的省级中试平台，奖励100万元。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（责任单位：区科技局、区工信局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、区财政局、区国资办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</w:p>
    <w:p w14:paraId="5EFAA6D8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华文楷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9. 加速科研成果转移转化。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新获批的省级概念验证中心、科技公共服务平台，分别奖励50万元。获得省级首台（套）重大装备认定的，奖励50万元。认定为制造业创新产品且首购首用的，根据购买金额和保险费用给予一定补贴。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支持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技术转移机构，视其工作绩效，最高补贴50万元。加大技术转移奖补力度，对技术交易输出（入）方、技术转移服务机构、技术经理人、技术合同登记机构等给予补贴支持。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（责任单位：区科技局、区工信局）</w:t>
      </w:r>
    </w:p>
    <w:p w14:paraId="0F3AF85F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 xml:space="preserve">10. 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激发知识产权创造活力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对获得国家知识产权示范企业、优势企业的，分别最高奖励50万元、20万元。对获得发明专利授权的第一发明人，给予适当奖励。对获得知识产权合规管理省级绩效评价认定的，最高奖励5万元。对获得省战推项目立项的，最高奖励20万元。对行政认定为中国驰名商标的，最高奖励20万元。支持知识产权运营机构发展，鼓励社会力量搭建综合性知识产权运营平台。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（责任单位：区市场监管局）</w:t>
      </w:r>
    </w:p>
    <w:p w14:paraId="39F56FCF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鼓励</w:t>
      </w:r>
      <w:r>
        <w:rPr>
          <w:rFonts w:ascii="Times New Roman" w:hAnsi="Times New Roman" w:eastAsia="方正黑体_GBK" w:cs="Times New Roman"/>
          <w:color w:val="auto"/>
          <w:sz w:val="32"/>
          <w:szCs w:val="32"/>
          <w:lang w:eastAsia="zh-CN"/>
        </w:rPr>
        <w:t>促进高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端</w:t>
      </w:r>
      <w:r>
        <w:rPr>
          <w:rFonts w:ascii="Times New Roman" w:hAnsi="Times New Roman" w:eastAsia="方正黑体_GBK" w:cs="Times New Roman"/>
          <w:color w:val="auto"/>
          <w:sz w:val="32"/>
          <w:szCs w:val="32"/>
          <w:lang w:eastAsia="zh-CN"/>
        </w:rPr>
        <w:t>人才集聚</w:t>
      </w:r>
    </w:p>
    <w:p w14:paraId="3017B46F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11. 定向招引尖端人才。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获得省项目资助的顶尖人才（团队），最高补贴1000万元，特别急需的尖端人才（团队），最高综合资助1亿元。对入选国家重点人才项目、省“双创人才（团队）”计划的，按照国家、省资助额度给予人才（团队）配套补贴。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区委人才办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、区科技局、区工信局、区人社局）</w:t>
      </w:r>
    </w:p>
    <w:p w14:paraId="27F493D3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12. 聚焦引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进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领军人才。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聚焦主导产业发展和未来产业领域，大力引进掌握核心技术和知识产权的创新创业领军人才（团队），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择优推荐申报市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“淮上英才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计划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”创新创业领军人才专项。对符合条件的创业领军人才（团队），根据团队规模、项目投入、产业化进程等综合情况分A、B、C三档资助，分别给予500万元、200万元、100万元的科研经费支持；对符合条件的创新领军人才（团队），根据薪酬水平、项目投入、成果转化等综合情况分A、B、C三档资助，分别给予300万元、100万元、50万元的科研经费支持。以上人才（团队）可同步享受安居保障政策支持。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区委人才办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、区科技局）</w:t>
      </w:r>
    </w:p>
    <w:p w14:paraId="5E3B8C1C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13. 创新人才引进路径。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依托欧美同学会（留学人员联谊会）、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海外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人才协会等，加强与海外高校、猎头机构等合作，推动设立人才服务点，选聘一批有人才工作经验的骨干驻外开展人才联系对接工作，采取后补助方式择优予以一定经费支持。支持国际科技组织、高端猎头公司、风险投资机构等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视其工作绩效，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对引才荐才成效显著的给予奖励。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区委人才办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区侨办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、区科技局、区人社局、区科协、区外办）</w:t>
      </w:r>
    </w:p>
    <w:p w14:paraId="10339762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支持完善科技创新服务</w:t>
      </w:r>
    </w:p>
    <w:p w14:paraId="7A3594BC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14. 搭建科技投融资体系。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区政府设立3亿元投资基金，围绕我区战略性新兴产业集群建设和未来产业布局，聚焦“投科技、投创新、投效益”，按照“政府引导、市场运作、科学决策、防范风险”的原则运作，通过参股或合伙等方式与社会资本合作设立市场化子基金进行投资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主要用于支持需要基金投资额不超过1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000万元的初创型科技企业和科技领军人才项目，着力培育一批具有潜在竞争力的科技型中小企业。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（责任单位：区财政局、区科技局、区工信局、区发改委、区国资办）</w:t>
      </w:r>
    </w:p>
    <w:p w14:paraId="1945F94B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15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drawing>
          <wp:inline distT="0" distB="0" distL="0" distR="0">
            <wp:extent cx="34925" cy="22225"/>
            <wp:effectExtent l="0" t="0" r="3175" b="635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9" cy="2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 xml:space="preserve"> 拓展科技金融贷保业务。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对符合“淮科贷”条件的企业开展贴息贴保，按照分类分别最高补贴20万元、10万元。鼓励银行机构向科技型企业发放以知识产权为质押的中长期贷款，对符合条件的企业贷款给予贴息和风险补偿。对符合“淮科保”条件的企业，最高补贴20万元。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（责任单位：区科技局、区财政局、区市场监管局、区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政府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办）</w:t>
      </w:r>
    </w:p>
    <w:p w14:paraId="60F4283B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lang w:eastAsia="zh-CN"/>
        </w:rPr>
        <w:t>六、厚植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营造全社会创新氛围</w:t>
      </w:r>
    </w:p>
    <w:p w14:paraId="585C07E1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 xml:space="preserve">16. 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强化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科技创新奖励力度。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对以第一完成单位获得国家科学技术奖（国家自然科学奖、国家技术发明奖、国家科学技术进步奖）特等奖、一等奖、二等奖的，分别奖励500万元、300万元、200万元。对以第一完成单位获得江苏省科学技术奖一等奖、二等奖、三等奖的，分别奖励100万元、50万元、20万元。对获得国家、省友谊奖的分别奖励30万元、10万元。对获得省企业技术创新奖的奖励50万元。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lang w:eastAsia="zh-CN"/>
        </w:rPr>
        <w:t>（责任单位：区科技局、区财政局、区科协）</w:t>
      </w:r>
    </w:p>
    <w:p w14:paraId="25E4AB52">
      <w:pPr>
        <w:pStyle w:val="3"/>
        <w:widowControl w:val="0"/>
        <w:kinsoku/>
        <w:overflowPunct w:val="0"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lang w:eastAsia="zh-CN"/>
        </w:rPr>
        <w:t>同一事项涉及多项奖补政策的，按就高原则兑现，不重复奖补。奖补事项涉及多个部门的，由区牵头部门负责商区财政局研究落实措施。原有政策中奖补政策与本政策不一致的，以本政策为准。具体奖补金额以当年申报指南为准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由区财政列支的奖补事项，原则上统筹考量受奖补主体在获奖补期内工作绩效。</w:t>
      </w:r>
    </w:p>
    <w:p w14:paraId="76129B36">
      <w:pPr>
        <w:pStyle w:val="3"/>
        <w:widowControl w:val="0"/>
        <w:kinsoku/>
        <w:overflowPunct w:val="0"/>
        <w:spacing w:line="560" w:lineRule="exact"/>
        <w:ind w:firstLine="664" w:firstLineChars="200"/>
        <w:jc w:val="both"/>
        <w:rPr>
          <w:lang w:eastAsia="zh-CN"/>
        </w:rPr>
      </w:pPr>
      <w:r>
        <w:rPr>
          <w:rFonts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以上政策自</w:t>
      </w: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印发之日</w:t>
      </w:r>
      <w:r>
        <w:rPr>
          <w:rFonts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起实施，有效期至2026年12月31日</w:t>
      </w: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，适用于2</w:t>
      </w:r>
      <w:r>
        <w:rPr>
          <w:rFonts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024</w:t>
      </w: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年1月1日起符合政策条件的企业。</w:t>
      </w:r>
    </w:p>
    <w:sectPr>
      <w:footerReference r:id="rId3" w:type="default"/>
      <w:pgSz w:w="11905" w:h="16838"/>
      <w:pgMar w:top="1984" w:right="1701" w:bottom="1701" w:left="1701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07E5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-3810</wp:posOffset>
              </wp:positionV>
              <wp:extent cx="1828800" cy="1828800"/>
              <wp:effectExtent l="0" t="0" r="0" b="952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0789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3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CLNmWdjqneUR&#10;Oirm7eoYIGCnaxSlV2LQCtPWdWZ4GXGc/9x3UY9/g+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+Ni+4dMAAAAGAQAADwAAAAAAAAABACAAAAAiAAAAZHJzL2Rvd25yZXYueG1sUEsBAhQAFAAAAAgA&#10;h07iQIzXDnwqAgAAVQQAAA4AAAAAAAAAAQAgAAAAIg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10789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ZjU4YTM0ZWY3NjExOTAxMGZmMWU4YWQ2ZGFmMWYifQ=="/>
  </w:docVars>
  <w:rsids>
    <w:rsidRoot w:val="152C49D0"/>
    <w:rsid w:val="00046D2E"/>
    <w:rsid w:val="00047C18"/>
    <w:rsid w:val="0007654A"/>
    <w:rsid w:val="000B3374"/>
    <w:rsid w:val="002951B6"/>
    <w:rsid w:val="002C01FC"/>
    <w:rsid w:val="00375B8A"/>
    <w:rsid w:val="003F4CA8"/>
    <w:rsid w:val="00436416"/>
    <w:rsid w:val="004573C4"/>
    <w:rsid w:val="00496ED2"/>
    <w:rsid w:val="004B46A6"/>
    <w:rsid w:val="00510E5B"/>
    <w:rsid w:val="0054534D"/>
    <w:rsid w:val="006C2A2C"/>
    <w:rsid w:val="00752B22"/>
    <w:rsid w:val="00785D0E"/>
    <w:rsid w:val="007B7BE3"/>
    <w:rsid w:val="007E25F4"/>
    <w:rsid w:val="008E7880"/>
    <w:rsid w:val="009405F2"/>
    <w:rsid w:val="0097507B"/>
    <w:rsid w:val="009D045F"/>
    <w:rsid w:val="00A051A9"/>
    <w:rsid w:val="00A63964"/>
    <w:rsid w:val="00A73068"/>
    <w:rsid w:val="00B4467A"/>
    <w:rsid w:val="00BC0EAB"/>
    <w:rsid w:val="00BD5E60"/>
    <w:rsid w:val="00C1281E"/>
    <w:rsid w:val="00C33168"/>
    <w:rsid w:val="00C669A6"/>
    <w:rsid w:val="00CB7885"/>
    <w:rsid w:val="00D53094"/>
    <w:rsid w:val="00D66E37"/>
    <w:rsid w:val="00E343FC"/>
    <w:rsid w:val="00EB5337"/>
    <w:rsid w:val="00F3466F"/>
    <w:rsid w:val="00F42875"/>
    <w:rsid w:val="00F640B5"/>
    <w:rsid w:val="012A0DD6"/>
    <w:rsid w:val="01E943A0"/>
    <w:rsid w:val="03C76CD0"/>
    <w:rsid w:val="09001D6C"/>
    <w:rsid w:val="11100165"/>
    <w:rsid w:val="127A580F"/>
    <w:rsid w:val="12CF6B79"/>
    <w:rsid w:val="12E361DD"/>
    <w:rsid w:val="152C49D0"/>
    <w:rsid w:val="1A2C0FB5"/>
    <w:rsid w:val="1FE65F6B"/>
    <w:rsid w:val="27F86B7B"/>
    <w:rsid w:val="29BB5D72"/>
    <w:rsid w:val="2A4E38DA"/>
    <w:rsid w:val="2D64558D"/>
    <w:rsid w:val="2EAC22EC"/>
    <w:rsid w:val="2ED1017B"/>
    <w:rsid w:val="30096F57"/>
    <w:rsid w:val="30F63716"/>
    <w:rsid w:val="341E030F"/>
    <w:rsid w:val="35521E85"/>
    <w:rsid w:val="38C728B3"/>
    <w:rsid w:val="3B863C2B"/>
    <w:rsid w:val="3EFB107A"/>
    <w:rsid w:val="3FC56F60"/>
    <w:rsid w:val="46022E6A"/>
    <w:rsid w:val="465D0485"/>
    <w:rsid w:val="46830184"/>
    <w:rsid w:val="4A8A42D6"/>
    <w:rsid w:val="4DAB7FB5"/>
    <w:rsid w:val="4E7C7437"/>
    <w:rsid w:val="507C2604"/>
    <w:rsid w:val="560C0243"/>
    <w:rsid w:val="57C15284"/>
    <w:rsid w:val="5B1B3E4B"/>
    <w:rsid w:val="5D50775E"/>
    <w:rsid w:val="61657EF1"/>
    <w:rsid w:val="62AD7971"/>
    <w:rsid w:val="664A2078"/>
    <w:rsid w:val="66FE6B1C"/>
    <w:rsid w:val="67F772AC"/>
    <w:rsid w:val="69510AFE"/>
    <w:rsid w:val="69D02895"/>
    <w:rsid w:val="6D447634"/>
    <w:rsid w:val="727B566C"/>
    <w:rsid w:val="75671FF3"/>
    <w:rsid w:val="767F155E"/>
    <w:rsid w:val="78A2537A"/>
    <w:rsid w:val="78C072F9"/>
    <w:rsid w:val="790C40FB"/>
    <w:rsid w:val="7C72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next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31"/>
      <w:szCs w:val="31"/>
      <w:lang w:eastAsia="en-US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251"/>
      </w:tabs>
      <w:snapToGrid w:val="0"/>
      <w:jc w:val="left"/>
    </w:pPr>
    <w:rPr>
      <w:rFonts w:ascii="Times New Roman" w:hAnsi="Times New Roman" w:cs="Times New Roman"/>
      <w:sz w:val="28"/>
      <w:szCs w:val="2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3605</Words>
  <Characters>3751</Characters>
  <Lines>27</Lines>
  <Paragraphs>7</Paragraphs>
  <TotalTime>68</TotalTime>
  <ScaleCrop>false</ScaleCrop>
  <LinksUpToDate>false</LinksUpToDate>
  <CharactersWithSpaces>3770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2025-02-06T03:11:00Z</dcterms:created>
  <dc:creator>101</dc:creator>
  <cp:lastModifiedBy>皇甫一锋</cp:lastModifiedBy>
  <cp:lastPrinted>2025-02-25T02:39:00Z</cp:lastPrinted>
  <dcterms:modified xsi:type="dcterms:W3CDTF">2025-03-28T07:30:24Z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95C31914D76347B38D809785ADF9292A_13</vt:lpwstr>
  </property>
  <property fmtid="{D5CDD505-2E9C-101B-9397-08002B2CF9AE}" pid="4" name="KSOTemplateDocerSaveRecord">
    <vt:lpwstr>eyJoZGlkIjoiMGU0M2Q5MjEzNmE2YzU1NTY0Mzc5M2ZhYzdhNGE5ZjUiLCJ1c2VySWQiOiIyMDY0Mzc3MzMifQ==</vt:lpwstr>
  </property>
</Properties>
</file>