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7A3C">
      <w:pPr>
        <w:widowControl/>
        <w:spacing w:line="560" w:lineRule="exact"/>
        <w:jc w:val="center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关于推进科技创新引领高质量发展的</w:t>
      </w:r>
    </w:p>
    <w:p w14:paraId="3FEA1AD0">
      <w:pPr>
        <w:overflowPunct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若 干 政 策</w:t>
      </w:r>
    </w:p>
    <w:p w14:paraId="02A7DD61"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（征求意见稿）</w:t>
      </w:r>
      <w:bookmarkStart w:id="0" w:name="_GoBack"/>
      <w:bookmarkEnd w:id="0"/>
    </w:p>
    <w:p w14:paraId="7516467D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为深入贯彻习近平新时代中国特色社会主义思想，贯彻党的二十大和二十届三中全会精神，落实国家和省、市关于科技创新的有关政策要求，全面聚焦我区“双百”建设，提升自主创新能力，加速培育和发展新质生产力，结合我区实际情况，特制定本政策。</w:t>
      </w:r>
    </w:p>
    <w:p w14:paraId="6123362E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培优</w:t>
      </w: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育强科技创新主体</w:t>
      </w:r>
    </w:p>
    <w:p w14:paraId="5547E560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推动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企业加大创新投入。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符合研发费用申报条件的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企业研发费用总量及增量分级分档给予基础补贴和增量补贴，分别最高补贴80万元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企业在建设期内被列入规模以上统计的，当年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按研发支出一定比例给予奖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鼓励企业建立研发准备金制度，开展研发管理规范化建设，对通过省研发管理体系贯标的企业给予最高10万元补贴。对申请省科技创新券补贴的企业按照省定比例进行配套补贴，对提供科研设施与仪器等科技资源开放共享服务的服务机构，根据绩效择优给予补贴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（责任单位：区科技局、区财政局、区统计局、区税务局）</w:t>
      </w:r>
    </w:p>
    <w:p w14:paraId="125D41CF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2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29845" cy="22225"/>
            <wp:effectExtent l="0" t="0" r="8255" b="635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4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加强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科技企业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梯次培育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首次认定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高新技术企业，最高奖励50万元；重新认定的，最高奖励25万元。市高新技术企业培育库入库企业，最高奖励5万元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科技型中小企业评价库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的企业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最高奖励0.2万元。首次认定的省创新型领军企业、技术先进型服务企业、研发型企业最高奖励100万元。新获批的国家、省技术创新示范企业，分别最高奖励100万元、50万元。首次入选省瞪羚企业、潜在独角兽企业、独角兽企业，按照其上年度研发投入规模，分别最高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100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00万元。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（责任单位：区科技局、区工信局）</w:t>
      </w:r>
    </w:p>
    <w:p w14:paraId="0A971EB9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3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38735" cy="22225"/>
            <wp:effectExtent l="0" t="0" r="18415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7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强化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科技项目招引。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对创新创业大赛获奖项目并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来淮创业的企业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，符合“淮上英才计划”支持条件的，直接立项，最高补贴500万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元。区财政在此基础上，第一年最高补贴20万元、第二年最高补贴20万元、第三年最高补贴10万元。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对在建设期内通过市竣工考核验收的亿元以下科技型企业或符合市“淮上英才计划”创业类项目申报条件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且实际运营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的企业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最高享受3000平方米创业场地或每年最高补贴15万元，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最高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期限为3年（36个月）。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区委人才办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、区科技局、区财政局、区国资办）</w:t>
      </w:r>
    </w:p>
    <w:p w14:paraId="39B14BD2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统筹建设创新平台载体</w:t>
      </w:r>
    </w:p>
    <w:p w14:paraId="774E842F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4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30480" cy="22225"/>
            <wp:effectExtent l="0" t="0" r="7620" b="635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构建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科技创新载体。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新获批的全国重点实验室、省重点实验室（省工程技术联合实验室）分别奖励500万元、200万元。新建的国家、省重大科研设施分别奖励1000万元、500万元。新获批的国家、省技术创新中心（产业创新中心、制造业创新中心）分别奖励500万元、200万元。新获批的省级院士工作站奖励100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区发改委、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区科技局、区工信局）</w:t>
      </w:r>
    </w:p>
    <w:p w14:paraId="0A7A39A8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5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37465" cy="22225"/>
            <wp:effectExtent l="0" t="0" r="635" b="635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3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建立新型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研发机构。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新获批的国家、省工程技术研究中心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（企业技术中心、工程研究中心）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分别最高奖励200万元、30万元。大院名校与我区共建新型研发机构的，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根据实际情况给予相应支持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。企业与大院名校共建市场化新型研发机构的，最高补贴200万元。对绩效评价优秀的新型研发机构最高补贴50万元；对获得省绩效评价奖补的按1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1配套最高补贴100万元。与江苏省产业技术研究院共建专业研究所的，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根据实际情况给予相应支持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；共建企业联合创新中心的，最高补贴50万元。新获批的国家级博士后科研工作站、省级博士后创新实践基地分别最高奖励50万元、30万元。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（责任单位：区发改委、区科技局、区工信局、区人社局）</w:t>
      </w:r>
    </w:p>
    <w:p w14:paraId="1C40CF66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6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31115" cy="22225"/>
            <wp:effectExtent l="0" t="0" r="6985" b="635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9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打造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创新生态系统。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新认定的国家级、省级科技企业孵化器（加速器），分别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最高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奖励100万元、60万元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新备案的国家级、省级众创空间（星创天地），分别奖励50万元、30万元。新认定的国家火炬特色产业基地、软件产业基地、双创基地，分别奖励100万元。对绩效评价优秀或入选省标杆科技企业孵化器的，最高奖励50万元。新建离岸孵化器（科创飞地）的，最高补贴30万元，并同等享受科创载体相关奖励政策。对获批建设国际科技创新合作载体的，最高奖励50万元。对新认定的省外国专家工作室，奖励10万元；对建设期满后绩效考核优秀的，补贴20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（责任单位：区科技局、区工信局、区发改委）</w:t>
      </w:r>
    </w:p>
    <w:p w14:paraId="584A8234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助力推动</w:t>
      </w: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科技成果转化</w:t>
      </w:r>
    </w:p>
    <w:p w14:paraId="509708D7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7. 提升基础研究和应用基础研究能力。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对新获批的国家自然科学基金中杰出青年科学基金项目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优秀青年科学基金项目、面上项目分别最高配套支持60万元、30万元、10万元；对新获批的省基础研究专项资金（自然科学基金）中攀登项目、杰出青年基金项目、优秀青年基金项目分别最高配套支持60万元、30万元、10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（责任单位：区科技局、区财政局、区人社局）</w:t>
      </w:r>
    </w:p>
    <w:p w14:paraId="28CF29B9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8.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布局支持中试平台建设</w:t>
      </w:r>
      <w:r>
        <w:rPr>
          <w:rFonts w:hint="eastAsia" w:ascii="Times New Roman" w:hAnsi="Times New Roman" w:eastAsia="方正楷体_GBK" w:cs="Times New Roman"/>
          <w:snapToGrid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符合“3+X”产业体系的新一代信息技术、新型装备制造、新能源等制造业中试平台，视其工作绩效，最高享受5000平方米满足入住条件的场地或每年最高补贴100万元，期限为3年（36个月）。新获批的省级中试平台，奖励100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（责任单位：区科技局、区工信局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、区财政局、区国资办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</w:p>
    <w:p w14:paraId="5EFAA6D8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华文楷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9. 加速科研成果转移转化。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新获批的省级概念验证中心、科技公共服务平台，分别奖励50万元。获得省级首台（套）重大装备认定的，奖励50万元。认定为制造业创新产品且首购首用的，根据购买金额和保险费用给予一定补贴。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支持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技术转移机构，视其工作绩效，最高补贴50万元。加大技术转移奖补力度，对技术交易输出（入）方、技术转移服务机构、技术经理人、技术合同登记机构等给予补贴支持。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（责任单位：区科技局、区工信局）</w:t>
      </w:r>
    </w:p>
    <w:p w14:paraId="0F3AF85F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10.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激发知识产权创造活力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获得国家知识产权示范企业、优势企业的，分别最高奖励50万元、20万元。对获得发明专利授权的第一发明人，给予适当奖励。对获得知识产权合规管理省级绩效评价认定的，最高奖励5万元。对获得省战推项目立项的，最高奖励20万元。对行政认定为中国驰名商标的，最高奖励20万元。支持知识产权运营机构发展，鼓励社会力量搭建综合性知识产权运营平台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（责任单位：区市场监管局）</w:t>
      </w:r>
    </w:p>
    <w:p w14:paraId="39F56FCF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鼓励</w:t>
      </w: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促进高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端</w:t>
      </w: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人才集聚</w:t>
      </w:r>
    </w:p>
    <w:p w14:paraId="3017B46F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11. 定向招引尖端人才。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获得省项目资助的顶尖人才（团队），最高补贴1000万元，特别急需的尖端人才（团队），最高综合资助1亿元。对入选国家重点人才项目、省“双创人才（团队）”计划的，按照国家、省资助额度给予人才（团队）配套补贴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区委人才办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、区科技局、区工信局、区人社局）</w:t>
      </w:r>
    </w:p>
    <w:p w14:paraId="27F493D3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12. 聚焦引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进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领军人才。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聚焦主导产业发展和未来产业领域，大力引进掌握核心技术和知识产权的创新创业领军人才（团队），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择优推荐申报市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“淮上英才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计划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”创新创业领军人才专项。对符合条件的创业领军人才（团队），根据团队规模、项目投入、产业化进程等综合情况分A、B、C三档资助，分别给予500万元、200万元、100万元的科研经费支持；对符合条件的创新领军人才（团队），根据薪酬水平、项目投入、成果转化等综合情况分A、B、C三档资助，分别给予300万元、100万元、50万元的科研经费支持。以上人才（团队）可同步享受安居保障政策支持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区委人才办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、区科技局）</w:t>
      </w:r>
    </w:p>
    <w:p w14:paraId="5E3B8C1C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13. 创新人才引进路径。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依托欧美同学会（留学人员联谊会）、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海外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人才协会等，加强与海外高校、猎头机构等合作，推动设立人才服务点，选聘一批有人才工作经验的骨干驻外开展人才联系对接工作，采取后补助方式择优予以一定经费支持。支持国际科技组织、高端猎头公司、风险投资机构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视其工作绩效，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对引才荐才成效显著的给予奖励。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区委人才办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区侨办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、区科技局、区人社局、区科协、区外办）</w:t>
      </w:r>
    </w:p>
    <w:p w14:paraId="10339762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支持完善科技创新服务</w:t>
      </w:r>
    </w:p>
    <w:p w14:paraId="7A3594BC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14. 搭建科技投融资体系。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区政府设立3亿元投资基金，围绕我区战略性新兴产业集群建设和未来产业布局，聚焦“投科技、投创新、投效益”，按照“政府引导、市场运作、科学决策、防范风险”的原则运作，通过参股或合伙等方式与社会资本合作设立市场化子基金进行投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主要用于支持需要基金投资额不超过1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000万元的初创型科技企业和科技领军人才项目，着力培育一批具有潜在竞争力的科技型中小企业。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（责任单位：区财政局、区科技局、区工信局、区发改委、区国资办）</w:t>
      </w:r>
    </w:p>
    <w:p w14:paraId="1945F94B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15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drawing>
          <wp:inline distT="0" distB="0" distL="0" distR="0">
            <wp:extent cx="34925" cy="22225"/>
            <wp:effectExtent l="0" t="0" r="3175" b="635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" cy="2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 拓展科技金融贷保业务。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符合“淮科贷”条件的企业开展贴息贴保，按照分类分别最高补贴20万元、10万元。鼓励银行机构向科技型企业发放以知识产权为质押的中长期贷款，对符合条件的企业贷款给予贴息和风险补偿。对符合“淮科保”条件的企业，最高补贴20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（责任单位：区科技局、区财政局、区市场监管局、区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政府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办）</w:t>
      </w:r>
    </w:p>
    <w:p w14:paraId="60F4283B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  <w:lang w:eastAsia="zh-CN"/>
        </w:rPr>
        <w:t>六、厚植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营造全社会创新氛围</w:t>
      </w:r>
    </w:p>
    <w:p w14:paraId="585C07E1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 xml:space="preserve">16.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强化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科技创新奖励力度。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对以第一完成单位获得国家科学技术奖（国家自然科学奖、国家技术发明奖、国家科学技术进步奖）特等奖、一等奖、二等奖的，分别奖励500万元、300万元、200万元。对以第一完成单位获得江苏省科学技术奖一等奖、二等奖、三等奖的，分别奖励100万元、50万元、20万元。对获得国家、省友谊奖的分别奖励30万元、10万元。对获得省企业技术创新奖的奖励50万元。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lang w:eastAsia="zh-CN"/>
        </w:rPr>
        <w:t>（责任单位：区科技局、区财政局、区科协）</w:t>
      </w:r>
    </w:p>
    <w:p w14:paraId="25E4AB52">
      <w:pPr>
        <w:pStyle w:val="3"/>
        <w:widowControl w:val="0"/>
        <w:kinsoku/>
        <w:overflowPunct w:val="0"/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同一事项涉及多项奖补政策的，按就高原则兑现，不重复奖补。奖补事项涉及多个部门的，由区牵头部门负责商区财政局研究落实措施。原有政策中奖补政策与本政策不一致的，以本政策为准。具体奖补金额以当年申报指南为准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由区财政列支的奖补事项，原则上统筹考量受奖补主体在获奖补期内工作绩效。</w:t>
      </w:r>
    </w:p>
    <w:p w14:paraId="76129B36">
      <w:pPr>
        <w:pStyle w:val="3"/>
        <w:widowControl w:val="0"/>
        <w:kinsoku/>
        <w:overflowPunct w:val="0"/>
        <w:spacing w:line="560" w:lineRule="exact"/>
        <w:ind w:firstLine="664" w:firstLineChars="200"/>
        <w:jc w:val="both"/>
        <w:rPr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以上政策自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印发之日</w:t>
      </w:r>
      <w:r>
        <w:rPr>
          <w:rFonts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起实施，有效期至2026年12月31日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，适用于2</w:t>
      </w:r>
      <w:r>
        <w:rPr>
          <w:rFonts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024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eastAsia="zh-CN"/>
        </w:rPr>
        <w:t>年1月1日起符合政策条件的企业。</w:t>
      </w:r>
    </w:p>
    <w:sectPr>
      <w:footerReference r:id="rId3" w:type="default"/>
      <w:pgSz w:w="11905" w:h="16838"/>
      <w:pgMar w:top="1984" w:right="1701" w:bottom="1701" w:left="170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07E5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828800" cy="1828800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0789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Ni+4d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0789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jU4YTM0ZWY3NjExOTAxMGZmMWU4YWQ2ZGFmMWYifQ=="/>
  </w:docVars>
  <w:rsids>
    <w:rsidRoot w:val="152C49D0"/>
    <w:rsid w:val="00046D2E"/>
    <w:rsid w:val="00047C18"/>
    <w:rsid w:val="0007654A"/>
    <w:rsid w:val="000B3374"/>
    <w:rsid w:val="002951B6"/>
    <w:rsid w:val="002C01FC"/>
    <w:rsid w:val="00375B8A"/>
    <w:rsid w:val="003F4CA8"/>
    <w:rsid w:val="00436416"/>
    <w:rsid w:val="004573C4"/>
    <w:rsid w:val="00496ED2"/>
    <w:rsid w:val="004B46A6"/>
    <w:rsid w:val="00510E5B"/>
    <w:rsid w:val="0054534D"/>
    <w:rsid w:val="006C2A2C"/>
    <w:rsid w:val="00752B22"/>
    <w:rsid w:val="00785D0E"/>
    <w:rsid w:val="007B7BE3"/>
    <w:rsid w:val="007E25F4"/>
    <w:rsid w:val="008E7880"/>
    <w:rsid w:val="009405F2"/>
    <w:rsid w:val="0097507B"/>
    <w:rsid w:val="009D045F"/>
    <w:rsid w:val="00A051A9"/>
    <w:rsid w:val="00A63964"/>
    <w:rsid w:val="00A73068"/>
    <w:rsid w:val="00B4467A"/>
    <w:rsid w:val="00BC0EAB"/>
    <w:rsid w:val="00BD5E60"/>
    <w:rsid w:val="00C1281E"/>
    <w:rsid w:val="00C33168"/>
    <w:rsid w:val="00C669A6"/>
    <w:rsid w:val="00CB7885"/>
    <w:rsid w:val="00D53094"/>
    <w:rsid w:val="00D66E37"/>
    <w:rsid w:val="00E343FC"/>
    <w:rsid w:val="00EB5337"/>
    <w:rsid w:val="00F3466F"/>
    <w:rsid w:val="00F42875"/>
    <w:rsid w:val="00F640B5"/>
    <w:rsid w:val="012A0DD6"/>
    <w:rsid w:val="01E943A0"/>
    <w:rsid w:val="03C76CD0"/>
    <w:rsid w:val="09001D6C"/>
    <w:rsid w:val="11100165"/>
    <w:rsid w:val="127A580F"/>
    <w:rsid w:val="12CF6B79"/>
    <w:rsid w:val="12E361DD"/>
    <w:rsid w:val="152C49D0"/>
    <w:rsid w:val="1A2C0FB5"/>
    <w:rsid w:val="1FE65F6B"/>
    <w:rsid w:val="27F86B7B"/>
    <w:rsid w:val="29BB5D72"/>
    <w:rsid w:val="2A4E38DA"/>
    <w:rsid w:val="2D64558D"/>
    <w:rsid w:val="2EAC22EC"/>
    <w:rsid w:val="2ED1017B"/>
    <w:rsid w:val="30096F57"/>
    <w:rsid w:val="30F63716"/>
    <w:rsid w:val="341E030F"/>
    <w:rsid w:val="35521E85"/>
    <w:rsid w:val="38C728B3"/>
    <w:rsid w:val="3B863C2B"/>
    <w:rsid w:val="3EFB107A"/>
    <w:rsid w:val="3FC56F60"/>
    <w:rsid w:val="46022E6A"/>
    <w:rsid w:val="465D0485"/>
    <w:rsid w:val="46830184"/>
    <w:rsid w:val="4A8A42D6"/>
    <w:rsid w:val="4DAB7FB5"/>
    <w:rsid w:val="4E7C7437"/>
    <w:rsid w:val="507C2604"/>
    <w:rsid w:val="560C0243"/>
    <w:rsid w:val="57C15284"/>
    <w:rsid w:val="5B1B3E4B"/>
    <w:rsid w:val="5D50775E"/>
    <w:rsid w:val="61657EF1"/>
    <w:rsid w:val="62AD7971"/>
    <w:rsid w:val="664A2078"/>
    <w:rsid w:val="66FE6B1C"/>
    <w:rsid w:val="67F772AC"/>
    <w:rsid w:val="69510AFE"/>
    <w:rsid w:val="69D02895"/>
    <w:rsid w:val="6D447634"/>
    <w:rsid w:val="727B566C"/>
    <w:rsid w:val="75671FF3"/>
    <w:rsid w:val="767F155E"/>
    <w:rsid w:val="78A2537A"/>
    <w:rsid w:val="78C072F9"/>
    <w:rsid w:val="790C40FB"/>
    <w:rsid w:val="7C72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251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3605</Words>
  <Characters>3751</Characters>
  <Lines>27</Lines>
  <Paragraphs>7</Paragraphs>
  <TotalTime>68</TotalTime>
  <ScaleCrop>false</ScaleCrop>
  <LinksUpToDate>false</LinksUpToDate>
  <CharactersWithSpaces>3770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2025-02-06T03:11:00Z</dcterms:created>
  <dc:creator>101</dc:creator>
  <cp:lastModifiedBy>皇甫一锋</cp:lastModifiedBy>
  <cp:lastPrinted>2025-02-25T02:39:00Z</cp:lastPrinted>
  <dcterms:modified xsi:type="dcterms:W3CDTF">2025-03-28T07:30:24Z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95C31914D76347B38D809785ADF9292A_13</vt:lpwstr>
  </property>
  <property fmtid="{D5CDD505-2E9C-101B-9397-08002B2CF9AE}" pid="4" name="KSOTemplateDocerSaveRecord">
    <vt:lpwstr>eyJoZGlkIjoiMGU0M2Q5MjEzNmE2YzU1NTY0Mzc5M2ZhYzdhNGE5ZjUiLCJ1c2VySWQiOiIyMDY0Mzc3MzMifQ==</vt:lpwstr>
  </property>
</Properties>
</file>