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82B90"/>
    <w:p w14:paraId="7AB9ED7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5F0211">
      <w:pPr>
        <w:tabs>
          <w:tab w:val="left" w:pos="164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10"/>
        <w:tblpPr w:leftFromText="135" w:rightFromText="135" w:horzAnchor="margin" w:tblpXSpec="center" w:tblpYSpec="top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54D6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7327C32">
            <w:pPr>
              <w:pStyle w:val="12"/>
              <w:spacing w:before="100" w:after="400" w:line="1300" w:lineRule="atLeast"/>
              <w:rPr>
                <w:rFonts w:ascii="Times New Roman" w:hAnsi="Times New Roman" w:eastAsia="方正小标宋_GBK"/>
                <w:w w:val="40"/>
                <w:sz w:val="130"/>
                <w:szCs w:val="130"/>
              </w:rPr>
            </w:pPr>
            <w:r>
              <w:rPr>
                <w:rFonts w:ascii="Times New Roman" w:hAnsi="Times New Roman" w:eastAsia="方正小标宋_GBK"/>
                <w:w w:val="40"/>
                <w:sz w:val="130"/>
                <w:szCs w:val="130"/>
              </w:rPr>
              <w:t>淮安市淮阴区人民政府办公室文件</w:t>
            </w:r>
          </w:p>
        </w:tc>
      </w:tr>
      <w:tr w14:paraId="3019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36C1239">
            <w:pPr>
              <w:tabs>
                <w:tab w:val="left" w:pos="8364"/>
              </w:tabs>
              <w:jc w:val="center"/>
              <w:rPr>
                <w:rFonts w:eastAsia="方正仿宋_GBK"/>
                <w:snapToGrid w:val="0"/>
                <w:sz w:val="32"/>
                <w:szCs w:val="20"/>
              </w:rPr>
            </w:pPr>
            <w:r>
              <w:rPr>
                <w:rFonts w:ascii="Times New Roman" w:hAnsi="Times New Roman" w:eastAsia="方正仿宋_GBK"/>
                <w:snapToGrid w:val="0"/>
                <w:sz w:val="32"/>
                <w:szCs w:val="20"/>
              </w:rPr>
              <w:t>淮政办发〔</w:t>
            </w:r>
            <w:r>
              <w:rPr>
                <w:rFonts w:hint="eastAsia" w:ascii="Times New Roman" w:hAnsi="Times New Roman" w:eastAsia="方正仿宋_GBK"/>
                <w:snapToGrid w:val="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napToGrid w:val="0"/>
                <w:sz w:val="32"/>
                <w:szCs w:val="20"/>
              </w:rPr>
              <w:t>〕</w:t>
            </w:r>
            <w:r>
              <w:rPr>
                <w:rFonts w:hint="eastAsia" w:ascii="Times New Roman" w:hAnsi="Times New Roman"/>
                <w:snapToGrid w:val="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napToGrid w:val="0"/>
                <w:sz w:val="32"/>
                <w:szCs w:val="20"/>
              </w:rPr>
              <w:t>号</w:t>
            </w:r>
          </w:p>
        </w:tc>
      </w:tr>
      <w:tr w14:paraId="252D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4BFCAA0">
            <w:pPr>
              <w:pStyle w:val="13"/>
              <w:adjustRightInd w:val="0"/>
              <w:snapToGrid w:val="0"/>
              <w:spacing w:after="840" w:line="100" w:lineRule="atLeas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>
                <v:shape id="_x0000_i1025" o:spt="75" type="#_x0000_t75" style="height:6.75pt;width:447pt;" o:ole="t" filled="f" o:preferrelative="t" stroked="f" coordsize="21600,21600">
                  <v:path/>
                  <v:fill on="f" focussize="0,0"/>
                  <v:stroke on="f" color="#000000"/>
                  <v:imagedata r:id="rId6" o:title="2660804571702285651624"/>
                  <o:lock v:ext="edit" aspectratio="t"/>
                  <w10:wrap type="none"/>
                  <w10:anchorlock/>
                </v:shape>
                <o:OLEObject Type="Embed" ProgID="Package" ShapeID="_x0000_i1025" DrawAspect="Content" ObjectID="_1468075725" r:id="rId5">
                  <o:LockedField>false</o:LockedField>
                </o:OLEObject>
              </w:object>
            </w:r>
          </w:p>
        </w:tc>
      </w:tr>
    </w:tbl>
    <w:p w14:paraId="4616EA72">
      <w:pPr>
        <w:pStyle w:val="6"/>
        <w:spacing w:line="600" w:lineRule="exact"/>
        <w:ind w:firstLine="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区政府办公室</w:t>
      </w:r>
    </w:p>
    <w:p w14:paraId="75BF3FCC">
      <w:pPr>
        <w:pStyle w:val="6"/>
        <w:spacing w:line="600" w:lineRule="exact"/>
        <w:ind w:firstLine="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全区房屋征收（拆迁）安置体制机制整合工作意见</w:t>
      </w:r>
      <w:r>
        <w:rPr>
          <w:rFonts w:hint="eastAsia" w:ascii="方正小标宋_GBK" w:eastAsia="方正小标宋_GBK" w:cs="方正小标宋_GBK"/>
          <w:sz w:val="44"/>
          <w:szCs w:val="44"/>
        </w:rPr>
        <w:t>》的通知</w:t>
      </w:r>
    </w:p>
    <w:p w14:paraId="502E3112">
      <w:pPr>
        <w:pStyle w:val="5"/>
        <w:spacing w:line="560" w:lineRule="exact"/>
        <w:ind w:firstLine="640" w:firstLineChars="200"/>
        <w:rPr>
          <w:rFonts w:ascii="仿宋" w:eastAsia="仿宋" w:cs="Times New Roman"/>
          <w:sz w:val="32"/>
        </w:rPr>
      </w:pPr>
    </w:p>
    <w:p w14:paraId="15C917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高新区、各园区管委会，商贸服务中心，各镇（街道）人民政府（办事处），区各委办局，区各直属单位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：</w:t>
      </w:r>
    </w:p>
    <w:p w14:paraId="40D20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全区征收（拆迁）安置体制机制整合工作意见</w:t>
      </w:r>
      <w:r>
        <w:rPr>
          <w:rFonts w:hint="eastAsia" w:ascii="方正仿宋_GBK" w:eastAsia="方正仿宋_GBK" w:cs="方正仿宋_GBK"/>
          <w:sz w:val="32"/>
          <w:szCs w:val="32"/>
        </w:rPr>
        <w:t>》已经区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研究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同意</w:t>
      </w:r>
      <w:r>
        <w:rPr>
          <w:rFonts w:hint="eastAsia" w:ascii="方正仿宋_GBK" w:eastAsia="方正仿宋_GBK" w:cs="方正仿宋_GBK"/>
          <w:sz w:val="32"/>
          <w:szCs w:val="32"/>
        </w:rPr>
        <w:t>，现印发给你们，请认真遵照执行。</w:t>
      </w:r>
    </w:p>
    <w:p w14:paraId="54C2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right"/>
        <w:textAlignment w:val="auto"/>
        <w:rPr>
          <w:rFonts w:hint="eastAsia" w:ascii="方正仿宋_GBK" w:eastAsia="方正仿宋_GBK" w:cs="方正仿宋_GBK"/>
          <w:sz w:val="32"/>
          <w:szCs w:val="32"/>
        </w:rPr>
      </w:pPr>
    </w:p>
    <w:p w14:paraId="034A5FA7">
      <w:pPr>
        <w:pStyle w:val="2"/>
        <w:rPr>
          <w:rFonts w:hint="eastAsia"/>
        </w:rPr>
      </w:pPr>
    </w:p>
    <w:p w14:paraId="5CF103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right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淮阴区人民政府办公室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578689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   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6123FF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</w:p>
    <w:p w14:paraId="574171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全区房屋征收（拆迁）安置体制机制整合</w:t>
      </w:r>
    </w:p>
    <w:p w14:paraId="67A84C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工作意见</w:t>
      </w:r>
    </w:p>
    <w:p w14:paraId="7EC034CA">
      <w:pPr>
        <w:pStyle w:val="4"/>
        <w:ind w:firstLine="3213" w:firstLineChars="1000"/>
        <w:jc w:val="both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b/>
          <w:bCs/>
          <w:lang w:eastAsia="zh-CN"/>
        </w:rPr>
        <w:t>）</w:t>
      </w:r>
    </w:p>
    <w:p w14:paraId="53E7D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为确保我区房屋征收工作公平公正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依法规范运行，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决定</w:t>
      </w: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  <w:lang w:val="en-US" w:eastAsia="zh-CN"/>
        </w:rPr>
        <w:t>由区房屋征收管理服务中心（简称征管中心）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严格按照国务院、省、市、区相关规定，扎口</w:t>
      </w: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  <w:lang w:val="en-US" w:eastAsia="zh-CN"/>
        </w:rPr>
        <w:t>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责全区房屋征收拆迁的日常管理工作。</w:t>
      </w:r>
    </w:p>
    <w:p w14:paraId="37E999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24"/>
          <w:lang w:val="en-US" w:eastAsia="zh-CN" w:bidi="ar-SA"/>
        </w:rPr>
        <w:t>一、统筹实施计划</w:t>
      </w:r>
    </w:p>
    <w:p w14:paraId="0318C5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年初统筹规划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年度项目征收拆迁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实施计划，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测算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拆迁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所需资金总额，拟定征收拆迁初步实施方案，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报请区政府召开区长办公会或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专题会议，形成会议纪要，明确项目征收拆迁具体实施单位等事宜。</w:t>
      </w:r>
    </w:p>
    <w:p w14:paraId="6715F28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城市规划区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范围内国有土地上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房屋征收原则上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由区住建局委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托区房屋拆迁安置中心有限公司（简称安置中心）牵头实施，集体土地拆迁由属地街道牵头实施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征管中心做好街道项目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政策的制订、指导等工作。</w:t>
      </w:r>
    </w:p>
    <w:p w14:paraId="717B06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zh-TW" w:eastAsia="zh-CN" w:bidi="ar-SA"/>
        </w:rPr>
        <w:t>二、房源统筹调度</w:t>
      </w:r>
    </w:p>
    <w:p w14:paraId="52237F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TW" w:eastAsia="zh-CN" w:bidi="ar-SA"/>
        </w:rPr>
        <w:t>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  <w:t>区现有存量安置房、回购商品房房源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住宅部分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  <w:t>全部集中移交征管中心统筹调度，实行入库、建库、分配、核对、调剂、回收、信息变更扎口管理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TW" w:eastAsia="zh-CN" w:bidi="ar-SA"/>
        </w:rPr>
        <w:t>，并根据项目安置需求及时更新、补充、完善，确保房源信息真实、准确。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征管中心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加强存量安置房、回购商品房日常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管理，定期复核库存数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产投集团和新渡口街道负责做好所涉房源的日常巡查、维护、维修工作，保证房源具备交付条件，防止房源被占用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。</w:t>
      </w:r>
    </w:p>
    <w:p w14:paraId="28AB00D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存量安置房源不足时，由征管中心对新实施项目实行点对点批量团购商品房房源，谈定“一房一价”优惠价格，被征收人按需选择购买，征收完成后再统一结算购房款。</w:t>
      </w:r>
    </w:p>
    <w:p w14:paraId="466A588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zh-TW" w:eastAsia="zh-CN" w:bidi="ar-SA"/>
        </w:rPr>
        <w:t>三、资金集中管理</w:t>
      </w:r>
    </w:p>
    <w:p w14:paraId="2BA8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全区房屋征收拆迁项目所需资金由区财政统筹做好安排。</w:t>
      </w:r>
    </w:p>
    <w:p w14:paraId="7155DBF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征管中心在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征收拆迁启动前，凭政府专题会议纪要、审批后的资金请示报告到区财政办理资金拨付手续，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集中管理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确保项目资金足额到位、专户存储、专款专用。</w:t>
      </w:r>
    </w:p>
    <w:p w14:paraId="36741B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对涉及的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征收拆迁费用（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含分户补偿款、安置房差价款结算、与企业安置房资金结算等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）、征收拆迁第三方费用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（劳务费、公证费、评估费、测绘费、社会稳定风险评估费、拆迁工地围墙费、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覆盖费、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房屋拆除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及清运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费等）、不可预见费（长效管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理、法律诉讼等）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统一到区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结算服务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集中办理申请、审核、结算。</w:t>
      </w:r>
    </w:p>
    <w:p w14:paraId="781A670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资金收支实行“一项目一账户”，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做到日清月结，并由审计部门按年度审计计划统筹安排对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资金使用情况的专项审计。</w:t>
      </w:r>
    </w:p>
    <w:p w14:paraId="5E642E3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征收拆迁第三方费用实行预、结算制，其中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劳务费按项目资金总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5%预算、结算；公证费、评估费、测绘费、社会稳定风险评估费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、拆迁工地围墙费、项目房屋拆除费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按合同约定预算、结算。不可预见费按项目征收资金总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3%预算、结算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。</w:t>
      </w:r>
    </w:p>
    <w:p w14:paraId="7F459A5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9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24"/>
          <w:lang w:val="en-US" w:eastAsia="zh-CN" w:bidi="ar-SA"/>
        </w:rPr>
        <w:t>具体实施单位劳务费支付：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在项目征收拆迁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进场前先支付30%用作项目启动资金；项目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基本完成后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剩余20%待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审计结束并整改到位后支付。</w:t>
      </w:r>
    </w:p>
    <w:p w14:paraId="72624B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19" w:firstLineChars="200"/>
        <w:textAlignment w:val="auto"/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24"/>
          <w:lang w:val="zh-TW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24"/>
          <w:lang w:val="zh-TW" w:eastAsia="zh-CN" w:bidi="ar-SA"/>
        </w:rPr>
        <w:t>项目劳务费支付标准为：</w:t>
      </w:r>
    </w:p>
    <w:p w14:paraId="7CA9380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（一）国有土地上房屋征收项目，安置中心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（或实际牵头单位）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60%（含项目办公经费），属地街道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（或配合单位）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850D37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（二）集体土地上房屋拆迁项目，属地街道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（或实际牵头单位）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60%（含项目办公经费）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安置中心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（或配合单位）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40%。</w:t>
      </w:r>
    </w:p>
    <w:p w14:paraId="7989B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四、强化监督管理</w:t>
      </w:r>
    </w:p>
    <w:p w14:paraId="4C3F9C9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征管中心要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在项目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现场设立举报箱，公开举报电话和邮箱、不定期邀请派驻组人员到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一线明查暗访或开展廉政提醒谈话等方式强化监督。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TW" w:eastAsia="zh-CN"/>
        </w:rPr>
        <w:t>按项目从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征管中心、具体实施单位抽调人员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成立监审组，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补偿安置协议、房屋面积、附属物数量、资金使用等进行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监督审核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，确保协议签订、资金使用的公正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合规、合法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p w14:paraId="6442486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在项目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完成后，由征管中心报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区领导批准后，商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zh-TW" w:eastAsia="zh-CN" w:bidi="ar-SA"/>
        </w:rPr>
        <w:t>请审计部门对征收补偿费用和使用情况开展专项审计，对审计反馈问题第一时间整改落实到位。</w:t>
      </w:r>
    </w:p>
    <w:p w14:paraId="27E5120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CN"/>
        </w:rPr>
        <w:t>五、档案集中管理</w:t>
      </w:r>
    </w:p>
    <w:p w14:paraId="45B4D0F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征收拆迁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CN"/>
        </w:rPr>
        <w:t>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2025年起，实行征管中心统一入库、统一查询、统一管理。各具体实施单位按年度分地块整理形成纸质、电子目录后，连同分户纸质档案一起报送至征管中心。</w:t>
      </w:r>
    </w:p>
    <w:p w14:paraId="01149FF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六、规范征后管理</w:t>
      </w:r>
    </w:p>
    <w:p w14:paraId="3F3F130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TW" w:eastAsia="zh-CN"/>
        </w:rPr>
        <w:t>对短期内无法挂牌的净地项目，统一由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原征收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TW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牵头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TW" w:eastAsia="zh-CN"/>
        </w:rPr>
        <w:t>单位负责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，后期产生的长效管理费用，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从项目不可预见费用中支付，列入项目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征收拆迁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:lang w:val="zh-TW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牵头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TW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zh-TW" w:eastAsia="zh-CN"/>
        </w:rPr>
        <w:t>短期内无法挂牌的净地项目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拟盘活利用的，实行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一地一策、一事一议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制度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方案报区政府同意后实施。</w:t>
      </w:r>
    </w:p>
    <w:p w14:paraId="2C5FE32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七、机制改革后岗位设置</w:t>
      </w:r>
    </w:p>
    <w:p w14:paraId="76B0D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本次征收（拆迁）安置体制机制整合后，内部设立综合管理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、财务管理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、项目管理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、房源管理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结算服务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、信访法制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、档案管理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督查安全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（增挂协议监审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牌）8个职能科室。</w:t>
      </w:r>
    </w:p>
    <w:p w14:paraId="1177291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征收拆迁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结算服务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中心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地点及人员配置</w:t>
      </w:r>
    </w:p>
    <w:p w14:paraId="0858F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为保证征收安置结算工作平稳过渡，将区产投集团征收安置管理部全体工作人员，先行整体派驻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征收拆迁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结算服务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，服从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统一管理，待服务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工作人员业务熟练后再返回原单位。本着方便群众、集中办公原则，服务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设立在淮阴区拆迁安置中心办公大楼一楼（淮海北路539号）。</w:t>
      </w:r>
    </w:p>
    <w:p w14:paraId="343CED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九、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部门协同推进工作开展</w:t>
      </w:r>
    </w:p>
    <w:p w14:paraId="14F00F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为了全面提升我区房屋征收管理水平，全区各有关单位、部门要增强政治意识和大局意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识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、明确服务基层导向、努力提高业务水平、严守纪律底线、提升效率效能，加强监督管理，全力做好工作衔接和配合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 w14:paraId="1F6B82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680" w:firstLineChars="115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360F9C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</w:rPr>
        <w:t>淮安市淮阴区人民政府办公室</w:t>
      </w:r>
    </w:p>
    <w:p w14:paraId="72E02EBA">
      <w:pPr>
        <w:keepNext w:val="0"/>
        <w:keepLines w:val="0"/>
        <w:pageBreakBefore w:val="0"/>
        <w:tabs>
          <w:tab w:val="left" w:pos="16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 xml:space="preserve">日     </w:t>
      </w:r>
      <w:r>
        <w:rPr>
          <w:rFonts w:hint="eastAsia" w:ascii="方正仿宋_GBK" w:eastAsia="方正仿宋_GBK" w:cs="方正仿宋_GBK"/>
          <w:sz w:val="32"/>
        </w:rPr>
        <w:t xml:space="preserve">  </w:t>
      </w:r>
    </w:p>
    <w:sectPr>
      <w:footerReference r:id="rId3" w:type="default"/>
      <w:pgSz w:w="11906" w:h="16838"/>
      <w:pgMar w:top="1984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3FA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C274B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C274B"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7718"/>
    <w:rsid w:val="006E6810"/>
    <w:rsid w:val="00AD558A"/>
    <w:rsid w:val="00D64AE1"/>
    <w:rsid w:val="01E70628"/>
    <w:rsid w:val="0213766F"/>
    <w:rsid w:val="024C492F"/>
    <w:rsid w:val="02555ED9"/>
    <w:rsid w:val="026B3007"/>
    <w:rsid w:val="032D650E"/>
    <w:rsid w:val="03DB0660"/>
    <w:rsid w:val="04912ACD"/>
    <w:rsid w:val="04C82992"/>
    <w:rsid w:val="04E62B47"/>
    <w:rsid w:val="057E12A3"/>
    <w:rsid w:val="05834B0B"/>
    <w:rsid w:val="069114AA"/>
    <w:rsid w:val="06A116ED"/>
    <w:rsid w:val="06AB60C8"/>
    <w:rsid w:val="072440CC"/>
    <w:rsid w:val="07BB058C"/>
    <w:rsid w:val="07F10452"/>
    <w:rsid w:val="086F1377"/>
    <w:rsid w:val="08961A94"/>
    <w:rsid w:val="09E55D95"/>
    <w:rsid w:val="09F77876"/>
    <w:rsid w:val="0A6C0264"/>
    <w:rsid w:val="0A8F3F52"/>
    <w:rsid w:val="0A9450C5"/>
    <w:rsid w:val="0B3643CE"/>
    <w:rsid w:val="0B5331D2"/>
    <w:rsid w:val="0B7E024F"/>
    <w:rsid w:val="0C22507E"/>
    <w:rsid w:val="0C2D57D1"/>
    <w:rsid w:val="0C605BA6"/>
    <w:rsid w:val="0C807FF6"/>
    <w:rsid w:val="0C8C699B"/>
    <w:rsid w:val="0C9475FE"/>
    <w:rsid w:val="0CE00A95"/>
    <w:rsid w:val="0CFB58CF"/>
    <w:rsid w:val="0D350DE1"/>
    <w:rsid w:val="0D774F56"/>
    <w:rsid w:val="0D8853B5"/>
    <w:rsid w:val="0E5C4934"/>
    <w:rsid w:val="0E7A7F46"/>
    <w:rsid w:val="0F2C6214"/>
    <w:rsid w:val="0F423341"/>
    <w:rsid w:val="0F517A28"/>
    <w:rsid w:val="0F621C35"/>
    <w:rsid w:val="0F977B31"/>
    <w:rsid w:val="0FF00FEF"/>
    <w:rsid w:val="105A7C91"/>
    <w:rsid w:val="1092654A"/>
    <w:rsid w:val="10FE1BC4"/>
    <w:rsid w:val="11390774"/>
    <w:rsid w:val="11AD363C"/>
    <w:rsid w:val="11E903EC"/>
    <w:rsid w:val="122F4C5A"/>
    <w:rsid w:val="12655CC4"/>
    <w:rsid w:val="12887C05"/>
    <w:rsid w:val="13F82B68"/>
    <w:rsid w:val="14117786"/>
    <w:rsid w:val="149E54BE"/>
    <w:rsid w:val="14A01236"/>
    <w:rsid w:val="152A6D51"/>
    <w:rsid w:val="15804BC3"/>
    <w:rsid w:val="1606331B"/>
    <w:rsid w:val="160D6666"/>
    <w:rsid w:val="16D927DD"/>
    <w:rsid w:val="16E55626"/>
    <w:rsid w:val="175C51BC"/>
    <w:rsid w:val="17626C76"/>
    <w:rsid w:val="17AB707B"/>
    <w:rsid w:val="17DD62FD"/>
    <w:rsid w:val="181B5077"/>
    <w:rsid w:val="18814EDA"/>
    <w:rsid w:val="18D45952"/>
    <w:rsid w:val="19C07C84"/>
    <w:rsid w:val="19DD0836"/>
    <w:rsid w:val="1A710F7F"/>
    <w:rsid w:val="1A9F5AEC"/>
    <w:rsid w:val="1ACD3CA8"/>
    <w:rsid w:val="1B2D1349"/>
    <w:rsid w:val="1B373F76"/>
    <w:rsid w:val="1B7E7DF7"/>
    <w:rsid w:val="1BB83309"/>
    <w:rsid w:val="1BE91714"/>
    <w:rsid w:val="1C6E7E6B"/>
    <w:rsid w:val="1C89001A"/>
    <w:rsid w:val="1CB735C0"/>
    <w:rsid w:val="1CC37203"/>
    <w:rsid w:val="1D060A74"/>
    <w:rsid w:val="1D291FE4"/>
    <w:rsid w:val="1D6E17A5"/>
    <w:rsid w:val="1DC87107"/>
    <w:rsid w:val="1DE859FC"/>
    <w:rsid w:val="1E696B3C"/>
    <w:rsid w:val="1EC91389"/>
    <w:rsid w:val="1F2E743E"/>
    <w:rsid w:val="1F8F4381"/>
    <w:rsid w:val="1F941997"/>
    <w:rsid w:val="1FA47700"/>
    <w:rsid w:val="1FE87F35"/>
    <w:rsid w:val="20014B53"/>
    <w:rsid w:val="201C373B"/>
    <w:rsid w:val="2020322B"/>
    <w:rsid w:val="20344F28"/>
    <w:rsid w:val="20672C08"/>
    <w:rsid w:val="207D3807"/>
    <w:rsid w:val="20BD6CCC"/>
    <w:rsid w:val="20EE3329"/>
    <w:rsid w:val="216E6218"/>
    <w:rsid w:val="21E85FCA"/>
    <w:rsid w:val="220A23E4"/>
    <w:rsid w:val="221B63A0"/>
    <w:rsid w:val="22665141"/>
    <w:rsid w:val="22714212"/>
    <w:rsid w:val="22B3482A"/>
    <w:rsid w:val="22C407E5"/>
    <w:rsid w:val="22DB5B2F"/>
    <w:rsid w:val="232B2612"/>
    <w:rsid w:val="23675615"/>
    <w:rsid w:val="239D1036"/>
    <w:rsid w:val="241E5CD3"/>
    <w:rsid w:val="24D942F0"/>
    <w:rsid w:val="24EA02AB"/>
    <w:rsid w:val="24FF3D57"/>
    <w:rsid w:val="263E08AF"/>
    <w:rsid w:val="26461511"/>
    <w:rsid w:val="26487037"/>
    <w:rsid w:val="264E03C6"/>
    <w:rsid w:val="26DC3C24"/>
    <w:rsid w:val="279577F1"/>
    <w:rsid w:val="27B30E28"/>
    <w:rsid w:val="27B70919"/>
    <w:rsid w:val="27E92A9C"/>
    <w:rsid w:val="27FA0805"/>
    <w:rsid w:val="280653FC"/>
    <w:rsid w:val="28D9041B"/>
    <w:rsid w:val="28ED3EC6"/>
    <w:rsid w:val="290A0F1C"/>
    <w:rsid w:val="29143B49"/>
    <w:rsid w:val="291E0523"/>
    <w:rsid w:val="296F5223"/>
    <w:rsid w:val="29E21551"/>
    <w:rsid w:val="2AE8528D"/>
    <w:rsid w:val="2AED28A3"/>
    <w:rsid w:val="2B4324C3"/>
    <w:rsid w:val="2B4D3342"/>
    <w:rsid w:val="2B512E32"/>
    <w:rsid w:val="2BC5112A"/>
    <w:rsid w:val="2BD66E93"/>
    <w:rsid w:val="2BEE68D3"/>
    <w:rsid w:val="2BFC0FF0"/>
    <w:rsid w:val="2D1934DC"/>
    <w:rsid w:val="2DAE631A"/>
    <w:rsid w:val="2E0C3040"/>
    <w:rsid w:val="2E6966E5"/>
    <w:rsid w:val="2E9279E9"/>
    <w:rsid w:val="2EAB2859"/>
    <w:rsid w:val="2EAE5EA6"/>
    <w:rsid w:val="2F05640D"/>
    <w:rsid w:val="2F5527C5"/>
    <w:rsid w:val="2FC00586"/>
    <w:rsid w:val="302C79CA"/>
    <w:rsid w:val="30DA11D4"/>
    <w:rsid w:val="30EE0DB2"/>
    <w:rsid w:val="3106646D"/>
    <w:rsid w:val="311E37B6"/>
    <w:rsid w:val="31DE4CF4"/>
    <w:rsid w:val="32024E86"/>
    <w:rsid w:val="32A94969"/>
    <w:rsid w:val="32D9259F"/>
    <w:rsid w:val="330C5891"/>
    <w:rsid w:val="33370B5F"/>
    <w:rsid w:val="333D3C9C"/>
    <w:rsid w:val="338B0EAB"/>
    <w:rsid w:val="342E1F62"/>
    <w:rsid w:val="342F1837"/>
    <w:rsid w:val="3491429F"/>
    <w:rsid w:val="35527ED3"/>
    <w:rsid w:val="356D0868"/>
    <w:rsid w:val="36070CBD"/>
    <w:rsid w:val="36513CE6"/>
    <w:rsid w:val="36DF7544"/>
    <w:rsid w:val="36E0506A"/>
    <w:rsid w:val="36EA7C97"/>
    <w:rsid w:val="37394180"/>
    <w:rsid w:val="377C2FE5"/>
    <w:rsid w:val="37983B97"/>
    <w:rsid w:val="37D746BF"/>
    <w:rsid w:val="37ED3EE3"/>
    <w:rsid w:val="38211DDE"/>
    <w:rsid w:val="38237904"/>
    <w:rsid w:val="38481119"/>
    <w:rsid w:val="38667BC7"/>
    <w:rsid w:val="389B393F"/>
    <w:rsid w:val="38A547BD"/>
    <w:rsid w:val="38B844F1"/>
    <w:rsid w:val="38ED3A6E"/>
    <w:rsid w:val="391060DB"/>
    <w:rsid w:val="39554D4A"/>
    <w:rsid w:val="399F745E"/>
    <w:rsid w:val="3A322081"/>
    <w:rsid w:val="3A8442C3"/>
    <w:rsid w:val="3A9E3272"/>
    <w:rsid w:val="3B043A1D"/>
    <w:rsid w:val="3BC46D08"/>
    <w:rsid w:val="3BF07AFD"/>
    <w:rsid w:val="3C1852A6"/>
    <w:rsid w:val="3C574020"/>
    <w:rsid w:val="3C6D55F2"/>
    <w:rsid w:val="3CBB635D"/>
    <w:rsid w:val="3CD13DD3"/>
    <w:rsid w:val="3D693510"/>
    <w:rsid w:val="3DB039E8"/>
    <w:rsid w:val="3DD516A1"/>
    <w:rsid w:val="3E265A58"/>
    <w:rsid w:val="3E642A25"/>
    <w:rsid w:val="3E704F26"/>
    <w:rsid w:val="3E927592"/>
    <w:rsid w:val="3F620D12"/>
    <w:rsid w:val="3F7171A7"/>
    <w:rsid w:val="3F7E4F38"/>
    <w:rsid w:val="3F9904AC"/>
    <w:rsid w:val="3FC217B1"/>
    <w:rsid w:val="40061FE5"/>
    <w:rsid w:val="40C17CBA"/>
    <w:rsid w:val="40DC68A2"/>
    <w:rsid w:val="41250249"/>
    <w:rsid w:val="413E57AF"/>
    <w:rsid w:val="416C39BC"/>
    <w:rsid w:val="416E7E42"/>
    <w:rsid w:val="42295B17"/>
    <w:rsid w:val="42F06635"/>
    <w:rsid w:val="43E3619A"/>
    <w:rsid w:val="44223166"/>
    <w:rsid w:val="44466E54"/>
    <w:rsid w:val="44727C49"/>
    <w:rsid w:val="4484797D"/>
    <w:rsid w:val="44A27E03"/>
    <w:rsid w:val="44C22253"/>
    <w:rsid w:val="45603F46"/>
    <w:rsid w:val="458319E2"/>
    <w:rsid w:val="45E22BAD"/>
    <w:rsid w:val="4670640B"/>
    <w:rsid w:val="46F96400"/>
    <w:rsid w:val="47091014"/>
    <w:rsid w:val="471F573B"/>
    <w:rsid w:val="47BC567F"/>
    <w:rsid w:val="4838292E"/>
    <w:rsid w:val="4867383D"/>
    <w:rsid w:val="48895562"/>
    <w:rsid w:val="48D569F9"/>
    <w:rsid w:val="48DB1B35"/>
    <w:rsid w:val="4953791E"/>
    <w:rsid w:val="4977185E"/>
    <w:rsid w:val="49EA64D4"/>
    <w:rsid w:val="4A0B01F8"/>
    <w:rsid w:val="4A1946C3"/>
    <w:rsid w:val="4A6F2535"/>
    <w:rsid w:val="4A965D14"/>
    <w:rsid w:val="4AA03036"/>
    <w:rsid w:val="4B7324F9"/>
    <w:rsid w:val="4BAD77B9"/>
    <w:rsid w:val="4C15535E"/>
    <w:rsid w:val="4C1C493F"/>
    <w:rsid w:val="4CFB09F8"/>
    <w:rsid w:val="4D01600E"/>
    <w:rsid w:val="4D4203D5"/>
    <w:rsid w:val="4D8E7176"/>
    <w:rsid w:val="4DA8648A"/>
    <w:rsid w:val="4DCF7EBB"/>
    <w:rsid w:val="4DE35714"/>
    <w:rsid w:val="4DF711BF"/>
    <w:rsid w:val="4E555EE6"/>
    <w:rsid w:val="4E557C94"/>
    <w:rsid w:val="4E830CA5"/>
    <w:rsid w:val="4EA053B3"/>
    <w:rsid w:val="4EB1136E"/>
    <w:rsid w:val="4F530677"/>
    <w:rsid w:val="4F7D3946"/>
    <w:rsid w:val="4FD07F1A"/>
    <w:rsid w:val="4FD12F5C"/>
    <w:rsid w:val="4FF37764"/>
    <w:rsid w:val="504A7CCC"/>
    <w:rsid w:val="50CA4969"/>
    <w:rsid w:val="50E8058E"/>
    <w:rsid w:val="511F2F07"/>
    <w:rsid w:val="51D610EC"/>
    <w:rsid w:val="52043EAB"/>
    <w:rsid w:val="5285323E"/>
    <w:rsid w:val="5288688A"/>
    <w:rsid w:val="52AB2578"/>
    <w:rsid w:val="52B2697B"/>
    <w:rsid w:val="52BC29D7"/>
    <w:rsid w:val="52F45CCD"/>
    <w:rsid w:val="530C1269"/>
    <w:rsid w:val="53202F66"/>
    <w:rsid w:val="5345477B"/>
    <w:rsid w:val="53605111"/>
    <w:rsid w:val="544467E1"/>
    <w:rsid w:val="54857525"/>
    <w:rsid w:val="55651104"/>
    <w:rsid w:val="556F788D"/>
    <w:rsid w:val="55805F3E"/>
    <w:rsid w:val="55983288"/>
    <w:rsid w:val="55D83684"/>
    <w:rsid w:val="55E464CD"/>
    <w:rsid w:val="55E738C7"/>
    <w:rsid w:val="56334D5F"/>
    <w:rsid w:val="565C2507"/>
    <w:rsid w:val="566D0A59"/>
    <w:rsid w:val="56BA5480"/>
    <w:rsid w:val="57014E5D"/>
    <w:rsid w:val="570D1A54"/>
    <w:rsid w:val="578F06BB"/>
    <w:rsid w:val="585F62DF"/>
    <w:rsid w:val="58A91308"/>
    <w:rsid w:val="58C85C32"/>
    <w:rsid w:val="59282B75"/>
    <w:rsid w:val="59633BAD"/>
    <w:rsid w:val="5A0A5DD6"/>
    <w:rsid w:val="5A160C1F"/>
    <w:rsid w:val="5AB17D40"/>
    <w:rsid w:val="5B1769FD"/>
    <w:rsid w:val="5B7420A1"/>
    <w:rsid w:val="5B834092"/>
    <w:rsid w:val="5BA87F9D"/>
    <w:rsid w:val="5BEF797A"/>
    <w:rsid w:val="5C6713DD"/>
    <w:rsid w:val="5D2B49E2"/>
    <w:rsid w:val="5D647EF4"/>
    <w:rsid w:val="5D6677C8"/>
    <w:rsid w:val="5D850596"/>
    <w:rsid w:val="5DE84681"/>
    <w:rsid w:val="5E082F75"/>
    <w:rsid w:val="5E7128C8"/>
    <w:rsid w:val="5FB76A00"/>
    <w:rsid w:val="60194FC5"/>
    <w:rsid w:val="60477D84"/>
    <w:rsid w:val="60A01243"/>
    <w:rsid w:val="60D84E80"/>
    <w:rsid w:val="60E70C20"/>
    <w:rsid w:val="611A0FF5"/>
    <w:rsid w:val="61204131"/>
    <w:rsid w:val="612B4FB0"/>
    <w:rsid w:val="613C540F"/>
    <w:rsid w:val="6142679E"/>
    <w:rsid w:val="61A3723C"/>
    <w:rsid w:val="61BD7BD2"/>
    <w:rsid w:val="62010C00"/>
    <w:rsid w:val="62127F1E"/>
    <w:rsid w:val="622D6B06"/>
    <w:rsid w:val="62A019CE"/>
    <w:rsid w:val="62CF7BBD"/>
    <w:rsid w:val="630F26B0"/>
    <w:rsid w:val="63141A74"/>
    <w:rsid w:val="635D166D"/>
    <w:rsid w:val="635F7193"/>
    <w:rsid w:val="63624ED5"/>
    <w:rsid w:val="63827325"/>
    <w:rsid w:val="63C33BC6"/>
    <w:rsid w:val="640B10C9"/>
    <w:rsid w:val="64487C27"/>
    <w:rsid w:val="64550596"/>
    <w:rsid w:val="65150451"/>
    <w:rsid w:val="65905D2A"/>
    <w:rsid w:val="65C47781"/>
    <w:rsid w:val="66212E26"/>
    <w:rsid w:val="668313EA"/>
    <w:rsid w:val="66D63C10"/>
    <w:rsid w:val="6832131A"/>
    <w:rsid w:val="683F3A37"/>
    <w:rsid w:val="685017A0"/>
    <w:rsid w:val="6942558D"/>
    <w:rsid w:val="6945507D"/>
    <w:rsid w:val="6994390F"/>
    <w:rsid w:val="69C45FA2"/>
    <w:rsid w:val="6A3A44B6"/>
    <w:rsid w:val="6A3F1ACC"/>
    <w:rsid w:val="6A9E2C97"/>
    <w:rsid w:val="6ADB7A47"/>
    <w:rsid w:val="6B302AE0"/>
    <w:rsid w:val="6C315445"/>
    <w:rsid w:val="6C661592"/>
    <w:rsid w:val="6C9F26A2"/>
    <w:rsid w:val="6CBA18DE"/>
    <w:rsid w:val="6CE32BE3"/>
    <w:rsid w:val="6CE81FA7"/>
    <w:rsid w:val="6E3000AA"/>
    <w:rsid w:val="6E3B6A4F"/>
    <w:rsid w:val="6E645FA5"/>
    <w:rsid w:val="6ED36C87"/>
    <w:rsid w:val="6F7246F2"/>
    <w:rsid w:val="6F997ED1"/>
    <w:rsid w:val="6FB1521A"/>
    <w:rsid w:val="700A0487"/>
    <w:rsid w:val="701557A9"/>
    <w:rsid w:val="7040659E"/>
    <w:rsid w:val="7089584F"/>
    <w:rsid w:val="71755DD4"/>
    <w:rsid w:val="71F907B3"/>
    <w:rsid w:val="71FE04BF"/>
    <w:rsid w:val="722F68CA"/>
    <w:rsid w:val="72695938"/>
    <w:rsid w:val="72D24A35"/>
    <w:rsid w:val="72D51220"/>
    <w:rsid w:val="72F01BB6"/>
    <w:rsid w:val="72F5541E"/>
    <w:rsid w:val="73852C46"/>
    <w:rsid w:val="73B928EF"/>
    <w:rsid w:val="73D46CB4"/>
    <w:rsid w:val="73F90F3E"/>
    <w:rsid w:val="741E09A4"/>
    <w:rsid w:val="746F1200"/>
    <w:rsid w:val="74B17A6A"/>
    <w:rsid w:val="74EC45FF"/>
    <w:rsid w:val="7510653F"/>
    <w:rsid w:val="757271FA"/>
    <w:rsid w:val="75A35605"/>
    <w:rsid w:val="76FB4FCD"/>
    <w:rsid w:val="77130569"/>
    <w:rsid w:val="77514BED"/>
    <w:rsid w:val="775F555C"/>
    <w:rsid w:val="778E4093"/>
    <w:rsid w:val="77972F48"/>
    <w:rsid w:val="782A3DBC"/>
    <w:rsid w:val="784F3822"/>
    <w:rsid w:val="78AF2513"/>
    <w:rsid w:val="78EF4119"/>
    <w:rsid w:val="79425135"/>
    <w:rsid w:val="798E2128"/>
    <w:rsid w:val="79BC0A44"/>
    <w:rsid w:val="7C8B0BA1"/>
    <w:rsid w:val="7CDE33C7"/>
    <w:rsid w:val="7CF90201"/>
    <w:rsid w:val="7D032E2D"/>
    <w:rsid w:val="7D511DEB"/>
    <w:rsid w:val="7E154BC6"/>
    <w:rsid w:val="7E1A21DD"/>
    <w:rsid w:val="7EA5419C"/>
    <w:rsid w:val="7F016EF9"/>
    <w:rsid w:val="7F8042C1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4"/>
    <w:qFormat/>
    <w:uiPriority w:val="0"/>
    <w:pPr>
      <w:spacing w:line="570" w:lineRule="exact"/>
      <w:ind w:firstLine="616"/>
    </w:pPr>
    <w:rPr>
      <w:spacing w:val="-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13">
    <w:name w:val="红线"/>
    <w:basedOn w:val="3"/>
    <w:autoRedefine/>
    <w:qFormat/>
    <w:uiPriority w:val="0"/>
    <w:pPr>
      <w:keepNext w:val="0"/>
      <w:keepLines w:val="0"/>
      <w:widowControl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 w:cs="宋体"/>
      <w:kern w:val="0"/>
      <w:sz w:val="10"/>
      <w:szCs w:val="10"/>
    </w:rPr>
  </w:style>
  <w:style w:type="paragraph" w:customStyle="1" w:styleId="14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2169</Characters>
  <Lines>0</Lines>
  <Paragraphs>0</Paragraphs>
  <TotalTime>15</TotalTime>
  <ScaleCrop>false</ScaleCrop>
  <LinksUpToDate>false</LinksUpToDate>
  <CharactersWithSpaces>2275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2025-05-21T07:50:20Z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eyJoZGlkIjoiOTZkNWY4MzdlMmJhMGIyY2E1ZDZiMWE3ZGU1MjdhNWEifQ==</vt:lpwstr>
  </property>
  <property fmtid="{D5CDD505-2E9C-101B-9397-08002B2CF9AE}" pid="4" name="ICV">
    <vt:lpwstr>7AA887719D9646DD93BAF3569BB2A9E5_13</vt:lpwstr>
  </property>
</Properties>
</file>